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baseline"/>
        <w:rPr>
          <w:rFonts w:hint="default" w:ascii="Times New Roman" w:hAnsi="Times New Roman" w:eastAsia="黑体" w:cs="Times New Roman"/>
          <w:color w:val="000000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1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黑体" w:cs="Times New Roman"/>
          <w:spacing w:val="-6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"/>
        </w:rPr>
        <w:t>2023年度棉花质量追溯符合奖补的团场优质棉情况统计表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师发展改革委（盖章）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师市场监管局（盖章）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师农业农村局（盖章） 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397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494"/>
        <w:gridCol w:w="3088"/>
        <w:gridCol w:w="3580"/>
        <w:gridCol w:w="4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师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符合质量追溯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奖补的团场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参与质量追溯的籽棉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交售量（吨）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“双29B2”级及以上的籽棉量（吨）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联系人及电话：                                            填报时间：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2098" w:right="1474" w:bottom="1984" w:left="1587" w:header="851" w:footer="14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435" w:charSpace="0"/>
        </w:sect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备注：1.“双29B2”级及以上指：长度大于等于29mm、断裂比强度大于等于29cN/tex，马克隆值为A级或B2级的棉花。 2.上表中的数据，是经师发展改革委、市场监管局和农业农村局联合审核后上报的。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5FDB0C06"/>
    <w:rsid w:val="5FD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7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7"/>
    <w:pPr>
      <w:ind w:firstLine="420"/>
    </w:pPr>
    <w:rPr>
      <w:kern w:val="1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First Indent"/>
    <w:basedOn w:val="3"/>
    <w:next w:val="3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2023-08-11T11:12:00Z</dcterms:created>
  <dc:creator>DSJ</dc:creator>
  <cp:lastModifiedBy>DSJ</cp:lastModifiedBy>
  <dcterms:modified xsi:type="dcterms:W3CDTF">2023-08-11T11:12:11Z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11BA790232814100B2B5D6C9839FBCCA_11</vt:lpwstr>
  </property>
</Properties>
</file>