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E733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3E853B7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2E05231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22BE2347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35C2FD5">
      <w:pPr>
        <w:ind w:firstLine="0" w:firstLineChars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第五师双河市“十五五”数字经济发展规划</w:t>
      </w:r>
    </w:p>
    <w:p w14:paraId="32A404CD">
      <w:pPr>
        <w:ind w:firstLine="640"/>
        <w:jc w:val="center"/>
        <w:rPr>
          <w:rFonts w:hint="eastAsia" w:ascii="楷体_GB2312" w:hAnsi="楷体_GB2312" w:eastAsia="楷体_GB2312" w:cs="Times New Roman"/>
        </w:rPr>
      </w:pPr>
      <w:r>
        <w:rPr>
          <w:rFonts w:hint="eastAsia" w:ascii="楷体_GB2312" w:hAnsi="楷体_GB2312" w:eastAsia="楷体_GB2312" w:cs="Times New Roman"/>
        </w:rPr>
        <w:t>（面向社会征求意见稿）</w:t>
      </w:r>
    </w:p>
    <w:p w14:paraId="59590137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46908587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315F711F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35838D60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12D370EC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549FC76E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10B29B8F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2F067333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257E327D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75639968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09012D3C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0D31136B">
      <w:pPr>
        <w:pStyle w:val="12"/>
        <w:ind w:firstLine="640"/>
        <w:rPr>
          <w:rFonts w:hint="eastAsia" w:ascii="楷体_GB2312" w:hAnsi="楷体_GB2312" w:eastAsia="楷体_GB2312" w:cs="Times New Roman"/>
        </w:rPr>
      </w:pPr>
    </w:p>
    <w:p w14:paraId="2EC2A153">
      <w:pPr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楷体_GB2312"/>
          <w:color w:val="000000"/>
          <w:spacing w:val="23"/>
          <w:position w:val="2"/>
        </w:rPr>
        <w:t>第五师双河市政务服务和大数据局</w:t>
      </w:r>
    </w:p>
    <w:p w14:paraId="7BB3C27E">
      <w:pPr>
        <w:ind w:firstLine="0" w:firstLineChars="0"/>
        <w:jc w:val="center"/>
        <w:rPr>
          <w:rFonts w:ascii="Times New Roman" w:hAnsi="Times New Roman" w:eastAsia="楷体_GB2312" w:cs="Times New Roman"/>
          <w:color w:val="000000"/>
        </w:rPr>
      </w:pPr>
      <w:r>
        <w:rPr>
          <w:rFonts w:hint="eastAsia" w:ascii="Times New Roman" w:hAnsi="Times New Roman" w:eastAsia="楷体_GB2312" w:cs="Times New Roman"/>
          <w:color w:val="000000"/>
        </w:rPr>
        <w:t>2026年5月</w:t>
      </w:r>
    </w:p>
    <w:p w14:paraId="3A3957B5">
      <w:pPr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4E67F03">
      <w:pPr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dt>
      <w:sdtPr>
        <w:rPr>
          <w:rFonts w:hint="eastAsia" w:ascii="黑体" w:hAnsi="黑体" w:eastAsia="黑体" w:cs="黑体"/>
          <w:sz w:val="44"/>
          <w:szCs w:val="44"/>
        </w:rPr>
        <w:id w:val="147462083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sz w:val="21"/>
          <w:szCs w:val="24"/>
        </w:rPr>
      </w:sdtEndPr>
      <w:sdtContent>
        <w:p w14:paraId="59A38223">
          <w:pPr>
            <w:spacing w:line="240" w:lineRule="auto"/>
            <w:ind w:firstLine="0" w:firstLineChars="0"/>
            <w:jc w:val="center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</w:rPr>
            <w:t>目录</w:t>
          </w:r>
        </w:p>
        <w:p w14:paraId="6996AC7C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"1-2" \h \u </w:instrText>
          </w:r>
          <w:r>
            <w:rPr>
              <w:rFonts w:hint="eastAsia"/>
            </w:rPr>
            <w:fldChar w:fldCharType="separate"/>
          </w:r>
          <w:r>
            <w:fldChar w:fldCharType="begin"/>
          </w:r>
          <w:r>
            <w:instrText xml:space="preserve"> HYPERLINK \l "_Toc229733032" </w:instrText>
          </w:r>
          <w:r>
            <w:fldChar w:fldCharType="separate"/>
          </w:r>
          <w:r>
            <w:rPr>
              <w:rStyle w:val="22"/>
            </w:rPr>
            <w:t>第一章 发展基础与形势环境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463F79F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"_Toc229733033" </w:instrText>
          </w:r>
          <w:r>
            <w:fldChar w:fldCharType="separate"/>
          </w:r>
          <w:r>
            <w:rPr>
              <w:rStyle w:val="22"/>
            </w:rPr>
            <w:t>第一节 发展基础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A1F8227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"_Toc229733034" </w:instrText>
          </w:r>
          <w:r>
            <w:fldChar w:fldCharType="separate"/>
          </w:r>
          <w:r>
            <w:rPr>
              <w:rStyle w:val="22"/>
            </w:rPr>
            <w:t>第二节 面临机遇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5D0E184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"_Toc229733035" </w:instrText>
          </w:r>
          <w:r>
            <w:fldChar w:fldCharType="separate"/>
          </w:r>
          <w:r>
            <w:rPr>
              <w:rStyle w:val="22"/>
            </w:rPr>
            <w:t>第三节 存在问题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9686C80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"_Toc229733036" </w:instrText>
          </w:r>
          <w:r>
            <w:fldChar w:fldCharType="separate"/>
          </w:r>
          <w:r>
            <w:rPr>
              <w:rStyle w:val="22"/>
            </w:rPr>
            <w:t>第二章 总体要求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6176BC1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"_Toc229733037" </w:instrText>
          </w:r>
          <w:r>
            <w:fldChar w:fldCharType="separate"/>
          </w:r>
          <w:r>
            <w:rPr>
              <w:rStyle w:val="22"/>
            </w:rPr>
            <w:t>第一节 指导思想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B8D8B54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"_Toc229733038" </w:instrText>
          </w:r>
          <w:r>
            <w:fldChar w:fldCharType="separate"/>
          </w:r>
          <w:r>
            <w:rPr>
              <w:rStyle w:val="22"/>
            </w:rPr>
            <w:t>第二节 基本原则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026E28B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"_Toc229733039" </w:instrText>
          </w:r>
          <w:r>
            <w:fldChar w:fldCharType="separate"/>
          </w:r>
          <w:r>
            <w:rPr>
              <w:rStyle w:val="22"/>
            </w:rPr>
            <w:t>第三节 发展定位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_Toc229733039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ECDBDD9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"_Toc229733040" </w:instrText>
          </w:r>
          <w:r>
            <w:fldChar w:fldCharType="separate"/>
          </w:r>
          <w:r>
            <w:rPr>
              <w:rStyle w:val="22"/>
            </w:rPr>
            <w:t>第四节 发展目标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5F8EF06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"_Toc229733041" </w:instrText>
          </w:r>
          <w:r>
            <w:fldChar w:fldCharType="separate"/>
          </w:r>
          <w:r>
            <w:rPr>
              <w:rStyle w:val="22"/>
            </w:rPr>
            <w:t>第三章 构建泛在智联数字基础设施体系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9F66DB4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"_Toc229733042" </w:instrText>
          </w:r>
          <w:r>
            <w:fldChar w:fldCharType="separate"/>
          </w:r>
          <w:r>
            <w:rPr>
              <w:rStyle w:val="22"/>
            </w:rPr>
            <w:t>第一节 升级高速泛在网络底座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DDB78E4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"_Toc229733043" </w:instrText>
          </w:r>
          <w:r>
            <w:fldChar w:fldCharType="separate"/>
          </w:r>
          <w:r>
            <w:rPr>
              <w:rStyle w:val="22"/>
            </w:rPr>
            <w:t>第二节 统筹布局绿色智能算力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7B9AF40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"_Toc229733044" </w:instrText>
          </w:r>
          <w:r>
            <w:fldChar w:fldCharType="separate"/>
          </w:r>
          <w:r>
            <w:rPr>
              <w:rStyle w:val="22"/>
            </w:rPr>
            <w:t>第三节 推进传统基建数字化改造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984FDB9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"_Toc229733045" </w:instrText>
          </w:r>
          <w:r>
            <w:fldChar w:fldCharType="separate"/>
          </w:r>
          <w:r>
            <w:rPr>
              <w:rStyle w:val="22"/>
            </w:rPr>
            <w:t>第四章 做强做优数字经济核心产业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E066305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"_Toc229733046" </w:instrText>
          </w:r>
          <w:r>
            <w:fldChar w:fldCharType="separate"/>
          </w:r>
          <w:r>
            <w:rPr>
              <w:rStyle w:val="22"/>
            </w:rPr>
            <w:t>第一节 培育壮大算力数据产业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611953B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"_Toc229733047" </w:instrText>
          </w:r>
          <w:r>
            <w:fldChar w:fldCharType="separate"/>
          </w:r>
          <w:r>
            <w:rPr>
              <w:rStyle w:val="22"/>
            </w:rPr>
            <w:t>第二节 聚力发展电子信息制造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B96A6D1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"_Toc229733048" </w:instrText>
          </w:r>
          <w:r>
            <w:fldChar w:fldCharType="separate"/>
          </w:r>
          <w:r>
            <w:rPr>
              <w:rStyle w:val="22"/>
            </w:rPr>
            <w:t>第三节 前瞻布局低空经济赛道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D8A641D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"_Toc229733049" </w:instrText>
          </w:r>
          <w:r>
            <w:fldChar w:fldCharType="separate"/>
          </w:r>
          <w:r>
            <w:rPr>
              <w:rStyle w:val="22"/>
            </w:rPr>
            <w:t>第五章 全面推进产业数字化转型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_Toc229733049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12F6B40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"_Toc229733050" </w:instrText>
          </w:r>
          <w:r>
            <w:fldChar w:fldCharType="separate"/>
          </w:r>
          <w:r>
            <w:rPr>
              <w:rStyle w:val="22"/>
            </w:rPr>
            <w:t>第一节 数字赋能现代农业提质增效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332515C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"_Toc229733051" </w:instrText>
          </w:r>
          <w:r>
            <w:fldChar w:fldCharType="separate"/>
          </w:r>
          <w:r>
            <w:rPr>
              <w:rStyle w:val="22"/>
            </w:rPr>
            <w:t>第二节 数字赋能工业智造升级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C6831D4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"_Toc229733052" </w:instrText>
          </w:r>
          <w:r>
            <w:fldChar w:fldCharType="separate"/>
          </w:r>
          <w:r>
            <w:rPr>
              <w:rStyle w:val="22"/>
            </w:rPr>
            <w:t>第三节 数字赋能服务业融合创新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44C7225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"_Toc229733053" </w:instrText>
          </w:r>
          <w:r>
            <w:fldChar w:fldCharType="separate"/>
          </w:r>
          <w:r>
            <w:rPr>
              <w:rStyle w:val="22"/>
            </w:rPr>
            <w:t>第四节 数字赋能兵地融合产业协同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3C3F771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"_Toc229733054" </w:instrText>
          </w:r>
          <w:r>
            <w:fldChar w:fldCharType="separate"/>
          </w:r>
          <w:r>
            <w:rPr>
              <w:rStyle w:val="22"/>
            </w:rPr>
            <w:t>第六章 高水平建设数字政府与智慧城市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FF88995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"_Toc229733055" </w:instrText>
          </w:r>
          <w:r>
            <w:fldChar w:fldCharType="separate"/>
          </w:r>
          <w:r>
            <w:rPr>
              <w:rStyle w:val="22"/>
            </w:rPr>
            <w:t>第一节 一体化政务服务“一网通办”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CC309AB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"_Toc229733056" </w:instrText>
          </w:r>
          <w:r>
            <w:fldChar w:fldCharType="separate"/>
          </w:r>
          <w:r>
            <w:rPr>
              <w:rStyle w:val="22"/>
            </w:rPr>
            <w:t>第二节 全域化城市运行“一网统管”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156DEBA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"_Toc229733057" </w:instrText>
          </w:r>
          <w:r>
            <w:fldChar w:fldCharType="separate"/>
          </w:r>
          <w:r>
            <w:rPr>
              <w:rStyle w:val="22"/>
            </w:rPr>
            <w:t>第三节 智慧化公共服务普惠共享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CAB7E47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"_Toc229733058" </w:instrText>
          </w:r>
          <w:r>
            <w:fldChar w:fldCharType="separate"/>
          </w:r>
          <w:r>
            <w:rPr>
              <w:rStyle w:val="22"/>
            </w:rPr>
            <w:t>第七章 深化数据要素市场化配置改革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A185B89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"_Toc229733059" </w:instrText>
          </w:r>
          <w:r>
            <w:fldChar w:fldCharType="separate"/>
          </w:r>
          <w:r>
            <w:rPr>
              <w:rStyle w:val="22"/>
            </w:rPr>
            <w:t>第一节 统筹数据资源汇聚治理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_Toc229733059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37C6645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"_Toc229733060" </w:instrText>
          </w:r>
          <w:r>
            <w:fldChar w:fldCharType="separate"/>
          </w:r>
          <w:r>
            <w:rPr>
              <w:rStyle w:val="22"/>
            </w:rPr>
            <w:t>第二节 推进公共数据共享开放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66C3430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"_Toc229733061" </w:instrText>
          </w:r>
          <w:r>
            <w:fldChar w:fldCharType="separate"/>
          </w:r>
          <w:r>
            <w:rPr>
              <w:rStyle w:val="22"/>
            </w:rPr>
            <w:t>第三节 培育数据要素市场生态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01B0E72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"_Toc229733062" </w:instrText>
          </w:r>
          <w:r>
            <w:fldChar w:fldCharType="separate"/>
          </w:r>
          <w:r>
            <w:rPr>
              <w:rStyle w:val="22"/>
            </w:rPr>
            <w:t>第四节 强化数据安全合规管理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90612AB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"_Toc229733063" </w:instrText>
          </w:r>
          <w:r>
            <w:fldChar w:fldCharType="separate"/>
          </w:r>
          <w:r>
            <w:rPr>
              <w:rStyle w:val="22"/>
            </w:rPr>
            <w:t>第八章 健全数字安全与风险防控体系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906E923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"_Toc229733064" </w:instrText>
          </w:r>
          <w:r>
            <w:fldChar w:fldCharType="separate"/>
          </w:r>
          <w:r>
            <w:rPr>
              <w:rStyle w:val="22"/>
            </w:rPr>
            <w:t>第一节 强化网络安全保障能力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92AB457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"_Toc229733065" </w:instrText>
          </w:r>
          <w:r>
            <w:fldChar w:fldCharType="separate"/>
          </w:r>
          <w:r>
            <w:rPr>
              <w:rStyle w:val="22"/>
            </w:rPr>
            <w:t>第二节 筑牢数据安全防护屏障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655322A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"_Toc229733066" </w:instrText>
          </w:r>
          <w:r>
            <w:fldChar w:fldCharType="separate"/>
          </w:r>
          <w:r>
            <w:rPr>
              <w:rStyle w:val="22"/>
            </w:rPr>
            <w:t>第三节 健全安全协同工作机制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D7256D0">
          <w:pPr>
            <w:pStyle w:val="15"/>
            <w:tabs>
              <w:tab w:val="right" w:leader="dot" w:pos="8296"/>
            </w:tabs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"_Toc229733067" </w:instrText>
          </w:r>
          <w:r>
            <w:fldChar w:fldCharType="separate"/>
          </w:r>
          <w:r>
            <w:rPr>
              <w:rStyle w:val="22"/>
            </w:rPr>
            <w:t>第九章 强化规划实施保障措施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679566F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"_Toc229733068" </w:instrText>
          </w:r>
          <w:r>
            <w:fldChar w:fldCharType="separate"/>
          </w:r>
          <w:r>
            <w:rPr>
              <w:rStyle w:val="22"/>
            </w:rPr>
            <w:t>第一节 加强党的全面领导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7F5B752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"_Toc229733069" </w:instrText>
          </w:r>
          <w:r>
            <w:fldChar w:fldCharType="separate"/>
          </w:r>
          <w:r>
            <w:rPr>
              <w:rStyle w:val="22"/>
            </w:rPr>
            <w:t>第二节 优化政策资金保障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_Toc229733069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88673D7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"_Toc229733070" </w:instrText>
          </w:r>
          <w:r>
            <w:fldChar w:fldCharType="separate"/>
          </w:r>
          <w:r>
            <w:rPr>
              <w:rStyle w:val="22"/>
            </w:rPr>
            <w:t>第三节 加强人才队伍建设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_Toc229733070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9170201">
          <w:pPr>
            <w:pStyle w:val="17"/>
            <w:tabs>
              <w:tab w:val="right" w:leader="dot" w:pos="8296"/>
            </w:tabs>
            <w:ind w:firstLine="640"/>
            <w:rPr>
              <w:rFonts w:hint="eastAsia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"_Toc229733071" </w:instrText>
          </w:r>
          <w:r>
            <w:fldChar w:fldCharType="separate"/>
          </w:r>
          <w:r>
            <w:rPr>
              <w:rStyle w:val="22"/>
            </w:rPr>
            <w:t>第四节 完善监督评估体系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_Toc229733071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14005D7">
          <w:pPr>
            <w:pStyle w:val="12"/>
            <w:ind w:firstLine="640"/>
            <w:rPr>
              <w:rFonts w:hint="eastAsia"/>
              <w:color w:val="000000"/>
              <w:sz w:val="28"/>
              <w:szCs w:val="28"/>
            </w:rPr>
          </w:pPr>
          <w:r>
            <w:rPr>
              <w:rFonts w:hint="eastAsia"/>
            </w:rPr>
            <w:fldChar w:fldCharType="end"/>
          </w:r>
        </w:p>
      </w:sdtContent>
    </w:sdt>
    <w:p w14:paraId="502CF261">
      <w:pPr>
        <w:ind w:firstLine="560"/>
        <w:rPr>
          <w:rFonts w:hint="eastAsia"/>
          <w:color w:val="000000"/>
          <w:sz w:val="28"/>
          <w:szCs w:val="28"/>
        </w:rPr>
      </w:pPr>
    </w:p>
    <w:p w14:paraId="675B54F1">
      <w:pPr>
        <w:ind w:firstLine="560"/>
        <w:rPr>
          <w:rFonts w:hint="eastAsia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D69C5C">
      <w:pPr>
        <w:pStyle w:val="2"/>
        <w:keepNext w:val="0"/>
        <w:pageBreakBefore w:val="0"/>
        <w:jc w:val="center"/>
        <w:rPr>
          <w:rFonts w:hint="eastAsia"/>
        </w:rPr>
      </w:pPr>
      <w:bookmarkStart w:id="0" w:name="_Toc229733032"/>
      <w:r>
        <w:rPr>
          <w:rFonts w:hint="eastAsia"/>
        </w:rPr>
        <w:t>第一章 发展基础与形势环境</w:t>
      </w:r>
      <w:bookmarkEnd w:id="0"/>
    </w:p>
    <w:p w14:paraId="0539441A">
      <w:pPr>
        <w:pStyle w:val="3"/>
        <w:rPr>
          <w:rFonts w:hint="eastAsia"/>
        </w:rPr>
      </w:pPr>
      <w:bookmarkStart w:id="1" w:name="_Toc229733033"/>
      <w:r>
        <w:rPr>
          <w:rFonts w:hint="eastAsia"/>
        </w:rPr>
        <w:t>第一节 发展基础</w:t>
      </w:r>
      <w:bookmarkEnd w:id="1"/>
    </w:p>
    <w:p w14:paraId="00F64249">
      <w:pPr>
        <w:ind w:firstLine="640"/>
        <w:rPr>
          <w:rFonts w:hint="eastAsia"/>
        </w:rPr>
      </w:pPr>
      <w:r>
        <w:t>“十四五”以来，第五师双河市坚持以数字技术赋能高质量发展，统筹推进数字基础设施建设、产业数字化转型、数字产业培育和数字化治理，数字经济发展底座不断夯实、应用场景持续拓展、支撑能力显著增强，为师市“十五五”数字经济高质量发展奠定了坚实基础。</w:t>
      </w:r>
    </w:p>
    <w:p w14:paraId="02599DC6">
      <w:pPr>
        <w:ind w:firstLine="643"/>
        <w:rPr>
          <w:rFonts w:hint="eastAsia"/>
        </w:rPr>
      </w:pPr>
      <w:r>
        <w:rPr>
          <w:b/>
          <w:bCs/>
        </w:rPr>
        <w:t>数字基础设施全域覆盖，支撑能力持续增强</w:t>
      </w:r>
      <w:r>
        <w:rPr>
          <w:rFonts w:hint="eastAsia"/>
          <w:b/>
          <w:bCs/>
        </w:rPr>
        <w:t>。</w:t>
      </w:r>
      <w:r>
        <w:t>网络基础设施全面提档升级，师团连三级5G网络、光纤宽带实现连续覆盖，累计建成5G基站</w:t>
      </w:r>
      <w:r>
        <w:rPr>
          <w:rFonts w:hint="eastAsia"/>
        </w:rPr>
        <w:t>XX</w:t>
      </w:r>
      <w:r>
        <w:t>个，智慧广电固边工程铺设光缆</w:t>
      </w:r>
      <w:r>
        <w:rPr>
          <w:rFonts w:hint="eastAsia"/>
        </w:rPr>
        <w:t>XX</w:t>
      </w:r>
      <w:r>
        <w:t>公里，重点团场光纤入户率、5G覆盖率达</w:t>
      </w:r>
      <w:r>
        <w:rPr>
          <w:rFonts w:hint="eastAsia"/>
        </w:rPr>
        <w:t>100</w:t>
      </w:r>
      <w:r>
        <w:t>%。算力基础设施加快布局，</w:t>
      </w:r>
      <w:r>
        <w:rPr>
          <w:rFonts w:hint="eastAsia"/>
        </w:rPr>
        <w:t>XX</w:t>
      </w:r>
      <w:r>
        <w:t>算中心建成投运，</w:t>
      </w:r>
      <w:r>
        <w:rPr>
          <w:rFonts w:hint="eastAsia"/>
        </w:rPr>
        <w:t>XX、XX</w:t>
      </w:r>
      <w:r>
        <w:t>等一批算力项目落地推进，绿色算力集群初具规模。</w:t>
      </w:r>
    </w:p>
    <w:p w14:paraId="430671B3">
      <w:pPr>
        <w:ind w:firstLine="643"/>
        <w:rPr>
          <w:rFonts w:hint="eastAsia"/>
        </w:rPr>
      </w:pPr>
      <w:r>
        <w:rPr>
          <w:b/>
          <w:bCs/>
        </w:rPr>
        <w:t>产业数字化走深走实，融合赋能成效显著</w:t>
      </w:r>
      <w:r>
        <w:rPr>
          <w:rFonts w:hint="eastAsia"/>
          <w:b/>
          <w:bCs/>
        </w:rPr>
        <w:t>。</w:t>
      </w:r>
      <w:r>
        <w:rPr>
          <w:rFonts w:hint="eastAsia"/>
        </w:rPr>
        <w:t>数字农业发展态势良好、成效突出。</w:t>
      </w:r>
      <w:r>
        <w:t>北斗导航农机全域普及，智能灌溉、物联网监测等技术广泛应用，棉花、葡萄等建成万亩级智慧农业示范区，节本增效成果突出。智慧养殖、设施农业数字化水平稳步提升，农产品质量安全追溯体系全面覆盖，电商直播、线上营销拓宽农产品销售渠道。工业数字化转型有序起步，以经开区为核心，</w:t>
      </w:r>
      <w:r>
        <w:rPr>
          <w:rFonts w:hint="eastAsia"/>
        </w:rPr>
        <w:t>XX</w:t>
      </w:r>
      <w:r>
        <w:t>、</w:t>
      </w:r>
      <w:r>
        <w:rPr>
          <w:rFonts w:hint="eastAsia"/>
        </w:rPr>
        <w:t>XX</w:t>
      </w:r>
      <w:r>
        <w:t>等企业实施智能化改造，中小企业数字化转型试点扎实开展。</w:t>
      </w:r>
    </w:p>
    <w:p w14:paraId="6944AAEA">
      <w:pPr>
        <w:ind w:firstLine="643"/>
        <w:rPr>
          <w:rFonts w:hint="eastAsia"/>
        </w:rPr>
      </w:pPr>
      <w:r>
        <w:rPr>
          <w:b/>
          <w:bCs/>
        </w:rPr>
        <w:t>数字化治理普惠便民，服务效能全面提升</w:t>
      </w:r>
      <w:r>
        <w:rPr>
          <w:rFonts w:hint="eastAsia"/>
          <w:b/>
          <w:bCs/>
        </w:rPr>
        <w:t>。</w:t>
      </w:r>
      <w:r>
        <w:t>数字政府建设高效推进，依托兵团一体化政务服务平台，</w:t>
      </w:r>
      <w:r>
        <w:rPr>
          <w:rFonts w:hint="eastAsia"/>
        </w:rPr>
        <w:t>多</w:t>
      </w:r>
      <w:r>
        <w:t>项政务服务事项实现网办，“一网通办、全程网办、小兵帮办”覆盖师团连三级，政务服务便捷度和群众满意度显著提高。智慧城市、智慧社区、智慧连队、边境智控、应急指挥等系统加快建设，“一网统管”格局初步形成，基层治理精细化、智能化水平持续提升。</w:t>
      </w:r>
    </w:p>
    <w:p w14:paraId="0A5DBE29">
      <w:pPr>
        <w:pStyle w:val="3"/>
        <w:rPr>
          <w:rFonts w:hint="eastAsia"/>
        </w:rPr>
      </w:pPr>
      <w:bookmarkStart w:id="2" w:name="_Toc229733034"/>
      <w:r>
        <w:rPr>
          <w:rFonts w:hint="eastAsia"/>
        </w:rPr>
        <w:t>第二节 面临机遇</w:t>
      </w:r>
      <w:bookmarkEnd w:id="2"/>
    </w:p>
    <w:p w14:paraId="4954D4A1">
      <w:pPr>
        <w:ind w:firstLine="640"/>
        <w:rPr>
          <w:rFonts w:hint="eastAsia"/>
        </w:rPr>
      </w:pPr>
      <w:r>
        <w:t>“十五五”时期，师市数字经济发展处于国家战略叠加、兵团布局赋能、区位优势凸显、产业基础夯实的多重机遇交汇期，具备乘势而上、跨越发展的良好条件。</w:t>
      </w:r>
    </w:p>
    <w:p w14:paraId="566E04FF">
      <w:pPr>
        <w:ind w:firstLine="643"/>
        <w:rPr>
          <w:rFonts w:hint="eastAsia"/>
        </w:rPr>
      </w:pPr>
      <w:r>
        <w:rPr>
          <w:b/>
          <w:bCs/>
        </w:rPr>
        <w:t>国家战略赋能，顶层政策红利集中释放</w:t>
      </w:r>
      <w:r>
        <w:rPr>
          <w:rFonts w:hint="eastAsia"/>
          <w:b/>
          <w:bCs/>
        </w:rPr>
        <w:t>。</w:t>
      </w:r>
      <w:r>
        <w:t>抢抓数字中国、东数西算、人工智能+</w:t>
      </w:r>
      <w:r>
        <w:rPr>
          <w:rFonts w:hint="eastAsia"/>
        </w:rPr>
        <w:t>等</w:t>
      </w:r>
      <w:r>
        <w:t>国家战略机遇，主动融入全国一体化算力网络与数据要素市场化配置改革大局，在绿色算力、</w:t>
      </w:r>
      <w:r>
        <w:rPr>
          <w:rFonts w:hint="eastAsia"/>
        </w:rPr>
        <w:t>数字赋能产业</w:t>
      </w:r>
      <w:r>
        <w:t>等领域获得政策、资金、项目倾斜支持</w:t>
      </w:r>
      <w:r>
        <w:rPr>
          <w:rFonts w:hint="eastAsia"/>
        </w:rPr>
        <w:t>。</w:t>
      </w:r>
      <w:r>
        <w:t>在跨境数字贸易、数据跨境流动、数字服务出口等方面先行先试，为数字经济开放发展提供制度保障与创新空间。</w:t>
      </w:r>
    </w:p>
    <w:p w14:paraId="55C282AD">
      <w:pPr>
        <w:ind w:firstLine="643"/>
        <w:rPr>
          <w:rFonts w:hint="eastAsia"/>
        </w:rPr>
      </w:pPr>
      <w:r>
        <w:rPr>
          <w:b/>
          <w:bCs/>
        </w:rPr>
        <w:t>兵团规划引领，区域协同格局全面构建</w:t>
      </w:r>
      <w:r>
        <w:rPr>
          <w:rFonts w:hint="eastAsia"/>
          <w:b/>
          <w:bCs/>
        </w:rPr>
        <w:t>。</w:t>
      </w:r>
      <w:r>
        <w:t>立足兵团天山北坡数字产业发展廊道核心节点定位，统筹布局绿色算力、智能装备、人工智能</w:t>
      </w:r>
      <w:r>
        <w:rPr>
          <w:rFonts w:hint="eastAsia"/>
        </w:rPr>
        <w:t>等</w:t>
      </w:r>
      <w:r>
        <w:t>数字产业的协同红利，在算力调度、数据共享、产业配套、成果转化等方面实现区域联动、资源共享。依托兵团数字经济专项规划、援疆资金支持、项目倾斜布局等政策优势，在数字基础设施建设、产业数字化转型、数字人才培育等领域获得强力支撑，为数字经济提质扩量提供坚实保障。</w:t>
      </w:r>
    </w:p>
    <w:p w14:paraId="221C1119">
      <w:pPr>
        <w:ind w:firstLine="643"/>
        <w:rPr>
          <w:rFonts w:hint="eastAsia"/>
        </w:rPr>
      </w:pPr>
      <w:r>
        <w:rPr>
          <w:b/>
          <w:bCs/>
        </w:rPr>
        <w:t>区位资源独特，特色发展优势无可替代</w:t>
      </w:r>
      <w:r>
        <w:rPr>
          <w:rFonts w:hint="eastAsia"/>
          <w:b/>
          <w:bCs/>
        </w:rPr>
        <w:t>。</w:t>
      </w:r>
      <w:r>
        <w:t>依托边境区位、风光资源丰富、气候冷凉干燥禀赋，抢占绿色算力、风光储一体化发展先机，打造兵团重要绿色算力节点，吸引算力租赁、AI训练、数据存储等产业集聚，形成“新能源+算力+产业”融合发展新优势。毗邻霍尔果斯、阿拉山口两大口岸，叠加自贸试验区政策，大力发展跨境电商、数字贸易、低空经济、智慧物流，打造面向中亚的数字经济开放枢纽，拓展数字经济发展新空间。</w:t>
      </w:r>
    </w:p>
    <w:p w14:paraId="29C8B54A">
      <w:pPr>
        <w:ind w:firstLine="643"/>
        <w:rPr>
          <w:rFonts w:hint="eastAsia"/>
        </w:rPr>
      </w:pPr>
      <w:r>
        <w:rPr>
          <w:b/>
          <w:bCs/>
        </w:rPr>
        <w:t>产业基础夯实，数实融合潜力加速释放</w:t>
      </w:r>
      <w:r>
        <w:rPr>
          <w:rFonts w:hint="eastAsia"/>
          <w:b/>
          <w:bCs/>
        </w:rPr>
        <w:t>。</w:t>
      </w:r>
      <w:r>
        <w:t>农业规模化、机械化、组织化优势突出，棉花、葡萄、畜牧等主导产业数字化基础扎实，国家数字农业创新应用基地建设有序推进，为智慧农业、全链条溯源、农业大数据、数字供销等场景规模化应用提供广阔空间，数字赋能农业提质增效潜力巨大。电极箔等电子新材料产业初具规模，算力中心落地见效，建筑、能源、供销等领域数字化平台成效显著，为工业智改数转、数字产业培育、算力赋能实体经济筑牢产业根基，形成“传统产业数字化+数字产业特色化”双轮驱动格局。</w:t>
      </w:r>
    </w:p>
    <w:p w14:paraId="13DF9D1F">
      <w:pPr>
        <w:pStyle w:val="3"/>
        <w:rPr>
          <w:rFonts w:hint="eastAsia"/>
        </w:rPr>
      </w:pPr>
      <w:bookmarkStart w:id="3" w:name="_Toc229733035"/>
      <w:r>
        <w:rPr>
          <w:rFonts w:hint="eastAsia"/>
        </w:rPr>
        <w:t>第三节 存在问题</w:t>
      </w:r>
      <w:bookmarkEnd w:id="3"/>
    </w:p>
    <w:p w14:paraId="049B5B73">
      <w:pPr>
        <w:ind w:firstLine="640"/>
        <w:rPr>
          <w:rFonts w:hint="eastAsia"/>
        </w:rPr>
      </w:pPr>
      <w:r>
        <w:rPr>
          <w:rFonts w:hint="eastAsia"/>
        </w:rPr>
        <w:t>在肯定成效的同时，对照高质量发展要求，师市数字经济仍处于起步爬坡阶段，短板弱项依然突出，主要表现在以下方面：</w:t>
      </w:r>
    </w:p>
    <w:p w14:paraId="570FEC32">
      <w:pPr>
        <w:ind w:firstLine="643"/>
        <w:rPr>
          <w:rFonts w:hint="eastAsia"/>
        </w:rPr>
      </w:pPr>
      <w:r>
        <w:rPr>
          <w:rFonts w:hint="eastAsia"/>
          <w:b/>
          <w:bCs/>
        </w:rPr>
        <w:t>一是数字产业规模偏小、链条不完整。</w:t>
      </w:r>
      <w:r>
        <w:rPr>
          <w:rFonts w:hint="eastAsia"/>
        </w:rPr>
        <w:t>数字经济核心产业总量不大、能级不高，电子信息、软件服务、算力运营等产业仍处起步阶段，龙头企业少、本地配套弱，尚未形成集聚效应，数字经济对经济增长的贡献度偏低。</w:t>
      </w:r>
    </w:p>
    <w:p w14:paraId="18E51475">
      <w:pPr>
        <w:ind w:firstLine="643"/>
        <w:rPr>
          <w:rFonts w:hint="eastAsia"/>
        </w:rPr>
      </w:pPr>
      <w:r>
        <w:rPr>
          <w:rFonts w:hint="eastAsia"/>
          <w:b/>
          <w:bCs/>
        </w:rPr>
        <w:t>二是数实融合深度不够、应用层次较浅。</w:t>
      </w:r>
      <w:r>
        <w:rPr>
          <w:rFonts w:hint="eastAsia"/>
        </w:rPr>
        <w:t>产业数字化转型整体处于单点应用、初级阶段，农业数字化集中在生产端，全链条溯源、智能决策覆盖面有限；工业企业智能化改造滞后，数字化车间、智能工厂偏少；服务业新业态新模式培育不足，融合赋能作用未充分释放。</w:t>
      </w:r>
    </w:p>
    <w:p w14:paraId="274E7B43">
      <w:pPr>
        <w:ind w:firstLine="643"/>
        <w:rPr>
          <w:rFonts w:hint="eastAsia"/>
        </w:rPr>
      </w:pPr>
      <w:r>
        <w:rPr>
          <w:rFonts w:hint="eastAsia"/>
          <w:b/>
          <w:bCs/>
        </w:rPr>
        <w:t>三是数字基础设施不均衡、支撑能力不足。</w:t>
      </w:r>
      <w:r>
        <w:rPr>
          <w:rFonts w:hint="eastAsia"/>
        </w:rPr>
        <w:t>师团连之间网络覆盖、算力供给、物联感知存在差距，偏远连队网络质量不高，数据中心、边缘计算节点布局不足，网络安全、数据安全防护体系尚不健全，难以满足大规模物联网与智能化应用需求。</w:t>
      </w:r>
    </w:p>
    <w:p w14:paraId="08DB7A02">
      <w:pPr>
        <w:ind w:firstLine="643"/>
        <w:rPr>
          <w:rFonts w:hint="eastAsia"/>
        </w:rPr>
      </w:pPr>
      <w:r>
        <w:rPr>
          <w:rFonts w:hint="eastAsia"/>
          <w:b/>
          <w:bCs/>
        </w:rPr>
        <w:t>四是数据要素价值释放不充分。</w:t>
      </w:r>
      <w:r>
        <w:rPr>
          <w:rFonts w:hint="eastAsia"/>
        </w:rPr>
        <w:t>数据标准不统一、共享不充分，部门、行业、团场数据壁垒依然存在，“数据孤岛” 现象突出；数据治理、数据确权、数据开发利用和数据交易尚处于探索阶段，数据要素市场化配置机制尚未建立。</w:t>
      </w:r>
    </w:p>
    <w:p w14:paraId="66E448D6">
      <w:pPr>
        <w:ind w:firstLine="643"/>
        <w:rPr>
          <w:rFonts w:hint="eastAsia"/>
        </w:rPr>
      </w:pPr>
      <w:r>
        <w:rPr>
          <w:rFonts w:hint="eastAsia"/>
          <w:b/>
          <w:bCs/>
        </w:rPr>
        <w:t>五是高端数字人才严重短缺。</w:t>
      </w:r>
      <w:r>
        <w:rPr>
          <w:rFonts w:hint="eastAsia"/>
        </w:rPr>
        <w:t>既懂数字技术又懂产业运营的复合型人才引不进、留不住，本地人才培养规模不足、能力偏弱，职工群众数字素养整体不高，成为制约数字化转型的突出瓶颈。</w:t>
      </w:r>
    </w:p>
    <w:p w14:paraId="5ECB16BA">
      <w:pPr>
        <w:ind w:firstLine="643"/>
        <w:rPr>
          <w:rFonts w:hint="eastAsia"/>
        </w:rPr>
      </w:pPr>
      <w:r>
        <w:rPr>
          <w:rFonts w:hint="eastAsia"/>
          <w:b/>
          <w:bCs/>
        </w:rPr>
        <w:t>六是要素保障体系尚不健全。</w:t>
      </w:r>
      <w:r>
        <w:rPr>
          <w:rFonts w:hint="eastAsia"/>
        </w:rPr>
        <w:t>数字化转型资金投入不足，市场化融资机制不完善，长期稳定运营模式尚未形成；政策体系、服务体系、标准体系不够完善，中小企业数字化转型意愿不强、能力不足、负担较重。</w:t>
      </w:r>
    </w:p>
    <w:p w14:paraId="3033C75F">
      <w:pPr>
        <w:pStyle w:val="2"/>
        <w:jc w:val="center"/>
        <w:rPr>
          <w:rFonts w:hint="eastAsia"/>
        </w:rPr>
      </w:pPr>
      <w:bookmarkStart w:id="4" w:name="_Toc229733036"/>
      <w:r>
        <w:rPr>
          <w:rFonts w:hint="eastAsia"/>
        </w:rPr>
        <w:t>第二章 总体要求</w:t>
      </w:r>
      <w:bookmarkEnd w:id="4"/>
    </w:p>
    <w:p w14:paraId="4D744D45">
      <w:pPr>
        <w:pStyle w:val="3"/>
        <w:rPr>
          <w:rFonts w:hint="eastAsia"/>
        </w:rPr>
      </w:pPr>
      <w:bookmarkStart w:id="5" w:name="_Toc229733037"/>
      <w:r>
        <w:rPr>
          <w:rFonts w:hint="eastAsia"/>
        </w:rPr>
        <w:t>第一节 指导思想</w:t>
      </w:r>
      <w:bookmarkEnd w:id="5"/>
    </w:p>
    <w:p w14:paraId="01C52E08">
      <w:pPr>
        <w:ind w:firstLine="640"/>
        <w:rPr>
          <w:rFonts w:hint="eastAsia"/>
        </w:rPr>
      </w:pPr>
      <w:r>
        <w:rPr>
          <w:rFonts w:hint="eastAsia"/>
        </w:rPr>
        <w:t>以习近平新时代中国特色社会主义思想为指导，全面贯彻党的二十大和二十届二中、三中全会精神，深入落实习近平总书记关于数字经济、网络强国重要论述和视察新疆及兵团重要讲话重要指示精神，立足新发展阶段，完整、准确、全面贯彻新发展理念，服务和融入新发展格局，以推动高质量发展为主题，以发展新质生产力为主线，以数据要素为核心引擎，统筹数字产业化、产业数字化、数据价值化、治理数字化、数字普惠化、安全可控化，深度融合兵地融合、向西开放、对口援疆优势，全面夯实数字基础设施，做强做优数字核心产业，深化重点领域数字化转型，完善数据要素市场体系，强化数字安全保障，为第五师双河市高质量发展、现代化建设提供强劲数字动能。</w:t>
      </w:r>
    </w:p>
    <w:p w14:paraId="048393D8">
      <w:pPr>
        <w:pStyle w:val="3"/>
        <w:rPr>
          <w:rFonts w:hint="eastAsia"/>
        </w:rPr>
      </w:pPr>
      <w:bookmarkStart w:id="6" w:name="_Toc229733038"/>
      <w:r>
        <w:rPr>
          <w:rFonts w:hint="eastAsia"/>
        </w:rPr>
        <w:t>第二节 基本原则</w:t>
      </w:r>
      <w:bookmarkEnd w:id="6"/>
    </w:p>
    <w:p w14:paraId="46CB7C05">
      <w:pPr>
        <w:ind w:firstLine="643"/>
        <w:rPr>
          <w:rFonts w:hint="eastAsia"/>
        </w:rPr>
      </w:pPr>
      <w:r>
        <w:rPr>
          <w:rFonts w:hint="eastAsia"/>
          <w:b/>
          <w:bCs/>
        </w:rPr>
        <w:t>党的领导，统筹推进。</w:t>
      </w:r>
      <w:r>
        <w:rPr>
          <w:rFonts w:hint="eastAsia"/>
        </w:rPr>
        <w:t>坚持党对数字经济建设的全面领导，强化顶层设计、统筹规划、协同联动，形成“统一领导、部门协同、上下联动、市场参与”工作格局。</w:t>
      </w:r>
    </w:p>
    <w:p w14:paraId="07619F48">
      <w:pPr>
        <w:ind w:firstLine="643"/>
        <w:rPr>
          <w:rFonts w:hint="eastAsia"/>
        </w:rPr>
      </w:pPr>
      <w:r>
        <w:rPr>
          <w:rFonts w:hint="eastAsia"/>
          <w:b/>
          <w:bCs/>
        </w:rPr>
        <w:t>数据驱动，融合赋能。</w:t>
      </w:r>
      <w:r>
        <w:rPr>
          <w:rFonts w:hint="eastAsia"/>
        </w:rPr>
        <w:t>以数据要素汇聚、治理、共享、应用为主线，推动数字技术与一二三产、政府治理、民生服务深度融合。</w:t>
      </w:r>
    </w:p>
    <w:p w14:paraId="47283EAF">
      <w:pPr>
        <w:ind w:firstLine="643"/>
        <w:rPr>
          <w:rFonts w:hint="eastAsia"/>
        </w:rPr>
      </w:pPr>
      <w:r>
        <w:rPr>
          <w:rFonts w:hint="eastAsia"/>
          <w:b/>
          <w:bCs/>
        </w:rPr>
        <w:t>创新引领，重点突破。</w:t>
      </w:r>
      <w:r>
        <w:rPr>
          <w:rFonts w:hint="eastAsia"/>
        </w:rPr>
        <w:t>聚焦算力、电子信息、低空经济、数字农业、智慧文旅等优势赛道，打造一批标志性工程、标杆项目。</w:t>
      </w:r>
    </w:p>
    <w:p w14:paraId="6DF99BE2">
      <w:pPr>
        <w:ind w:firstLine="643"/>
        <w:rPr>
          <w:rFonts w:hint="eastAsia"/>
        </w:rPr>
      </w:pPr>
      <w:r>
        <w:rPr>
          <w:rFonts w:hint="eastAsia"/>
          <w:b/>
          <w:bCs/>
        </w:rPr>
        <w:t>兵地融合，向西开放。</w:t>
      </w:r>
      <w:r>
        <w:rPr>
          <w:rFonts w:hint="eastAsia"/>
        </w:rPr>
        <w:t>推动兵地数字基建共联、数据共享、平台共建、产业共兴，服务丝绸之路经济带核心区建设。</w:t>
      </w:r>
    </w:p>
    <w:p w14:paraId="1BDE24EA">
      <w:pPr>
        <w:ind w:firstLine="643"/>
        <w:rPr>
          <w:rFonts w:hint="eastAsia"/>
        </w:rPr>
      </w:pPr>
      <w:r>
        <w:rPr>
          <w:rFonts w:hint="eastAsia"/>
          <w:b/>
          <w:bCs/>
        </w:rPr>
        <w:t>安全可控，普惠均等。</w:t>
      </w:r>
      <w:r>
        <w:rPr>
          <w:rFonts w:hint="eastAsia"/>
        </w:rPr>
        <w:t>统筹发展与安全，筑牢网络安全、数据安全屏障，推动数字服务普惠城乡、惠及全民。</w:t>
      </w:r>
    </w:p>
    <w:p w14:paraId="343AE991">
      <w:pPr>
        <w:pStyle w:val="3"/>
        <w:rPr>
          <w:rFonts w:hint="eastAsia"/>
        </w:rPr>
      </w:pPr>
      <w:bookmarkStart w:id="7" w:name="_Toc229733039"/>
      <w:r>
        <w:rPr>
          <w:rFonts w:hint="eastAsia"/>
        </w:rPr>
        <w:t>第三节 发展定位</w:t>
      </w:r>
      <w:bookmarkEnd w:id="7"/>
    </w:p>
    <w:p w14:paraId="531F413B">
      <w:pPr>
        <w:ind w:firstLine="640"/>
        <w:rPr>
          <w:rFonts w:hint="eastAsia"/>
        </w:rPr>
      </w:pPr>
      <w:r>
        <w:t>立足兵团天山北坡数字产业廊道节点定位，着力打造北疆特色数字经济新高地，建设兵团绿色算力产业基地、国家数字农业创新应用基地、向西开放数字贸易枢纽、数实融合发展示范区、边境数字治理与智慧戍边样板区，以数字技术全面赋能经济社会高质量发展。</w:t>
      </w:r>
      <w:r>
        <w:rPr>
          <w:rFonts w:hint="eastAsia"/>
        </w:rPr>
        <w:tab/>
      </w:r>
    </w:p>
    <w:p w14:paraId="7116614D">
      <w:pPr>
        <w:pStyle w:val="3"/>
        <w:rPr>
          <w:rFonts w:hint="eastAsia"/>
        </w:rPr>
      </w:pPr>
      <w:bookmarkStart w:id="8" w:name="_Toc229733040"/>
      <w:r>
        <w:rPr>
          <w:rFonts w:hint="eastAsia"/>
        </w:rPr>
        <w:t>第四节 发展目标</w:t>
      </w:r>
      <w:bookmarkEnd w:id="8"/>
    </w:p>
    <w:p w14:paraId="029FC442">
      <w:pPr>
        <w:ind w:firstLine="643"/>
        <w:rPr>
          <w:rFonts w:hint="eastAsia"/>
        </w:rPr>
      </w:pPr>
      <w:r>
        <w:rPr>
          <w:b/>
          <w:bCs/>
        </w:rPr>
        <w:t>数字基础设施更加完善</w:t>
      </w:r>
      <w:r>
        <w:rPr>
          <w:rFonts w:hint="eastAsia"/>
          <w:b/>
          <w:bCs/>
        </w:rPr>
        <w:t>。</w:t>
      </w:r>
      <w:r>
        <w:t>5G网络、千兆光网、物联网实现师团连全域覆盖、深度通达，边缘计算、物联感知、智能终端广泛部署。算力基础设施规模能级大幅提升，形成布局合理、绿色低碳、安全高效的算力供给体系。网络安全、数据安全防护体系全面建成，关键信息基础设施安全可靠，数字底座支撑能力显著增强。</w:t>
      </w:r>
    </w:p>
    <w:p w14:paraId="4638C010">
      <w:pPr>
        <w:ind w:firstLine="643"/>
        <w:rPr>
          <w:rFonts w:hint="eastAsia"/>
        </w:rPr>
      </w:pPr>
      <w:r>
        <w:rPr>
          <w:b/>
          <w:bCs/>
        </w:rPr>
        <w:t>数字产业发展实现新突破</w:t>
      </w:r>
      <w:r>
        <w:rPr>
          <w:rFonts w:hint="eastAsia"/>
          <w:b/>
          <w:bCs/>
        </w:rPr>
        <w:t>。</w:t>
      </w:r>
      <w:r>
        <w:t>绿色算力、</w:t>
      </w:r>
      <w:r>
        <w:rPr>
          <w:rFonts w:hint="eastAsia"/>
        </w:rPr>
        <w:t>智能</w:t>
      </w:r>
      <w:r>
        <w:t>制造、数据服务、低空经济等特色数字产业加快集聚，产业链条不断完善，龙头企业与中小企业协同发展的产业生态基本形成。数字经济核心产业规模持续壮大，增加值占GDP比重稳步提升，成为拉动经济增长的新支柱。</w:t>
      </w:r>
    </w:p>
    <w:p w14:paraId="0A2D067A">
      <w:pPr>
        <w:ind w:firstLine="643"/>
        <w:rPr>
          <w:rFonts w:hint="eastAsia"/>
        </w:rPr>
      </w:pPr>
      <w:r>
        <w:rPr>
          <w:b/>
          <w:bCs/>
        </w:rPr>
        <w:t>产业数字化转型取得新成效</w:t>
      </w:r>
      <w:r>
        <w:rPr>
          <w:rFonts w:hint="eastAsia"/>
          <w:b/>
          <w:bCs/>
        </w:rPr>
        <w:t>。</w:t>
      </w:r>
      <w:r>
        <w:t>数字技术与农业、工业、服务业深度融合、全链条赋能。数字农业全域覆盖，建成一批高水平智慧农场、智慧牧场和产业链溯源体系，农业生产智能化、经营网络化、管理数字化水平稳居兵团前列。工业数字化、智能化改造全面推进，智能工厂、数字化车间、工业互联网广泛应用，企业生产效率、创新能力显著提升。服务业数字化新业态、新模式蓬勃发展，电商直播、智慧物流、数字商贸、智慧文旅等形成规模效应，服务效能持续优化。</w:t>
      </w:r>
    </w:p>
    <w:p w14:paraId="7C5E2692">
      <w:pPr>
        <w:ind w:firstLine="643"/>
        <w:rPr>
          <w:rFonts w:hint="eastAsia"/>
        </w:rPr>
      </w:pPr>
      <w:r>
        <w:rPr>
          <w:b/>
          <w:bCs/>
        </w:rPr>
        <w:t>数字化治理能力达到新水平</w:t>
      </w:r>
      <w:r>
        <w:rPr>
          <w:rFonts w:hint="eastAsia"/>
          <w:b/>
          <w:bCs/>
        </w:rPr>
        <w:t>。</w:t>
      </w:r>
      <w:r>
        <w:t>数字政府建设一体推进，政务服务“一网通办、就近能办、跨省通办、免证好办”全面实现，办事效率和服务满意度显著提升。智慧城市、智慧社区、数字连队、智慧边防、智慧应急体系高效运行，“一网统管、一屏观全域、一网管全域”格局基本形成。公共服务数字化普惠均衡，教育、医疗、养老、文旅、社保等领域数字服务全面覆盖，群众获得感、幸福感、安全感持续增强。</w:t>
      </w:r>
    </w:p>
    <w:p w14:paraId="42FAAE58">
      <w:pPr>
        <w:ind w:firstLine="643"/>
        <w:rPr>
          <w:rFonts w:hint="eastAsia"/>
        </w:rPr>
      </w:pPr>
      <w:r>
        <w:rPr>
          <w:b/>
          <w:bCs/>
        </w:rPr>
        <w:t>数据要素价值释放取得新进展</w:t>
      </w:r>
      <w:r>
        <w:rPr>
          <w:rFonts w:hint="eastAsia"/>
          <w:b/>
          <w:bCs/>
        </w:rPr>
        <w:t>。</w:t>
      </w:r>
      <w:r>
        <w:t>数据资源体系基本建成，数据归集、治理、共享、开放机制更加健全，跨部门、跨行业、跨团场数据壁垒有效打破，“数据孤岛”问题基本解决。数据确权、定价、流通、交易机制逐步完善，数据开发利用和数据服务产业加快发展，数据要素对经济增长的贡献度大幅提升，形成一批可复制、可推广的数据价值化应用场景。</w:t>
      </w:r>
    </w:p>
    <w:p w14:paraId="25FF30D3">
      <w:pPr>
        <w:ind w:firstLine="640"/>
        <w:rPr>
          <w:rFonts w:hint="eastAsia"/>
        </w:rPr>
      </w:pPr>
    </w:p>
    <w:p w14:paraId="4A00D3BC">
      <w:pPr>
        <w:pStyle w:val="2"/>
        <w:jc w:val="center"/>
        <w:rPr>
          <w:rFonts w:hint="eastAsia"/>
        </w:rPr>
      </w:pPr>
      <w:bookmarkStart w:id="9" w:name="_Toc229733041"/>
      <w:r>
        <w:rPr>
          <w:rFonts w:hint="eastAsia"/>
        </w:rPr>
        <w:t>第三章 构建泛在智联数字基础设施体系</w:t>
      </w:r>
      <w:bookmarkEnd w:id="9"/>
    </w:p>
    <w:p w14:paraId="1CC7BF45">
      <w:pPr>
        <w:pStyle w:val="3"/>
        <w:rPr>
          <w:rFonts w:hint="eastAsia"/>
        </w:rPr>
      </w:pPr>
      <w:bookmarkStart w:id="10" w:name="_Toc229733042"/>
      <w:r>
        <w:rPr>
          <w:rFonts w:hint="eastAsia"/>
        </w:rPr>
        <w:t>第一节 升级高速泛在网络底座</w:t>
      </w:r>
      <w:bookmarkEnd w:id="10"/>
    </w:p>
    <w:p w14:paraId="36018A17">
      <w:pPr>
        <w:ind w:firstLine="640"/>
        <w:rPr>
          <w:rFonts w:hint="eastAsia"/>
        </w:rPr>
      </w:pPr>
      <w:r>
        <w:rPr>
          <w:rFonts w:hint="eastAsia"/>
        </w:rPr>
        <w:t>以全域覆盖、高速泛在、云网协同、安全可靠为方向，全面升级数字基础设施网络底座，为数字经济发展提供坚实支撑。持续推进5G基站与千兆光网建设，实现师团连、产业园区、农田牧场、边境一线、重点景区深度覆盖，提升网络带宽、低时延与大连接能力。扩大光纤宽带覆盖面，实施固边网络补强工程，完善偏远连队与边境地区通信保障，推进万兆进园区、千兆进连队、光纤入户全覆盖。</w:t>
      </w:r>
    </w:p>
    <w:p w14:paraId="741B6DE4">
      <w:pPr>
        <w:ind w:firstLine="640"/>
        <w:rPr>
          <w:rFonts w:hint="eastAsia"/>
        </w:rPr>
      </w:pPr>
      <w:r>
        <w:rPr>
          <w:rFonts w:hint="eastAsia"/>
        </w:rPr>
        <w:t>全域部署物联网感知终端，构建空天地一体化感知网络，广泛覆盖智慧农业、城镇管网、交通物流、生态环保、公共安全等场景，实现数据自动采集、全域监测、智能预警。统筹布局边缘计算节点，推动云边协同、算力下沉，提升实时处理与响应能力。健全网络安全防护体系，强化关键信息基础设施防护、数据传输安全与应急保障能力。推进多网融合互通，构建高速、泛在、智能、绿色、安全的现代化网络体系，全面支撑产业数字化、数字产业化、数字化治理与智慧戍边高质量发展。</w:t>
      </w:r>
    </w:p>
    <w:p w14:paraId="5B53C65A">
      <w:pPr>
        <w:pStyle w:val="3"/>
        <w:rPr>
          <w:rFonts w:hint="eastAsia"/>
        </w:rPr>
      </w:pPr>
      <w:bookmarkStart w:id="11" w:name="_Toc229733043"/>
      <w:r>
        <w:rPr>
          <w:rFonts w:hint="eastAsia"/>
        </w:rPr>
        <w:t>第二节 统筹布局绿色智能算力</w:t>
      </w:r>
      <w:bookmarkEnd w:id="11"/>
    </w:p>
    <w:p w14:paraId="37ED54B8">
      <w:pPr>
        <w:ind w:firstLine="640"/>
        <w:rPr>
          <w:rFonts w:hint="eastAsia"/>
        </w:rPr>
      </w:pPr>
      <w:r>
        <w:t>紧扣国家“东数西算”战略与兵团算力产业布局，立足风光新能源优势，统筹推进绿色智能算力建设与算电协同发展，打造兵团北疆重要绿色算力供给基地。加快建设智算中心、大数据中心，扩大算力规模，提升算力能级，重点发展算力租赁、数据存储、AI训练、云计算等服务，构建集约高效、绿色低碳的算力供给体系。依托本地风光储一体化项目优势，推动绿电直供、源网荷储协同，实现算力中心用能清洁化、低碳化，降低算力运营成本。</w:t>
      </w:r>
    </w:p>
    <w:p w14:paraId="26D7F182">
      <w:pPr>
        <w:ind w:firstLine="640"/>
        <w:rPr>
          <w:rFonts w:hint="eastAsia"/>
        </w:rPr>
      </w:pPr>
      <w:r>
        <w:t>优化算力布局，推动边缘计算节点向团场、园区、产业基地延伸，促进云边协同、算力下沉，满足智慧农业、智能制造、低空经济等实时性应用需求。健全算力调度机制，推动师市算力资源互联互通、按需调度，融入兵团算力网与全国一体化算力网络。强化算力安全保障，构建算力设施安全、数据安全、应用安全防护体系。通过算电深度协同，形成“新能源+绿电+算力+产业”融合发展新模式，为数字经济高质量发展提供强劲动能。</w:t>
      </w:r>
    </w:p>
    <w:p w14:paraId="4558D9D3">
      <w:pPr>
        <w:pStyle w:val="3"/>
        <w:rPr>
          <w:rFonts w:hint="eastAsia"/>
        </w:rPr>
      </w:pPr>
      <w:bookmarkStart w:id="12" w:name="_Toc229733044"/>
      <w:r>
        <w:rPr>
          <w:rFonts w:hint="eastAsia"/>
        </w:rPr>
        <w:t>第三节 推进传统基建数字化改造</w:t>
      </w:r>
      <w:bookmarkEnd w:id="12"/>
    </w:p>
    <w:p w14:paraId="7CA94612">
      <w:pPr>
        <w:ind w:firstLine="640"/>
        <w:rPr>
          <w:rFonts w:hint="eastAsia"/>
        </w:rPr>
      </w:pPr>
      <w:r>
        <w:rPr>
          <w:rFonts w:hint="eastAsia"/>
        </w:rPr>
        <w:t>全面推进交通、水利、市政、能源、住建等传统基础设施数字化、智能化改造，构建“一网统管、一屏感知、智能调度”的智慧基础设施体系。加快智慧交通建设，完善路网监测、智能执法、应急指挥、车路协同等数字化设施，实现公路建管养运全流程数字化管控。推进智慧水利升级，构建水雨情监测、水资源调度、洪水预警、灌区管控一体化数字平台，提升水安全保障能力。</w:t>
      </w:r>
    </w:p>
    <w:p w14:paraId="04F21941">
      <w:pPr>
        <w:ind w:firstLine="640"/>
        <w:rPr>
          <w:rFonts w:hint="eastAsia"/>
        </w:rPr>
      </w:pPr>
      <w:r>
        <w:rPr>
          <w:rFonts w:hint="eastAsia"/>
        </w:rPr>
        <w:t>实施市政设施智慧化改造，建设智慧水务、智慧燃气、智慧供热、智慧管网系统，部署智能感知终端，实现漏损监测、远程调控、安全预警全覆盖。推动能源基础设施数字化升级，完善电网智能调度、新能源功率预测、用电在线监测体系，打造源网荷储一体化数字管控平台。推进城市信息模型（CIM）平台建设，实现市政、园林、环卫、管网、工地等设施数字化映射与智能管理。通过全域数字化改造，全面提升基础设施运行效率、安全韧性与服务水平，为智慧城市、数字治理提供坚实硬件支撑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600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56BF77B4">
            <w:pPr>
              <w:pStyle w:val="16"/>
              <w:snapToGrid w:val="0"/>
              <w:spacing w:after="0" w:line="240" w:lineRule="auto"/>
              <w:ind w:left="0" w:firstLine="56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双河市数字经济“强基”工程</w:t>
            </w:r>
          </w:p>
        </w:tc>
      </w:tr>
      <w:tr w14:paraId="13810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218D64ED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师市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一体化大数据中心建设项目</w:t>
            </w:r>
          </w:p>
          <w:p w14:paraId="4865AB1E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政务云平台升级改造项目</w:t>
            </w:r>
          </w:p>
          <w:p w14:paraId="7F6281A0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城市信息模型（CIM）平台建设项目</w:t>
            </w:r>
          </w:p>
          <w:p w14:paraId="0113CE44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风光储一体化项目</w:t>
            </w:r>
          </w:p>
          <w:p w14:paraId="6FDCB2FC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一体化电网调度集控智慧管理平台</w:t>
            </w:r>
          </w:p>
          <w:p w14:paraId="19BD0188">
            <w:pPr>
              <w:ind w:firstLine="56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数据中台建设项目</w:t>
            </w:r>
          </w:p>
          <w:p w14:paraId="00CB54CE">
            <w:pPr>
              <w:pStyle w:val="16"/>
              <w:topLinePunct/>
              <w:spacing w:after="0" w:line="500" w:lineRule="exact"/>
              <w:ind w:left="0" w:firstLine="640"/>
              <w:jc w:val="both"/>
              <w:rPr>
                <w:rFonts w:hint="eastAsia"/>
              </w:rPr>
            </w:pPr>
          </w:p>
        </w:tc>
      </w:tr>
    </w:tbl>
    <w:p w14:paraId="57F7671E">
      <w:pPr>
        <w:ind w:firstLine="640"/>
        <w:rPr>
          <w:rFonts w:hint="eastAsia"/>
        </w:rPr>
      </w:pPr>
    </w:p>
    <w:p w14:paraId="493BCB7E">
      <w:pPr>
        <w:pStyle w:val="2"/>
        <w:jc w:val="center"/>
        <w:rPr>
          <w:rFonts w:hint="eastAsia"/>
        </w:rPr>
      </w:pPr>
      <w:bookmarkStart w:id="13" w:name="_Toc229733045"/>
      <w:r>
        <w:rPr>
          <w:rFonts w:hint="eastAsia"/>
        </w:rPr>
        <w:t>第四章 做强做优数字经济核心产业</w:t>
      </w:r>
      <w:bookmarkEnd w:id="13"/>
    </w:p>
    <w:p w14:paraId="15FA7DFD">
      <w:pPr>
        <w:pStyle w:val="3"/>
        <w:rPr>
          <w:rFonts w:hint="eastAsia"/>
        </w:rPr>
      </w:pPr>
      <w:bookmarkStart w:id="14" w:name="_Toc229733046"/>
      <w:r>
        <w:rPr>
          <w:rFonts w:hint="eastAsia"/>
        </w:rPr>
        <w:t>第一节 培育壮大算力数据产业</w:t>
      </w:r>
      <w:bookmarkEnd w:id="14"/>
    </w:p>
    <w:p w14:paraId="45C004E3">
      <w:pPr>
        <w:ind w:firstLine="640"/>
        <w:rPr>
          <w:rFonts w:hint="eastAsia"/>
        </w:rPr>
      </w:pPr>
      <w:r>
        <w:t>依托绿色能源与区位优势，把算力数据产业作为数字经济核心引擎重点培育。加快建设智算中心集群，扩大算力供给规模，发展算力租赁、AI训练、数据存储、云计算等核心业态，打造兵团北疆绿色算力基地。深化算电协同，推动风光储一体化绿电直供算力设施，实现低碳高效运营。</w:t>
      </w:r>
    </w:p>
    <w:p w14:paraId="72885838">
      <w:pPr>
        <w:ind w:firstLine="640"/>
        <w:rPr>
          <w:rFonts w:hint="eastAsia"/>
        </w:rPr>
      </w:pPr>
      <w:r>
        <w:t>加快数据要素价值化进程，完善数据归集、治理、共享、开放机制，打通数据壁垒，建设师市数据共享交换平台与数据资源池。积极对接内地数据交易所，开展数据加工、数据标注、数据分析等服务，培育数据服务市场。推动数据与产业深度融合，打造农业大数据、工业大数据、政务大数据等特色应用场景，促进数据资产化、价值化变现。</w:t>
      </w:r>
    </w:p>
    <w:p w14:paraId="73AD61CA">
      <w:pPr>
        <w:ind w:firstLine="640"/>
        <w:rPr>
          <w:rFonts w:hint="eastAsia"/>
        </w:rPr>
      </w:pPr>
      <w:r>
        <w:t>强化算力数据安全保障，构建安全合规、可信可控的产业发展体系。引进培育算力运营、数据服务、系统集成等市场主体，完善产业链配套，推动算力数据产业集聚成势，成为拉动经济增长的新支柱。</w:t>
      </w:r>
    </w:p>
    <w:p w14:paraId="5D8D6F8D">
      <w:pPr>
        <w:pStyle w:val="3"/>
        <w:rPr>
          <w:rFonts w:hint="eastAsia"/>
        </w:rPr>
      </w:pPr>
      <w:bookmarkStart w:id="15" w:name="_Toc229733047"/>
      <w:r>
        <w:rPr>
          <w:rFonts w:hint="eastAsia"/>
        </w:rPr>
        <w:t>第二节 聚力发展电子信息制造</w:t>
      </w:r>
      <w:bookmarkEnd w:id="15"/>
    </w:p>
    <w:p w14:paraId="15FD6717">
      <w:pPr>
        <w:ind w:firstLine="640"/>
        <w:rPr>
          <w:rFonts w:hint="eastAsia"/>
        </w:rPr>
      </w:pPr>
      <w:r>
        <w:t>立足产业基础，聚力发展</w:t>
      </w:r>
      <w:r>
        <w:rPr>
          <w:rFonts w:hint="eastAsia"/>
        </w:rPr>
        <w:t>智能</w:t>
      </w:r>
      <w:r>
        <w:t>制造产业，打造兵团北疆电子新材料与元器件重要生产基地。以电极箔等优势产品为核心，支持龙头企业扩能提质、延链补链，重点发展高压电极箔、电子专用材料等上下游产品，完善闭环产业链，提升产业规模与市场竞争力。加大招商引资力度，主动承接内地电子信息产业转移，引进传感器、功率器件、智能终端等配套企业，推动产业集聚发展。</w:t>
      </w:r>
    </w:p>
    <w:p w14:paraId="3568A24A">
      <w:pPr>
        <w:ind w:firstLine="640"/>
        <w:rPr>
          <w:rFonts w:hint="eastAsia"/>
        </w:rPr>
      </w:pPr>
      <w:r>
        <w:t>强化技术创新与智能制造，鼓励企业开展工艺升级、产品迭代和数字化改造，建设数字化车间、智能工厂，提高生产效率与产品质量。推动</w:t>
      </w:r>
      <w:r>
        <w:rPr>
          <w:rFonts w:hint="eastAsia"/>
        </w:rPr>
        <w:t>智能</w:t>
      </w:r>
      <w:r>
        <w:t>制造与本地新能源、智慧农业、低空经济等产业协同配套，提升本地适配与供应能力。完善产业服务与要素保障，优化</w:t>
      </w:r>
      <w:r>
        <w:rPr>
          <w:rFonts w:hint="eastAsia"/>
        </w:rPr>
        <w:t>产业</w:t>
      </w:r>
      <w:r>
        <w:t>园区数字化配套设施，培育专精特新企业，推动</w:t>
      </w:r>
      <w:r>
        <w:rPr>
          <w:rFonts w:hint="eastAsia"/>
        </w:rPr>
        <w:t>智能</w:t>
      </w:r>
      <w:r>
        <w:t>制造产业规模化、高端化、绿色化发展，成为师市工业经济新的增长极。</w:t>
      </w:r>
    </w:p>
    <w:p w14:paraId="0A26CEEC">
      <w:pPr>
        <w:pStyle w:val="3"/>
        <w:rPr>
          <w:rFonts w:hint="eastAsia"/>
        </w:rPr>
      </w:pPr>
      <w:bookmarkStart w:id="16" w:name="_Toc229733048"/>
      <w:r>
        <w:rPr>
          <w:rFonts w:hint="eastAsia"/>
        </w:rPr>
        <w:t>第三节 前瞻布局低空经济赛道</w:t>
      </w:r>
      <w:bookmarkEnd w:id="16"/>
    </w:p>
    <w:p w14:paraId="0DDCE5A4">
      <w:pPr>
        <w:ind w:firstLine="640"/>
        <w:rPr>
          <w:rFonts w:hint="eastAsia"/>
        </w:rPr>
      </w:pPr>
      <w:r>
        <w:rPr>
          <w:rFonts w:hint="eastAsia"/>
        </w:rPr>
        <w:t>抢抓低空经济发展机遇，依托区位与空域优势，前瞻布局、系统培育低空经济新赛道。重点构建农业低空作业、低空文旅、低空物流、低空安防四大应用场景，推动无人机在棉田植保、林果监测、精准播种、生态巡查等领域规模化应用，打造兵团低空农业服务示范区。依托口岸与景区资源，发展低空观光、短途飞行、航空研学等文旅新业态，拓展低空经济消费市场。</w:t>
      </w:r>
    </w:p>
    <w:p w14:paraId="6E627701">
      <w:pPr>
        <w:ind w:firstLine="640"/>
        <w:rPr>
          <w:rFonts w:hint="eastAsia"/>
        </w:rPr>
      </w:pPr>
      <w:r>
        <w:rPr>
          <w:rFonts w:hint="eastAsia"/>
        </w:rPr>
        <w:t>完善低空基础设施，统筹建设低空智联网与空管调度平台，构建安全高效的低空飞行保障体系。推动低空制造、运营、服务、维修全链条培育，引进无人机运营、数据处理、飞行培训等市场主体，完善产业生态。强化低空安全监管，建立飞行报备、智能识别、空域管控机制，推动低空经济规范有序发展。通过场景牵引、设施先行、产业集聚，将低空经济打造为师市数字经济新的增长点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5F5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527C4491">
            <w:pPr>
              <w:pStyle w:val="16"/>
              <w:snapToGrid w:val="0"/>
              <w:spacing w:after="0" w:line="240" w:lineRule="auto"/>
              <w:ind w:left="0" w:firstLine="56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双河市数字经济“提能”工程</w:t>
            </w:r>
          </w:p>
        </w:tc>
      </w:tr>
      <w:tr w14:paraId="109BB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59422109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高压电极箔扩能项目</w:t>
            </w:r>
          </w:p>
          <w:p w14:paraId="5BF15177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智算中心建设项目</w:t>
            </w:r>
          </w:p>
          <w:p w14:paraId="58FA2CF6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hint="eastAsia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低空经济</w:t>
            </w:r>
          </w:p>
        </w:tc>
      </w:tr>
    </w:tbl>
    <w:p w14:paraId="411F9F73">
      <w:pPr>
        <w:ind w:firstLine="0" w:firstLineChars="0"/>
        <w:rPr>
          <w:rFonts w:hint="eastAsia"/>
        </w:rPr>
      </w:pPr>
    </w:p>
    <w:p w14:paraId="7534E3A1">
      <w:pPr>
        <w:pStyle w:val="2"/>
        <w:jc w:val="center"/>
        <w:rPr>
          <w:rFonts w:hint="eastAsia"/>
        </w:rPr>
      </w:pPr>
      <w:bookmarkStart w:id="17" w:name="_Toc229733049"/>
      <w:r>
        <w:rPr>
          <w:rFonts w:hint="eastAsia"/>
        </w:rPr>
        <w:t>第五章 全面推进产业数字化转型</w:t>
      </w:r>
      <w:bookmarkEnd w:id="17"/>
    </w:p>
    <w:p w14:paraId="090D8410">
      <w:pPr>
        <w:pStyle w:val="3"/>
        <w:rPr>
          <w:rFonts w:hint="eastAsia"/>
        </w:rPr>
      </w:pPr>
      <w:bookmarkStart w:id="18" w:name="_Toc229733050"/>
      <w:r>
        <w:rPr>
          <w:rFonts w:hint="eastAsia"/>
        </w:rPr>
        <w:t>第一节 数字赋能现代农业提质增效</w:t>
      </w:r>
      <w:bookmarkEnd w:id="18"/>
    </w:p>
    <w:p w14:paraId="669014EE">
      <w:pPr>
        <w:ind w:firstLine="640"/>
        <w:rPr>
          <w:rFonts w:hint="eastAsia"/>
        </w:rPr>
      </w:pPr>
      <w:r>
        <w:rPr>
          <w:rFonts w:hint="eastAsia"/>
        </w:rPr>
        <w:t>以数字技术全面赋能现代农业，推动棉花、葡萄、畜牧、特色种植等主导产业全链条数字化转型，打造兵团数字农业示范标杆。加快建设国家数字农业创新应用基地，推广北斗导航、智能农机、无人机飞防、水肥一体化、物联网监测等技术装备，实现大田种植精准化、智能化作业。深化智慧养殖应用，完善生猪、蛋鸡、牛羊等数字化管控与质量溯源体系，推广“云养殖”模式，提升养殖效率与疫病防控水平。</w:t>
      </w:r>
    </w:p>
    <w:p w14:paraId="407FD45D">
      <w:pPr>
        <w:ind w:firstLine="640"/>
        <w:rPr>
          <w:rFonts w:hint="eastAsia"/>
        </w:rPr>
      </w:pPr>
      <w:r>
        <w:rPr>
          <w:rFonts w:hint="eastAsia"/>
        </w:rPr>
        <w:t>构建农产品全链条质量追溯系统，实现种植、加工、流通、销售全程可追溯，提升品牌价值与市场竞争力。壮大农村电商与直播带货，完善产地仓储、冷链物流数字化配套，拓宽农产品线上销售渠道。搭建师市农业大数据平台，整合气象、墒情、虫情、长势、农机作业等数据，实现智能决策与精准调度。推动数字技术与种业、加工、流通、供销深度融合，构建生产智能化、经营网络化、管理数据化、服务在线化的现代农业体系，全面促进农业提质增效、职工增收。</w:t>
      </w:r>
    </w:p>
    <w:p w14:paraId="0302CED4">
      <w:pPr>
        <w:pStyle w:val="3"/>
        <w:rPr>
          <w:rFonts w:hint="eastAsia"/>
        </w:rPr>
      </w:pPr>
      <w:bookmarkStart w:id="19" w:name="_Toc229733051"/>
      <w:r>
        <w:rPr>
          <w:rFonts w:hint="eastAsia"/>
        </w:rPr>
        <w:t>第二节 数字赋能工业智造升级</w:t>
      </w:r>
      <w:bookmarkEnd w:id="19"/>
    </w:p>
    <w:p w14:paraId="1DC542BB">
      <w:pPr>
        <w:ind w:firstLine="640"/>
        <w:rPr>
          <w:rFonts w:hint="eastAsia"/>
        </w:rPr>
      </w:pPr>
      <w:r>
        <w:t>坚持以数字技术赋能工业转型升级，推动传统工业向高端化、智能化、绿色化迈进。以经开区为主阵地，引导电极箔、农产品加工、建材、装备制造等重点行业实施智能化改造，普及数字化生产设备，建设智能产线、数字化车间和智能工厂，提升企业生产效率与管控水平。加快工业互联网平台建设，推动企业设备上云、数据上链，实现生产、运营、供应链全流程数据贯通与协同管理。</w:t>
      </w:r>
    </w:p>
    <w:p w14:paraId="339DBDC1">
      <w:pPr>
        <w:ind w:firstLine="640"/>
        <w:rPr>
          <w:rFonts w:hint="eastAsia"/>
        </w:rPr>
      </w:pPr>
      <w:r>
        <w:t>深入实施中小企业“智改数转”行动，推广轻量化、低成本数字化解决方案，降低转型门槛。强化产业链协同赋能，依托龙头企业打造产业大脑，带动上下游企业数字化协同，提升产业链整体竞争力。推动数字技术与绿色制造融合，加强能耗监测、碳排管控、工艺优化，促进工业节能降碳。完善数字化转型公共服务，培育系统集成、运维服务、诊断咨询等第三方机构，构建协同高效的工业智造生态，全面提升师市工业数字化、网络化、智能化发展水平。</w:t>
      </w:r>
    </w:p>
    <w:p w14:paraId="458559F9">
      <w:pPr>
        <w:pStyle w:val="3"/>
        <w:rPr>
          <w:rFonts w:hint="eastAsia"/>
        </w:rPr>
      </w:pPr>
      <w:bookmarkStart w:id="20" w:name="_Toc229733052"/>
      <w:r>
        <w:rPr>
          <w:rFonts w:hint="eastAsia"/>
        </w:rPr>
        <w:t>第三节 数字赋能服务业融合创新</w:t>
      </w:r>
      <w:bookmarkEnd w:id="20"/>
    </w:p>
    <w:p w14:paraId="27D97C87">
      <w:pPr>
        <w:ind w:firstLine="640"/>
        <w:rPr>
          <w:rFonts w:hint="eastAsia"/>
        </w:rPr>
      </w:pPr>
      <w:r>
        <w:rPr>
          <w:rFonts w:hint="eastAsia"/>
        </w:rPr>
        <w:t>以数字技术推动服务业业态升级、模式创新、融合发展，构建线上线下联动、供需高效匹配的现代服务体系。大力发展数字商贸与跨境电商，依托口岸与自贸试验区政策优势，建设跨境电商服务中心、直播电商基地，完善“线上平台+直播带货+产地直供”模式，推动特色农产品、电子产品拓展国内外市场。加快智慧物流建设，推进冷链仓储、园区物流、公铁联运数字化改造，构建智能调度、全程追溯、高效协同的现代物流体系。</w:t>
      </w:r>
    </w:p>
    <w:p w14:paraId="5D8AFD11">
      <w:pPr>
        <w:ind w:firstLine="640"/>
        <w:rPr>
          <w:rFonts w:hint="eastAsia"/>
        </w:rPr>
      </w:pPr>
      <w:r>
        <w:rPr>
          <w:rFonts w:hint="eastAsia"/>
        </w:rPr>
        <w:t>推动文旅产业数字化转型，打造智慧景区、数字展馆、VR/AR沉浸式体验项目，提升智慧导览、线上预约、智能安防服务水平。发展智慧便民服务，推广线上商城、社区团购、即时零售，构建“线上下单、线下配送、就近服务”便民生活圈。推动金融、供销、养老、文旅等生活性服务业数字化升级，丰富服务场景、提升服务效能。通过数字赋能，促进服务业规模化、品牌化、数字化发展，培育形成经济增长新动能。</w:t>
      </w:r>
    </w:p>
    <w:p w14:paraId="381B4D98">
      <w:pPr>
        <w:pStyle w:val="3"/>
        <w:rPr>
          <w:rFonts w:hint="eastAsia"/>
        </w:rPr>
      </w:pPr>
      <w:bookmarkStart w:id="21" w:name="_Toc229733053"/>
      <w:r>
        <w:rPr>
          <w:rFonts w:hint="eastAsia"/>
        </w:rPr>
        <w:t>第四节 数字赋能兵地融合产业协同</w:t>
      </w:r>
      <w:bookmarkEnd w:id="21"/>
    </w:p>
    <w:p w14:paraId="0A7C8096">
      <w:pPr>
        <w:ind w:firstLine="640"/>
        <w:rPr>
          <w:rFonts w:hint="eastAsia"/>
        </w:rPr>
      </w:pPr>
      <w:r>
        <w:rPr>
          <w:rFonts w:hint="eastAsia"/>
        </w:rPr>
        <w:t>坚持兵地“一盘棋”发展理念，以数字技术为纽带，深化兵地产业协同、资源共享、设施互通、数据共用，打造兵地数字融合发展样板。统筹推进兵地数字基础设施共建共享，统一规划5G、物联网、算力网络、数据中心等布局，实现网络互通、平台对接、资源共用，降低协同发展成本。搭建兵地产业协同数字平台，推动农业、工业、商贸、文旅等产业链数据互联互通，促进兵地企业订单、产能、技术、渠道高效对接。</w:t>
      </w:r>
    </w:p>
    <w:p w14:paraId="655DAF17">
      <w:pPr>
        <w:ind w:firstLine="640"/>
        <w:rPr>
          <w:rFonts w:hint="eastAsia"/>
        </w:rPr>
      </w:pPr>
      <w:r>
        <w:rPr>
          <w:rFonts w:hint="eastAsia"/>
        </w:rPr>
        <w:t>深化数字农业协同，共建智慧农业示范区、农产品溯源体系和区域公共品牌，实现生产标准统一、质量监管协同、市场渠道共享。推进工业数字协同，引导兵地园区、企业开展产业链协同改造、设备上云、数据互通，培育协同制造、供应链一体化新模式。加快服务业数字融合，共建跨境电商、智慧物流、文旅体验、便民服务数字化场景，实现服务同城化、便利化。完善兵地数据共享机制，推动政务服务、监管执法、应急管理、社会治理数据互通互认，以数字化全面提升兵地融合发展层次与协同效能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FA7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5612F2D3">
            <w:pPr>
              <w:pStyle w:val="16"/>
              <w:snapToGrid w:val="0"/>
              <w:spacing w:after="0" w:line="240" w:lineRule="auto"/>
              <w:ind w:left="0" w:firstLine="56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3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双河市数字经济“助产”工程</w:t>
            </w:r>
          </w:p>
        </w:tc>
      </w:tr>
      <w:tr w14:paraId="45616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35CC147D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国家数字农业创新应用基地建设项目（棉花）</w:t>
            </w:r>
          </w:p>
          <w:p w14:paraId="713ABCB3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国家数字农业创新应用基地建设项目（葡萄）</w:t>
            </w:r>
          </w:p>
          <w:p w14:paraId="75660F31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物流园冷链仓储建设项目</w:t>
            </w:r>
          </w:p>
          <w:p w14:paraId="6761C7DB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现代农业大健康全品类饮料无菌冷灌装智造项目</w:t>
            </w:r>
          </w:p>
          <w:p w14:paraId="2D3CFC8B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智能温室设施农业项目</w:t>
            </w:r>
          </w:p>
          <w:p w14:paraId="17B12E20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果蔬智能工厂建设项目</w:t>
            </w:r>
          </w:p>
          <w:p w14:paraId="03433C00">
            <w:pPr>
              <w:pStyle w:val="16"/>
              <w:topLinePunct/>
              <w:spacing w:after="0" w:line="500" w:lineRule="exact"/>
              <w:ind w:left="0" w:firstLine="562"/>
              <w:jc w:val="both"/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数字畜牧业创新应用基地建设项目</w:t>
            </w:r>
          </w:p>
        </w:tc>
      </w:tr>
    </w:tbl>
    <w:p w14:paraId="45817E3B">
      <w:pPr>
        <w:pStyle w:val="2"/>
        <w:jc w:val="center"/>
        <w:rPr>
          <w:rFonts w:hint="eastAsia"/>
        </w:rPr>
      </w:pPr>
      <w:bookmarkStart w:id="22" w:name="_Toc229733054"/>
      <w:r>
        <w:rPr>
          <w:rFonts w:hint="eastAsia"/>
        </w:rPr>
        <w:t>第六章 高水平建设数字政府与智慧城市</w:t>
      </w:r>
      <w:bookmarkEnd w:id="22"/>
    </w:p>
    <w:p w14:paraId="13D47EC5">
      <w:pPr>
        <w:pStyle w:val="3"/>
        <w:rPr>
          <w:rFonts w:hint="eastAsia"/>
        </w:rPr>
      </w:pPr>
      <w:bookmarkStart w:id="23" w:name="_Toc229733055"/>
      <w:r>
        <w:rPr>
          <w:rFonts w:hint="eastAsia"/>
        </w:rPr>
        <w:t>第一节 一体化政务服务“一网通办”</w:t>
      </w:r>
      <w:bookmarkEnd w:id="23"/>
    </w:p>
    <w:p w14:paraId="5A0FFD2B">
      <w:pPr>
        <w:ind w:firstLine="640"/>
        <w:rPr>
          <w:rFonts w:hint="eastAsia"/>
        </w:rPr>
      </w:pPr>
      <w:r>
        <w:t>持续深化“放管服”改革，全面推进一体化政务服务“一网通办”体系建设，构建线上线下融合、全域协同便捷的政务服务新格局。依托统一政务服务平台，整合各部门、各团场政务服务事项，全面梳理标准化办事清单，实现政务服务事项应上尽上、全程网办。统一办事流程、申请材料、办理时限，精简证明材料，推行免证办、容缺办、承诺制办理，最大程度减环节、减材料、减时限。</w:t>
      </w:r>
    </w:p>
    <w:p w14:paraId="32703DE7">
      <w:pPr>
        <w:ind w:firstLine="640"/>
        <w:rPr>
          <w:rFonts w:hint="eastAsia"/>
        </w:rPr>
      </w:pPr>
      <w:r>
        <w:t>完善线上服务渠道，优化政务服务网、移动端小程序等服务入口，拓展网上申报、线上审批、进度查询、结果推送等功能，实现群众和企业办事足不出户、全程在线。统筹线下政务服务大厅、团场便民服务中心、社区服务站点资源，推进政务服务向基层下沉，构建就近办、上门办、帮代办服务体系。</w:t>
      </w:r>
    </w:p>
    <w:p w14:paraId="1703943F">
      <w:pPr>
        <w:ind w:firstLine="640"/>
        <w:rPr>
          <w:rFonts w:hint="eastAsia"/>
        </w:rPr>
      </w:pPr>
      <w:r>
        <w:t>深化跨部门、跨层级、跨兵地业务协同，打通数据共享和业务办理壁垒，推动高频事项跨省通办、兵地通办。健全政务服务评价与督办机制，以群众满意度为导向持续优化服务流程，全面提升政务服务标准化、智能化、便利化水平，打造高效透明、普惠均等的数字政务服务环境。</w:t>
      </w:r>
    </w:p>
    <w:p w14:paraId="7F5AF9BE">
      <w:pPr>
        <w:pStyle w:val="3"/>
        <w:rPr>
          <w:rFonts w:hint="eastAsia"/>
        </w:rPr>
      </w:pPr>
      <w:bookmarkStart w:id="24" w:name="_Toc229733056"/>
      <w:r>
        <w:rPr>
          <w:rFonts w:hint="eastAsia"/>
        </w:rPr>
        <w:t>第二节 全域化城市运行“一网统管”</w:t>
      </w:r>
      <w:bookmarkEnd w:id="24"/>
    </w:p>
    <w:p w14:paraId="602BEB74">
      <w:pPr>
        <w:ind w:firstLine="640"/>
        <w:rPr>
          <w:rFonts w:hint="eastAsia"/>
        </w:rPr>
      </w:pPr>
      <w:r>
        <w:t>全面推进城市运行全域化“一网统管”体系建设，依托城市信息模型与大数据底座，整合城市管理、应急安全、生态环保、市政设施、基层治理等各类资源，构建一屏观全域、一网管全局的智慧治理新格局。统筹汇聚道路交通、供水供热、燃气管网、园林绿化、市容环卫、生态环境等全域感知数据，接入视频监控、物联感知、智能监测等终端设备，实现城市运行状态实时感知、动态监测、智能研判。</w:t>
      </w:r>
    </w:p>
    <w:p w14:paraId="0FF49DAE">
      <w:pPr>
        <w:ind w:firstLine="640"/>
        <w:rPr>
          <w:rFonts w:hint="eastAsia"/>
        </w:rPr>
      </w:pPr>
      <w:r>
        <w:t>搭建一体化城市运行管理平台，理顺市、团、</w:t>
      </w:r>
      <w:r>
        <w:rPr>
          <w:rFonts w:hint="eastAsia"/>
        </w:rPr>
        <w:t>连</w:t>
      </w:r>
      <w:r>
        <w:t>三级治理架构，明晰权责清单与处置流程，建立事件自动发现、智能派单、分级处置、闭环管理工作机制。聚焦安全生产、防灾减灾、应急救援、社会治安、舆情防控等重点领域，完善风险预警、联动调度、应急指挥体系，提升突发事件快速响应和协同处置能力。</w:t>
      </w:r>
    </w:p>
    <w:p w14:paraId="3651DC33">
      <w:pPr>
        <w:ind w:firstLine="640"/>
        <w:rPr>
          <w:rFonts w:hint="eastAsia"/>
        </w:rPr>
      </w:pPr>
      <w:r>
        <w:t>深化基层数字治理赋能，推动一网统管向连队、社区延伸，融合网格管理、便民服务、矛盾调解等功能。健全兵地联动、部门协同治理机制，共享感知资源、调度平台和处置力量，持续提升城市治理精细化、智能化、科学化水平，筑牢平安建设与高效能数字治理根基。</w:t>
      </w:r>
    </w:p>
    <w:p w14:paraId="7D796F02">
      <w:pPr>
        <w:pStyle w:val="3"/>
        <w:rPr>
          <w:rFonts w:hint="eastAsia"/>
        </w:rPr>
      </w:pPr>
      <w:bookmarkStart w:id="25" w:name="_Toc229733057"/>
      <w:r>
        <w:rPr>
          <w:rFonts w:hint="eastAsia"/>
        </w:rPr>
        <w:t>第三节 智慧化公共服务普惠共享</w:t>
      </w:r>
      <w:bookmarkEnd w:id="25"/>
    </w:p>
    <w:p w14:paraId="36A4A1CE">
      <w:pPr>
        <w:ind w:firstLine="640"/>
        <w:rPr>
          <w:rFonts w:hint="eastAsia"/>
        </w:rPr>
      </w:pPr>
      <w:r>
        <w:t>聚焦民生福祉，加快推进教育、医疗、社保、养老、文旅、就业等公共服务数字化转型，构建全域覆盖、均等便捷、智慧普惠的公共服务体系。推进智慧教育建设，搭建线上教学、资源共享、远程教研一体化平台，完善校园智能安防、智慧教务管理系统，推动优质教育资源向基层连队、偏远团场均衡下沉。</w:t>
      </w:r>
    </w:p>
    <w:p w14:paraId="64E01BE6">
      <w:pPr>
        <w:ind w:firstLine="640"/>
        <w:rPr>
          <w:rFonts w:hint="eastAsia"/>
        </w:rPr>
      </w:pPr>
      <w:r>
        <w:t>发展智慧医疗健康服务，建设区域医疗大数据平台，推广远程会诊、线上问诊、电子病历、智慧医保结算等应用，完善慢病管理、健康监测、疫苗接种数字化服务，提升基层医疗卫生数字化服务能力。健全智慧社保与养老服务，实现社保业务线上经办、异地通办，搭建智慧养老服务平台，提供线上陪护、健康监护、助老便民等数字化服务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F42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049B2C03">
            <w:pPr>
              <w:pStyle w:val="16"/>
              <w:snapToGrid w:val="0"/>
              <w:spacing w:after="0" w:line="240" w:lineRule="auto"/>
              <w:ind w:left="0" w:firstLine="56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4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双河市“数字双河”融通工程</w:t>
            </w:r>
          </w:p>
        </w:tc>
      </w:tr>
      <w:tr w14:paraId="6C47C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6388AA3A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数智雨污分流建设项目</w:t>
            </w:r>
          </w:p>
          <w:p w14:paraId="0CF75501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供销社智慧农业建设项目</w:t>
            </w:r>
          </w:p>
          <w:p w14:paraId="0784CA5A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5G+数字校园+互动教学+教育指挥中心建设项目</w:t>
            </w:r>
          </w:p>
          <w:p w14:paraId="0C53A103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水利数智化建设项目</w:t>
            </w:r>
          </w:p>
          <w:p w14:paraId="7F549A0C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AI+智慧医疗建设项目</w:t>
            </w:r>
          </w:p>
          <w:p w14:paraId="6BA6B3C5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医保智能监管平台建设项目</w:t>
            </w:r>
          </w:p>
          <w:p w14:paraId="766C0387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一体化城市运行管理平台</w:t>
            </w:r>
          </w:p>
          <w:p w14:paraId="0B9FB6A3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应急设施数字化建设项目</w:t>
            </w:r>
          </w:p>
          <w:p w14:paraId="754B7EAE">
            <w:pPr>
              <w:ind w:firstLine="640"/>
              <w:rPr>
                <w:rFonts w:hint="eastAsia"/>
              </w:rPr>
            </w:pPr>
          </w:p>
        </w:tc>
      </w:tr>
    </w:tbl>
    <w:p w14:paraId="195BA10E">
      <w:pPr>
        <w:ind w:firstLine="0" w:firstLineChars="0"/>
        <w:rPr>
          <w:rFonts w:hint="eastAsia"/>
        </w:rPr>
      </w:pPr>
    </w:p>
    <w:p w14:paraId="6B3E4729">
      <w:pPr>
        <w:pStyle w:val="2"/>
        <w:jc w:val="center"/>
        <w:rPr>
          <w:rFonts w:hint="eastAsia"/>
        </w:rPr>
      </w:pPr>
      <w:bookmarkStart w:id="26" w:name="_Toc229733058"/>
      <w:r>
        <w:rPr>
          <w:rFonts w:hint="eastAsia"/>
        </w:rPr>
        <w:t>第七章 深化数据要素市场化配置改革</w:t>
      </w:r>
      <w:bookmarkEnd w:id="26"/>
    </w:p>
    <w:p w14:paraId="4F3CEF1F">
      <w:pPr>
        <w:pStyle w:val="3"/>
        <w:rPr>
          <w:rFonts w:hint="eastAsia"/>
        </w:rPr>
      </w:pPr>
      <w:bookmarkStart w:id="27" w:name="_Toc229733059"/>
      <w:r>
        <w:rPr>
          <w:rFonts w:hint="eastAsia"/>
        </w:rPr>
        <w:t>第一节 统筹数据资源汇聚治理</w:t>
      </w:r>
      <w:bookmarkEnd w:id="27"/>
    </w:p>
    <w:p w14:paraId="6FAE6295">
      <w:pPr>
        <w:ind w:firstLine="640"/>
        <w:rPr>
          <w:rFonts w:hint="eastAsia"/>
        </w:rPr>
      </w:pPr>
      <w:r>
        <w:t>全面推进数据资源统筹汇聚、统一治理与高效应用，构建标准统一、协同共享、安全可控的数据资源体系。加快建设师市一体化数据共享交换平台和数据资源池，全面汇聚政务、农业、工业、服务业、城镇治理、边境管控等领域数据，打破部门、行业、团场数据壁垒，有效解决“数据孤岛”问题。建立统一的数据标准规范与治理机制，推进数据清洗、脱敏、比对、校核、更新，提升数据质量与可用性。</w:t>
      </w:r>
    </w:p>
    <w:p w14:paraId="1008E4AB">
      <w:pPr>
        <w:pStyle w:val="3"/>
        <w:rPr>
          <w:rFonts w:hint="eastAsia"/>
        </w:rPr>
      </w:pPr>
      <w:bookmarkStart w:id="28" w:name="_Toc229733060"/>
      <w:r>
        <w:rPr>
          <w:rFonts w:hint="eastAsia"/>
        </w:rPr>
        <w:t>第二节 推进公共数据共享开放</w:t>
      </w:r>
      <w:bookmarkEnd w:id="28"/>
    </w:p>
    <w:p w14:paraId="40393562">
      <w:pPr>
        <w:ind w:firstLine="640"/>
        <w:rPr>
          <w:rFonts w:hint="eastAsia"/>
        </w:rPr>
      </w:pPr>
      <w:r>
        <w:t>健全数据共享开放制度，明确共享范围、开放目录与使用权限，推动跨部门、跨领域、跨层级数据按需共享、高效流转。强化数据资源目录管理与全生命周期管控，完善数据确权、授权、溯源、质量评价机制。深化兵地数据协同，推进兵地数据互通、资源互补、业务协同。通过系统化汇聚治理，充分释放数据要素价值，为数字政府建设、产业数字化转型、智慧治理、数据产业发展提供高质量数据支撑。</w:t>
      </w:r>
    </w:p>
    <w:p w14:paraId="6DC1D275">
      <w:pPr>
        <w:pStyle w:val="3"/>
        <w:rPr>
          <w:rFonts w:hint="eastAsia"/>
        </w:rPr>
      </w:pPr>
      <w:bookmarkStart w:id="29" w:name="_Toc229733061"/>
      <w:r>
        <w:rPr>
          <w:rFonts w:hint="eastAsia"/>
        </w:rPr>
        <w:t>第三节 培育数据要素市场生态</w:t>
      </w:r>
      <w:bookmarkEnd w:id="29"/>
    </w:p>
    <w:p w14:paraId="3FB3B4E3">
      <w:pPr>
        <w:ind w:firstLine="640"/>
        <w:rPr>
          <w:rFonts w:hint="eastAsia"/>
        </w:rPr>
      </w:pPr>
      <w:r>
        <w:t>聚焦数据要素市场化配置改革，系统培育规范有序、创新活跃、安全可控的数据要素市场生态。健全数据要素制度体系，完善数据确权、登记、定价、流通、交易、收益分配等配套规则，构建适配师市发展实际的数据要素制度框架。依托师市数据资源基础，规范政务数据、行业数据、企业数据有序开放与合规流通，建立分级分类的数据资产管理制度，推动数据资源向数据资产转化。</w:t>
      </w:r>
    </w:p>
    <w:p w14:paraId="6C2F2EF8"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积极融入全国一体化数据市场</w:t>
      </w:r>
      <w:r>
        <w:t>，引导市场主体开展数据采集、标注、清洗、建模、分析等增值服务，壮大数据服务、数据运营、合规咨询等新业态。培育本土数据要素市场主体，引进专业数据服务商、平台运营商，鼓励企业依托行业资源开发特色数据产品与行业解决方案。</w:t>
      </w:r>
    </w:p>
    <w:p w14:paraId="6929DD5F">
      <w:pPr>
        <w:ind w:firstLine="640"/>
        <w:rPr>
          <w:rFonts w:hint="eastAsia"/>
        </w:rPr>
      </w:pPr>
      <w:r>
        <w:t>搭建数据要素创新应用场景，聚焦现代农业、绿色算力、边境治理、民生服务等领域，打造数据价值化示范案例。同时强化行业自律与合规监管，规范数据交易行为，保护各方合法权益，构建制度完善、主体集聚、场景丰富、安全规范的数据要素市场发展新格局。</w:t>
      </w:r>
      <w:bookmarkStart w:id="40" w:name="_GoBack"/>
      <w:bookmarkEnd w:id="40"/>
    </w:p>
    <w:p w14:paraId="061E7A54">
      <w:pPr>
        <w:pStyle w:val="3"/>
        <w:rPr>
          <w:rFonts w:hint="eastAsia"/>
        </w:rPr>
      </w:pPr>
      <w:bookmarkStart w:id="30" w:name="_Toc229733062"/>
      <w:r>
        <w:rPr>
          <w:rFonts w:hint="eastAsia"/>
        </w:rPr>
        <w:t>第四节 强化数据安全合规管理</w:t>
      </w:r>
      <w:bookmarkEnd w:id="30"/>
    </w:p>
    <w:p w14:paraId="5A47A2CF">
      <w:pPr>
        <w:ind w:firstLine="640"/>
        <w:rPr>
          <w:rFonts w:hint="eastAsia"/>
        </w:rPr>
      </w:pPr>
      <w:r>
        <w:t>坚持统筹发展与安全，全面强化数据安全全流程合规管理，构建制度健全、监管到位、防控严密的数据安全合规体系。严格落实国家数据安全、个人信息保护等法律法规，建立健全师市数据安全合规管理制度、工作规范和操作流程，明确各部门、各行业、各单位数据安全主体责任，压实常态化合规管理职责。</w:t>
      </w:r>
    </w:p>
    <w:p w14:paraId="093DC52E">
      <w:pPr>
        <w:ind w:firstLine="640"/>
        <w:rPr>
          <w:rFonts w:hint="eastAsia"/>
        </w:rPr>
      </w:pPr>
      <w:r>
        <w:t>推进数据分类分级、清单管理和合规审查，对政务数据、产业数据、公共服务数据及个人信息实行分级防护、分区管控，规范数据采集、共享开放、对外提供、委托处理等全流程合规行为。常态化开展数据安全风险评估、等级保护测评和合规自查整改，及时排查化解数据泄露、违规流转、过度采集等安全隐患。</w:t>
      </w:r>
    </w:p>
    <w:p w14:paraId="21C2315B">
      <w:pPr>
        <w:ind w:firstLine="640"/>
        <w:rPr>
          <w:rFonts w:hint="eastAsia"/>
        </w:rPr>
      </w:pPr>
      <w:r>
        <w:t>加强重点行业、重点领域数据合规监管，规范平台企业、服务机构的数据处理行为，健全投诉举报、监督检查、执法惩戒机制。开展数据安全合规宣传培训与专业人才培育，提升机关企事业单位合规意识和专业能力。深化兵地数据安全合规协同联动，完善联合监管、风险互通、应急处置机制，以严格合规管理护航数据要素安全流通和数字经济规范健康发展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B9D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3D653BF4">
            <w:pPr>
              <w:pStyle w:val="16"/>
              <w:snapToGrid w:val="0"/>
              <w:spacing w:after="0" w:line="240" w:lineRule="auto"/>
              <w:ind w:left="0" w:firstLine="56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双河市数字经济“赋智”工程</w:t>
            </w:r>
          </w:p>
        </w:tc>
      </w:tr>
      <w:tr w14:paraId="29223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66234558">
            <w:pPr>
              <w:ind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数据要素综合服务平台</w:t>
            </w:r>
          </w:p>
          <w:p w14:paraId="5CFE68E9">
            <w:pPr>
              <w:ind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师市数据流通利用基础设施建设项目</w:t>
            </w:r>
          </w:p>
          <w:p w14:paraId="253537EE">
            <w:pPr>
              <w:ind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企业数据资产入表</w:t>
            </w:r>
          </w:p>
          <w:p w14:paraId="231CF651">
            <w:pPr>
              <w:ind w:firstLine="562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领域高质量数据集建设</w:t>
            </w:r>
          </w:p>
        </w:tc>
      </w:tr>
    </w:tbl>
    <w:p w14:paraId="31EC3A04">
      <w:pPr>
        <w:ind w:firstLine="0" w:firstLineChars="0"/>
        <w:rPr>
          <w:rFonts w:hint="eastAsia"/>
        </w:rPr>
      </w:pPr>
    </w:p>
    <w:p w14:paraId="4E7A69A5">
      <w:pPr>
        <w:pStyle w:val="2"/>
        <w:jc w:val="center"/>
        <w:rPr>
          <w:rFonts w:hint="eastAsia"/>
        </w:rPr>
      </w:pPr>
      <w:bookmarkStart w:id="31" w:name="_Toc229733063"/>
      <w:r>
        <w:rPr>
          <w:rFonts w:hint="eastAsia"/>
        </w:rPr>
        <w:t>第八章 健全数字安全与风险防控体系</w:t>
      </w:r>
      <w:bookmarkEnd w:id="31"/>
    </w:p>
    <w:p w14:paraId="4933AFA4">
      <w:pPr>
        <w:pStyle w:val="3"/>
        <w:rPr>
          <w:rFonts w:hint="eastAsia"/>
        </w:rPr>
      </w:pPr>
      <w:bookmarkStart w:id="32" w:name="_Toc229733064"/>
      <w:r>
        <w:rPr>
          <w:rFonts w:hint="eastAsia"/>
        </w:rPr>
        <w:t>第一节 强化网络安全保障能力</w:t>
      </w:r>
      <w:bookmarkEnd w:id="32"/>
    </w:p>
    <w:p w14:paraId="5EE5F21B">
      <w:pPr>
        <w:ind w:firstLine="640"/>
        <w:rPr>
          <w:rFonts w:hint="eastAsia"/>
        </w:rPr>
      </w:pPr>
      <w:r>
        <w:t>坚持安全与发展并重，全面强化网络安全、数据安全、关键信息基础设施安全保障能力，筑牢数字经济安全防线。健全网络安全管理制度与责任体系，落实网络安全等级保护、关键信息基础设施安全保护要求，构建全方位、多层次、一致性的安全防护格局。加强政务、能源、交通、水利、医疗、教育等重点领域网络安全防护，升级防火墙、入侵检测、数据加密、态势感知等技术装备，提升安全监测、风险预警、应急处置能力。</w:t>
      </w:r>
    </w:p>
    <w:p w14:paraId="3685D33F">
      <w:pPr>
        <w:pStyle w:val="3"/>
        <w:rPr>
          <w:rFonts w:hint="eastAsia"/>
        </w:rPr>
      </w:pPr>
      <w:bookmarkStart w:id="33" w:name="_Toc229733065"/>
      <w:r>
        <w:rPr>
          <w:rFonts w:hint="eastAsia"/>
        </w:rPr>
        <w:t>第二节 筑牢数据安全防护屏障</w:t>
      </w:r>
      <w:bookmarkEnd w:id="33"/>
    </w:p>
    <w:p w14:paraId="4705DEC5">
      <w:pPr>
        <w:ind w:firstLine="640"/>
        <w:rPr>
          <w:rFonts w:hint="eastAsia"/>
        </w:rPr>
      </w:pPr>
      <w:r>
        <w:rPr>
          <w:rFonts w:hint="eastAsia"/>
        </w:rPr>
        <w:t>全面加强数据安全体系建设，构建全生命周期、全场景覆盖的数据安全防护屏障。建立健全数据分类分级保护制度，对政务数据、产业数据、个人信息、核心业务数据实行差异化管理，明确安全责任与防护标准。完善数据安全技术防护体系，部署数据脱敏、加密存储、访问控制、安全审计、异常监测等工具，强化数据在采集、传输、存储、使用、共享、销毁等环节的安全管控，严防泄露、篡改、滥用与非法获取。</w:t>
      </w:r>
    </w:p>
    <w:p w14:paraId="473FFEF6">
      <w:pPr>
        <w:pStyle w:val="3"/>
        <w:rPr>
          <w:rFonts w:hint="eastAsia"/>
        </w:rPr>
      </w:pPr>
      <w:bookmarkStart w:id="34" w:name="_Toc229733066"/>
      <w:r>
        <w:rPr>
          <w:rFonts w:hint="eastAsia"/>
        </w:rPr>
        <w:t>第三节 健全安全协同工作机制</w:t>
      </w:r>
      <w:bookmarkEnd w:id="34"/>
    </w:p>
    <w:p w14:paraId="7D250392">
      <w:pPr>
        <w:ind w:firstLine="640"/>
      </w:pPr>
      <w:r>
        <w:rPr>
          <w:rFonts w:hint="eastAsia"/>
        </w:rPr>
        <w:t>建立党委领导、多方联动、协同共治的数字安全工作格局，强化统筹协调、分工负责、上下联动、齐抓共管。完善网信、公安、大数据管理、行业主管部门协同机制，明确网络安全、数据安全、关键信息基础设施保护、应急处置等职责分工，实现信息共享、线索移送、联合执法、应急联动高效畅通。压实运营者主体责任，督促企业、单位落实安全管理制度、技术防护、人员配备与经费保障，推动安全责任到岗到人。建立兵地数字安全协同机制，推进安全标准统一、风险联防联控、应急协同处置、资源共建共享。健全网络安全、数据安全专家咨询、技术支撑、第三方测评审计机制，提升专业化支撑能力。加强安全宣传教育、技能培训与实战演练，提升全民数字安全意识和防护技能。强化监督考核与追责问责，将安全工作纳入绩效考核，构建全域联动、立体高效的数字安全共治格局。</w:t>
      </w:r>
    </w:p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92C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206ED94A">
            <w:pPr>
              <w:pStyle w:val="16"/>
              <w:snapToGrid w:val="0"/>
              <w:spacing w:after="0" w:line="240" w:lineRule="auto"/>
              <w:ind w:left="0" w:firstLine="56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专栏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双河市数字经济“筑安”工程</w:t>
            </w:r>
          </w:p>
        </w:tc>
      </w:tr>
      <w:tr w14:paraId="2C9B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 w14:paraId="7FD0EDA7">
            <w:pPr>
              <w:pStyle w:val="16"/>
              <w:topLinePunct/>
              <w:spacing w:after="0" w:line="500" w:lineRule="exact"/>
              <w:ind w:left="0" w:firstLine="562"/>
              <w:jc w:val="both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安全态势感知平台</w:t>
            </w:r>
          </w:p>
          <w:p w14:paraId="73E829E3">
            <w:pPr>
              <w:ind w:firstLine="640"/>
              <w:rPr>
                <w:rFonts w:hint="eastAsia"/>
              </w:rPr>
            </w:pPr>
          </w:p>
        </w:tc>
      </w:tr>
    </w:tbl>
    <w:p w14:paraId="0BF06567">
      <w:pPr>
        <w:ind w:firstLine="640"/>
        <w:rPr>
          <w:rFonts w:hint="eastAsia"/>
        </w:rPr>
      </w:pPr>
    </w:p>
    <w:p w14:paraId="100700F0">
      <w:pPr>
        <w:pStyle w:val="2"/>
        <w:jc w:val="center"/>
        <w:rPr>
          <w:rFonts w:hint="eastAsia"/>
        </w:rPr>
      </w:pPr>
      <w:bookmarkStart w:id="35" w:name="_Toc229733067"/>
      <w:r>
        <w:rPr>
          <w:rFonts w:hint="eastAsia"/>
        </w:rPr>
        <w:t>第九章 强化规划实施保障措施</w:t>
      </w:r>
      <w:bookmarkEnd w:id="35"/>
    </w:p>
    <w:p w14:paraId="77BBA544">
      <w:pPr>
        <w:pStyle w:val="3"/>
        <w:rPr>
          <w:rFonts w:hint="eastAsia"/>
        </w:rPr>
      </w:pPr>
      <w:bookmarkStart w:id="36" w:name="_Toc229733068"/>
      <w:r>
        <w:rPr>
          <w:rFonts w:hint="eastAsia"/>
        </w:rPr>
        <w:t>第一节 加强党的全面领导</w:t>
      </w:r>
      <w:bookmarkEnd w:id="36"/>
    </w:p>
    <w:p w14:paraId="74C016BD">
      <w:pPr>
        <w:ind w:firstLine="640"/>
        <w:rPr>
          <w:rFonts w:hint="eastAsia"/>
        </w:rPr>
      </w:pPr>
      <w:r>
        <w:rPr>
          <w:rFonts w:hint="eastAsia"/>
        </w:rPr>
        <w:t>坚持以习近平新时代中国特色社会主义思想为指导，贯彻新时代党的治疆方略和兵团工作要求，把党的全面领导贯穿第五师双河市数字经济发展全过程。统筹谋划重大政策、重点项目，健全</w:t>
      </w:r>
      <w:r>
        <w:t>师市党委</w:t>
      </w:r>
      <w:r>
        <w:rPr>
          <w:rFonts w:hint="eastAsia"/>
        </w:rPr>
        <w:t>统一领导、各部门分工负责、各方协同推进的工作机制，压实各级工作责任。</w:t>
      </w:r>
      <w:r>
        <w:t>整合资源，为数字经济发展战略研究、政府</w:t>
      </w:r>
      <w:r>
        <w:rPr>
          <w:rFonts w:hint="eastAsia"/>
        </w:rPr>
        <w:t>科学决策提供技术支撑和智库保障。常态化开展干部数字素养专题培训，提升运用数字化手段谋划发展、履职尽责能力，以党建引领师市数字经济高质量发展。</w:t>
      </w:r>
    </w:p>
    <w:p w14:paraId="08354660">
      <w:pPr>
        <w:pStyle w:val="3"/>
        <w:rPr>
          <w:rFonts w:hint="eastAsia"/>
        </w:rPr>
      </w:pPr>
      <w:bookmarkStart w:id="37" w:name="_Toc229733069"/>
      <w:r>
        <w:rPr>
          <w:rFonts w:hint="eastAsia"/>
        </w:rPr>
        <w:t>第二节 优化政策资金保障</w:t>
      </w:r>
      <w:bookmarkEnd w:id="37"/>
    </w:p>
    <w:p w14:paraId="7ED99222">
      <w:pPr>
        <w:ind w:firstLine="640"/>
        <w:rPr>
          <w:rFonts w:hint="eastAsia"/>
        </w:rPr>
      </w:pPr>
      <w:r>
        <w:rPr>
          <w:rFonts w:hint="eastAsia"/>
        </w:rPr>
        <w:t>完善师市数字经济政策支撑体系，</w:t>
      </w:r>
      <w:r>
        <w:rPr>
          <w:rFonts w:ascii="Times New Roman" w:hAnsi="Times New Roman" w:cs="Times New Roman"/>
          <w:bCs/>
          <w:lang w:bidi="en-US"/>
        </w:rPr>
        <w:t>强化资金保障，</w:t>
      </w:r>
      <w:r>
        <w:rPr>
          <w:rFonts w:hint="eastAsia"/>
        </w:rPr>
        <w:t>重点支持算力基建、数字产业培育和企业数字化转型，积极争取上级及援疆资金扶持。全面落实税费减免、电价优惠等惠企政策，降低数字企业运营成本。深化放管服改革，简化数字项目审批流程，实行专班跟踪服务，提速项目落地。健全配套政策体系，建立动态评估调整机制，强化政策宣传落实，持续营造政策友好、服务高效的数字经济发展环境。</w:t>
      </w:r>
    </w:p>
    <w:p w14:paraId="7BC82A91">
      <w:pPr>
        <w:pStyle w:val="3"/>
        <w:rPr>
          <w:rFonts w:hint="eastAsia"/>
        </w:rPr>
      </w:pPr>
      <w:bookmarkStart w:id="38" w:name="_Toc229733070"/>
      <w:r>
        <w:rPr>
          <w:rFonts w:hint="eastAsia"/>
        </w:rPr>
        <w:t>第三节 加强人才队伍建设</w:t>
      </w:r>
      <w:bookmarkEnd w:id="38"/>
    </w:p>
    <w:p w14:paraId="49160592">
      <w:pPr>
        <w:ind w:firstLine="640"/>
        <w:rPr>
          <w:rFonts w:hint="eastAsia"/>
        </w:rPr>
      </w:pPr>
      <w:r>
        <w:rPr>
          <w:rFonts w:hint="eastAsia"/>
        </w:rPr>
        <w:t>实施多层次数字人才培养计划，鼓励辖区职业院校紧扣算力数据、人工智能、智慧农业等重点领域开设数字经济相关专业，深化校企协同，与本地算力企业、智慧农业服务商联合开展“订单式”人才培养，培育扎根双河的实用型数字技能人才。制定专项扶持政策，抢抓“东数西算”战略机遇，重点吸引国内数字经济、算力产业、人工智能领域高端人才与创新团队来双河创新创业，在住房保障、税收减免、科研经费等方面给予精准支持，为师市数字经济高质量发展提供强劲人才支撑。</w:t>
      </w:r>
    </w:p>
    <w:p w14:paraId="6CE0867B">
      <w:pPr>
        <w:pStyle w:val="3"/>
        <w:rPr>
          <w:rFonts w:hint="eastAsia"/>
        </w:rPr>
      </w:pPr>
      <w:bookmarkStart w:id="39" w:name="_Toc229733071"/>
      <w:r>
        <w:rPr>
          <w:rFonts w:hint="eastAsia"/>
        </w:rPr>
        <w:t xml:space="preserve">第四节 </w:t>
      </w:r>
      <w:r>
        <w:t>完善监督评估</w:t>
      </w:r>
      <w:r>
        <w:rPr>
          <w:rFonts w:hint="eastAsia"/>
        </w:rPr>
        <w:t>体系</w:t>
      </w:r>
      <w:bookmarkEnd w:id="39"/>
    </w:p>
    <w:p w14:paraId="7C9411B8">
      <w:pPr>
        <w:ind w:firstLine="640"/>
      </w:pPr>
      <w:r>
        <w:rPr>
          <w:rFonts w:hint="eastAsia"/>
        </w:rPr>
        <w:t>建立规划实施台账与年度任务清单，将数字GDP占比、数字经济核心产业增加值、政务服务“一网通办”率等核心指标，以及纳入规划中的重点工程，分解到各责任单位与具体时间节点，建立专项台账，纳入常态化管理。构建多维度、可量化的考核体系，将数字建设核心指标纳入师市年度目标责任考核，增设关键信息系统平台可用率、数据安全保障率等约束性指标，</w:t>
      </w:r>
      <w:r>
        <w:t>强</w:t>
      </w:r>
      <w:r>
        <w:rPr>
          <w:rFonts w:hint="eastAsia"/>
        </w:rPr>
        <w:t>化协同工作机制，</w:t>
      </w:r>
      <w:r>
        <w:t>确保规划落地见效</w:t>
      </w:r>
      <w:r>
        <w:rPr>
          <w:rFonts w:hint="eastAsia"/>
        </w:rPr>
        <w:t>。</w:t>
      </w:r>
    </w:p>
    <w:p w14:paraId="7BA7759C">
      <w:pPr>
        <w:ind w:firstLine="640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BD3A9-71B5-40B7-8BB7-C80AB20FB9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15E29A-244C-4D04-955B-C97CE0FA66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9F1D6C-1214-4BB1-804E-DD6B7DFAED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C86FFE-284C-4B19-847E-E2D45D5A06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84DC8">
    <w:pPr>
      <w:pStyle w:val="1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06B01">
                          <w:pPr>
                            <w:pStyle w:val="13"/>
                            <w:rPr>
                              <w:rFonts w:hint="eastAsia"/>
                            </w:rPr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06B01">
                    <w:pPr>
                      <w:pStyle w:val="13"/>
                      <w:rPr>
                        <w:rFonts w:hint="eastAsia"/>
                      </w:rPr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195C0"/>
    <w:multiLevelType w:val="multilevel"/>
    <w:tmpl w:val="89C195C0"/>
    <w:lvl w:ilvl="0" w:tentative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2.%3.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2.%3.%4.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suff w:val="nothing"/>
      <w:lvlText w:val="%2.%3.%4.%5.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2.%3.%4.%5.%6.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%2.%3.%4.%5.%6.%7.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 w:tentative="0">
      <w:start w:val="1"/>
      <w:numFmt w:val="decimal"/>
      <w:pStyle w:val="9"/>
      <w:suff w:val="nothing"/>
      <w:lvlText w:val="%3.%4.%5.%6.%7.%8"/>
      <w:lvlJc w:val="left"/>
      <w:pPr>
        <w:ind w:left="0" w:firstLine="402"/>
      </w:pPr>
      <w:rPr>
        <w:rFonts w:hint="eastAsia" w:ascii="黑体" w:hAnsi="黑体" w:eastAsia="黑体" w:cs="黑体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">
    <w:nsid w:val="EC6AB73B"/>
    <w:multiLevelType w:val="multilevel"/>
    <w:tmpl w:val="EC6AB73B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20" w:hanging="420"/>
      </w:pPr>
      <w:rPr>
        <w:rFonts w:hint="default" w:ascii="黑体" w:hAnsi="黑体" w:eastAsia="黑体" w:cs="黑体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F7"/>
    <w:rsid w:val="000E3ED7"/>
    <w:rsid w:val="000E5A4C"/>
    <w:rsid w:val="002838DC"/>
    <w:rsid w:val="00294724"/>
    <w:rsid w:val="00305F28"/>
    <w:rsid w:val="004B4CF7"/>
    <w:rsid w:val="00A14C4B"/>
    <w:rsid w:val="00CA4CFD"/>
    <w:rsid w:val="02F23728"/>
    <w:rsid w:val="042C6280"/>
    <w:rsid w:val="050339CA"/>
    <w:rsid w:val="058F1702"/>
    <w:rsid w:val="06EB2E9A"/>
    <w:rsid w:val="070345D9"/>
    <w:rsid w:val="07596623"/>
    <w:rsid w:val="08E21493"/>
    <w:rsid w:val="08E7715F"/>
    <w:rsid w:val="08F10DED"/>
    <w:rsid w:val="094445B2"/>
    <w:rsid w:val="097F55CB"/>
    <w:rsid w:val="09C474A0"/>
    <w:rsid w:val="09E57B43"/>
    <w:rsid w:val="0A3C4636"/>
    <w:rsid w:val="0AFF2E86"/>
    <w:rsid w:val="0B7A31F0"/>
    <w:rsid w:val="0BD240F7"/>
    <w:rsid w:val="0C5E57AA"/>
    <w:rsid w:val="0C8E44C1"/>
    <w:rsid w:val="0CB63A18"/>
    <w:rsid w:val="0CDE6ACB"/>
    <w:rsid w:val="0D162709"/>
    <w:rsid w:val="0EF97BEC"/>
    <w:rsid w:val="10036F74"/>
    <w:rsid w:val="111331E7"/>
    <w:rsid w:val="129E2F84"/>
    <w:rsid w:val="137A7333"/>
    <w:rsid w:val="13C16461"/>
    <w:rsid w:val="14AD3953"/>
    <w:rsid w:val="15323E58"/>
    <w:rsid w:val="15382176"/>
    <w:rsid w:val="155142DE"/>
    <w:rsid w:val="158F27E5"/>
    <w:rsid w:val="167A5AB7"/>
    <w:rsid w:val="16AE750E"/>
    <w:rsid w:val="16C3120C"/>
    <w:rsid w:val="17455C44"/>
    <w:rsid w:val="185C36C6"/>
    <w:rsid w:val="18842C1C"/>
    <w:rsid w:val="18DD40DB"/>
    <w:rsid w:val="193826E9"/>
    <w:rsid w:val="19D53345"/>
    <w:rsid w:val="1A58610F"/>
    <w:rsid w:val="1A8B0292"/>
    <w:rsid w:val="1AA475A6"/>
    <w:rsid w:val="1AD941D3"/>
    <w:rsid w:val="1BC815C6"/>
    <w:rsid w:val="1CCC06EE"/>
    <w:rsid w:val="1D0E0D07"/>
    <w:rsid w:val="1D172271"/>
    <w:rsid w:val="1E1E766F"/>
    <w:rsid w:val="1E1F7199"/>
    <w:rsid w:val="1EEB57A3"/>
    <w:rsid w:val="203942EC"/>
    <w:rsid w:val="20AD0837"/>
    <w:rsid w:val="218D48F0"/>
    <w:rsid w:val="22205764"/>
    <w:rsid w:val="228C4BA7"/>
    <w:rsid w:val="22DD18A7"/>
    <w:rsid w:val="236B2A0F"/>
    <w:rsid w:val="241A56B8"/>
    <w:rsid w:val="258129BE"/>
    <w:rsid w:val="25D92BF1"/>
    <w:rsid w:val="26913650"/>
    <w:rsid w:val="27471E7C"/>
    <w:rsid w:val="2784741F"/>
    <w:rsid w:val="27D26378"/>
    <w:rsid w:val="286F2FA1"/>
    <w:rsid w:val="288B1059"/>
    <w:rsid w:val="28CA642A"/>
    <w:rsid w:val="28F45255"/>
    <w:rsid w:val="2912392D"/>
    <w:rsid w:val="29437F8A"/>
    <w:rsid w:val="2A151926"/>
    <w:rsid w:val="2ACF5F79"/>
    <w:rsid w:val="2B761601"/>
    <w:rsid w:val="2C6941AB"/>
    <w:rsid w:val="2D2C76B3"/>
    <w:rsid w:val="2D713318"/>
    <w:rsid w:val="2D811081"/>
    <w:rsid w:val="2EF75A9F"/>
    <w:rsid w:val="2EFB521A"/>
    <w:rsid w:val="2F9B0B20"/>
    <w:rsid w:val="2FD22068"/>
    <w:rsid w:val="2FE53B49"/>
    <w:rsid w:val="2FE650F4"/>
    <w:rsid w:val="307740E0"/>
    <w:rsid w:val="30F32296"/>
    <w:rsid w:val="32A77B29"/>
    <w:rsid w:val="3408637D"/>
    <w:rsid w:val="344949D6"/>
    <w:rsid w:val="351C000D"/>
    <w:rsid w:val="359758E5"/>
    <w:rsid w:val="36107446"/>
    <w:rsid w:val="362D624A"/>
    <w:rsid w:val="36723AFE"/>
    <w:rsid w:val="36DD557A"/>
    <w:rsid w:val="37FC58DA"/>
    <w:rsid w:val="384635F3"/>
    <w:rsid w:val="390B0AC4"/>
    <w:rsid w:val="39B504F5"/>
    <w:rsid w:val="3AC23405"/>
    <w:rsid w:val="3B324532"/>
    <w:rsid w:val="3BA15E7F"/>
    <w:rsid w:val="3C8666B4"/>
    <w:rsid w:val="3E774506"/>
    <w:rsid w:val="3EF0764C"/>
    <w:rsid w:val="3F1E2BD3"/>
    <w:rsid w:val="3FFB177B"/>
    <w:rsid w:val="40A23390"/>
    <w:rsid w:val="40AB493B"/>
    <w:rsid w:val="40B165E5"/>
    <w:rsid w:val="40F3729F"/>
    <w:rsid w:val="41D41C6F"/>
    <w:rsid w:val="42074E95"/>
    <w:rsid w:val="42415557"/>
    <w:rsid w:val="42BA70B7"/>
    <w:rsid w:val="44D501D8"/>
    <w:rsid w:val="44DF6E38"/>
    <w:rsid w:val="45036AF3"/>
    <w:rsid w:val="45A0472F"/>
    <w:rsid w:val="46115240"/>
    <w:rsid w:val="4636546B"/>
    <w:rsid w:val="46CD560B"/>
    <w:rsid w:val="474D674C"/>
    <w:rsid w:val="48D662CD"/>
    <w:rsid w:val="49CF2BCF"/>
    <w:rsid w:val="49D40A5E"/>
    <w:rsid w:val="4A443E36"/>
    <w:rsid w:val="4C520360"/>
    <w:rsid w:val="4D665B0F"/>
    <w:rsid w:val="4D7C38E7"/>
    <w:rsid w:val="4E1C29D4"/>
    <w:rsid w:val="4ED64BB2"/>
    <w:rsid w:val="530753FD"/>
    <w:rsid w:val="53361B76"/>
    <w:rsid w:val="5382152B"/>
    <w:rsid w:val="54E04F66"/>
    <w:rsid w:val="55774994"/>
    <w:rsid w:val="558077B3"/>
    <w:rsid w:val="55BF7337"/>
    <w:rsid w:val="55C62F94"/>
    <w:rsid w:val="56B06FAA"/>
    <w:rsid w:val="58421289"/>
    <w:rsid w:val="59800981"/>
    <w:rsid w:val="59973856"/>
    <w:rsid w:val="59D32AE1"/>
    <w:rsid w:val="5AA24EF7"/>
    <w:rsid w:val="5B0311A3"/>
    <w:rsid w:val="5B461090"/>
    <w:rsid w:val="5C6739B4"/>
    <w:rsid w:val="5C7559A0"/>
    <w:rsid w:val="5D0D6309"/>
    <w:rsid w:val="5D521F6E"/>
    <w:rsid w:val="5F5F4E16"/>
    <w:rsid w:val="5F8D1984"/>
    <w:rsid w:val="60E5134B"/>
    <w:rsid w:val="6110461A"/>
    <w:rsid w:val="617D1584"/>
    <w:rsid w:val="62404A8B"/>
    <w:rsid w:val="62E25B42"/>
    <w:rsid w:val="66014531"/>
    <w:rsid w:val="669221FD"/>
    <w:rsid w:val="66AA2E1B"/>
    <w:rsid w:val="67006EDF"/>
    <w:rsid w:val="67F56318"/>
    <w:rsid w:val="685C6397"/>
    <w:rsid w:val="68817BAC"/>
    <w:rsid w:val="698210FC"/>
    <w:rsid w:val="69EE301F"/>
    <w:rsid w:val="6AF46EFB"/>
    <w:rsid w:val="6B6F6376"/>
    <w:rsid w:val="6BA11AAE"/>
    <w:rsid w:val="6D0D38CD"/>
    <w:rsid w:val="6D940381"/>
    <w:rsid w:val="6F7C0F78"/>
    <w:rsid w:val="6FD93890"/>
    <w:rsid w:val="6FE253D4"/>
    <w:rsid w:val="7101188A"/>
    <w:rsid w:val="7183346B"/>
    <w:rsid w:val="71BC51C8"/>
    <w:rsid w:val="71F3606C"/>
    <w:rsid w:val="71FE5418"/>
    <w:rsid w:val="736B1B84"/>
    <w:rsid w:val="74605DA5"/>
    <w:rsid w:val="74856C75"/>
    <w:rsid w:val="74F71921"/>
    <w:rsid w:val="751E4A0B"/>
    <w:rsid w:val="75535318"/>
    <w:rsid w:val="75921A48"/>
    <w:rsid w:val="75DC7B8F"/>
    <w:rsid w:val="76143E0D"/>
    <w:rsid w:val="76AE4262"/>
    <w:rsid w:val="780A196C"/>
    <w:rsid w:val="78623556"/>
    <w:rsid w:val="78856ECF"/>
    <w:rsid w:val="790C34C1"/>
    <w:rsid w:val="799A6D1F"/>
    <w:rsid w:val="79C97604"/>
    <w:rsid w:val="7A2E4054"/>
    <w:rsid w:val="7A332289"/>
    <w:rsid w:val="7A480529"/>
    <w:rsid w:val="7B002BB2"/>
    <w:rsid w:val="7BA63759"/>
    <w:rsid w:val="7CAF27C5"/>
    <w:rsid w:val="7CB805AB"/>
    <w:rsid w:val="7CEC1640"/>
    <w:rsid w:val="7D6531A0"/>
    <w:rsid w:val="7D6869C6"/>
    <w:rsid w:val="7DAE474B"/>
    <w:rsid w:val="7E1F3C97"/>
    <w:rsid w:val="7E955D0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pageBreakBefore/>
      <w:tabs>
        <w:tab w:val="left" w:pos="0"/>
      </w:tabs>
      <w:adjustRightInd w:val="0"/>
      <w:spacing w:before="50" w:after="50"/>
      <w:ind w:firstLine="0" w:firstLineChars="0"/>
      <w:jc w:val="left"/>
      <w:textAlignment w:val="baseline"/>
      <w:outlineLvl w:val="0"/>
    </w:pPr>
    <w:rPr>
      <w:rFonts w:ascii="黑体" w:hAnsi="黑体" w:eastAsia="黑体" w:cs="黑体"/>
    </w:rPr>
  </w:style>
  <w:style w:type="paragraph" w:styleId="3">
    <w:name w:val="heading 2"/>
    <w:basedOn w:val="1"/>
    <w:unhideWhenUsed/>
    <w:qFormat/>
    <w:uiPriority w:val="0"/>
    <w:pPr>
      <w:keepNext/>
      <w:keepLines/>
      <w:tabs>
        <w:tab w:val="left" w:pos="420"/>
      </w:tabs>
      <w:spacing w:before="50" w:after="50"/>
      <w:jc w:val="center"/>
      <w:outlineLvl w:val="1"/>
    </w:pPr>
    <w:rPr>
      <w:rFonts w:ascii="楷体_GB2312" w:hAnsi="楷体_GB2312" w:eastAsia="楷体_GB2312" w:cs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60" w:after="60"/>
      <w:ind w:firstLineChars="0"/>
      <w:jc w:val="left"/>
      <w:outlineLvl w:val="2"/>
    </w:pPr>
    <w:rPr>
      <w:rFonts w:ascii="方正仿宋_GB2312" w:hAnsi="方正仿宋_GB2312" w:eastAsia="方正仿宋_GB2312" w:cs="Times New Roman"/>
      <w:b/>
      <w:spacing w:val="23"/>
      <w:sz w:val="24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qFormat/>
    <w:uiPriority w:val="39"/>
    <w:pPr>
      <w:ind w:firstLine="0" w:firstLineChars="0"/>
    </w:pPr>
    <w:rPr>
      <w:rFonts w:eastAsia="黑体" w:asciiTheme="minorHAnsi" w:hAnsiTheme="minorHAnsi"/>
      <w:sz w:val="28"/>
    </w:rPr>
  </w:style>
  <w:style w:type="paragraph" w:styleId="16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Times New Roman" w:hAnsi="Times New Roman" w:eastAsia="宋体" w:cs="Times New Roman"/>
    </w:rPr>
  </w:style>
  <w:style w:type="paragraph" w:styleId="17">
    <w:name w:val="toc 2"/>
    <w:basedOn w:val="1"/>
    <w:next w:val="1"/>
    <w:qFormat/>
    <w:uiPriority w:val="39"/>
    <w:rPr>
      <w:rFonts w:eastAsia="楷体_GB2312" w:asciiTheme="minorHAnsi" w:hAnsiTheme="minorHAnsi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0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12703</Words>
  <Characters>12768</Characters>
  <Lines>111</Lines>
  <Paragraphs>31</Paragraphs>
  <TotalTime>71</TotalTime>
  <ScaleCrop>false</ScaleCrop>
  <LinksUpToDate>false</LinksUpToDate>
  <CharactersWithSpaces>12982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2025-07-31T10:18:00Z</dcterms:created>
  <dc:creator>lenovo</dc:creator>
  <cp:lastModifiedBy>XyuJiе-</cp:lastModifiedBy>
  <dcterms:modified xsi:type="dcterms:W3CDTF">2026-05-15T04:39:46Z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3E883B58843342018DD2588BEFBC169E_13</vt:lpwstr>
  </property>
  <property fmtid="{D5CDD505-2E9C-101B-9397-08002B2CF9AE}" pid="4" name="KSOTemplateDocerSaveRecord">
    <vt:lpwstr>eyJoZGlkIjoiMTZiYjJhMDQ2ZTAwMWRhYWJmOWU1MmM2NjcyZjc3NzEiLCJ1c2VySWQiOiIxMDc4ODY4MDQ3In0=</vt:lpwstr>
  </property>
</Properties>
</file>