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第五师双河市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en-US"/>
        </w:rPr>
        <w:t>爱国卫生监管长效机制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en-US"/>
        </w:rPr>
        <w:t>实施意见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为深入持久地开展爱国卫生运动，完善爱国卫生管理长效机制，推进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爱国卫生管理规范化、制度化、法制化、使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爱国卫生管理从突击型向常态型、短期型向持久型、整洁型向建设型、治标型向治本型转变，根据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习近平总书记对爱国卫生运动的重要指示批示精神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《关于深入开展爱国卫生运动的意见》（国发〔2020〕15号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《兵团关于全面深化爱国卫生运动的实施意见》（新兵发〔2021〕14号），结合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实际，现就建立爱国卫生监管长效机制提出如下意见：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en-US"/>
        </w:rPr>
        <w:t>一、指导思想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以习近平新时代中国特色社会主义思想为指导，进一步落实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《国务院办公厅关于印发&lt;“十四五”国民健康规划&gt;的通知》（国办发〔2022〕11号）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精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en-US"/>
        </w:rPr>
        <w:t>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，坚持预防为主，按照政府领导、部门协作、社会参与、依法治理、科学指导的工作方针，持续发扬爱国卫生优良传统，充分发挥群众运动优势，全力实施源头控制，着力开展卫生整治行动，大力倡导健康生活方式，切实维护广大人民群众健康权益，不断提升全民健康素养水平，保障人民群众生命安全和身体健康。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en-US"/>
        </w:rPr>
        <w:t>二、工作任务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（一）健全组织领导长效管理机制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将爱国卫生工作作为一项重要民生工程，纳入经济社会发展大局统筹推进，定期研究解决爱国卫生工作中的重大问题，完善爱国卫生工作资金保障机制，建立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师市各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相关部门齐抓共管，全社会广泛参与的环境卫生治理长效机制，确保爱国卫生工作与经济建设和社会进步协调发展。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师市、团场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两级爱国卫生工作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要研究制定爱国卫生工作规划，每年召开1—2次会议，制定年度工作计划，研究部署重要工作任务。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师市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团场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街道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 w:bidi="ar-SA"/>
        </w:rPr>
        <w:t>、企事业单位等指定专兼职机构（人员）负责爱国卫生工作，坚持全面治理与重点治理相结合、日常管理与长期管理相结合，推行网格化卫生管理制度，落实以块为主、条块结合的环境卫生责任制度，提高依法科学治理水平，切实保障爱国卫生工作持续健康发展。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（二）健全环境卫生长效管理机制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要认真落实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兵团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关于开展城乡人居环境治理的具体部署要求，按照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师市党委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主导、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负总责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各级部门组织实施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协作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配合的原则，扎实推进辖区人居环境整治工作。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城镇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环境卫生要做到“三加强”“四清”“四化”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无五乱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“六要”。“三加强”：加强农贸市场标准化设置与管理；加强“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小行业”规范化管理；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加强对大气、水、土壤等保护。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“四清”：清除垃圾死角、清理堆积废物、清扫走廊过道、清洁污水臭洼。“四化”：实现城市建设硬化、亮化、绿化、美化。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无五乱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”：</w:t>
      </w:r>
      <w:r>
        <w:rPr>
          <w:rFonts w:hint="eastAsia" w:ascii="仿宋_GB2312" w:hAnsi="仿宋_GB2312" w:eastAsia="仿宋_GB2312" w:cs="仿宋_GB2312"/>
          <w:sz w:val="32"/>
          <w:szCs w:val="32"/>
        </w:rPr>
        <w:t>无乱搭乱建、乱堆乱摆、乱停乱放、乱贴乱画、乱扔乱倒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六要”：个人防护要做好、家庭卫生要整洁、小区环卫要保障、公共区域要清洁、密集场所要管控、垃圾分类要普及。加强城中村、城乡结合部常态化管理，推进实施“三线三边”（公路、河湖沿线，城乡、边界、景区周边）环境卫生整治行动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牧区环境卫生要做到“清五堆”“三管好”“两提升”。 “清五堆”：清理柴堆、土堆、草堆、粪堆、垃圾堆。“三管好”：着力改善村容村貌，管理好生活垃圾和储运设施，做到日产日清及时消毒；深入推进“厕所革命”，管理好厕所粪污减少疾病粪口传播隐患；积极引导科学养殖，管理好畜禽养殖降低人畜共患病传播风险。“两提升”：实现人居环境和生态环境全面提升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（三）健全健康教育与健康促进长效管理机制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1.创新健康教育方式和载体。建立健康生活方式管理指导队伍，开展以健康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行、爱国卫生周、爱国卫生月、世界卫生日、“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全面健康生活方式行动日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”等为主题，以健康管理、疾病预防等知识为重点的全民健康教育活动。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2.完善健康促进工作体系。建立以卫健部门牵头，各级爱国卫生机构主导，基层卫健机构为支撑，机关、学校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企事业单位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家庭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为基础的健康教育与健康促进工作体系，推动健康促进工作。加强健康促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进教育网络、健身场地建设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，落实控烟各项措施，推进全民健身活动，形成全社会讲究卫生、摒弃陋习、促进健康的良好局面。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（四）健全以鼠疫防控为主的病媒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生物防治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长效管理机制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坚持预防为主的方针，落实群防群控，发挥基层爱国卫生工作优势，强化专业防控和群众参与，形成共同防治疾病、促进健康的工作格局，从源头上控制疾病的发生和传播。充分发挥爱国卫生机构的组织协调作用，推动相关部门各负其责、协作配合，共同落实传染源管理、危害因素控制、防控知识普及、社会心理支持等综合防控措施。重点加强季节性传染病的防控工作，城镇以居民小区、农贸市场等公共场所和农村牧区以鼠密度较高地区为重点，定期开展大规模集中灭鼠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活动，确保鼠密度、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指数控制在国家标准范围内。疾控中心要定期组织开展鼠、蝇、蚊、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蟑螂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的种群、分布和密度监测，进行孳生场所调查，落实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综合防治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措施，使病媒生物得到有效控制。同时，加大宣传，引导居民做到“三不三报”（不私自捕猎疫源动物、不私自剥食疫源动物、不私自携带疫源动物及产品出疫区，报告病死鼠、报告疑似鼠疫患者、报告不明原因的高热患者和急死患者）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健全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公共卫生长效监管机制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加大公共场所卫生监管力度。按照“谁许可、谁管理、谁负责”的要求，加大日常监管和专项集中整治力度。以公共场所“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小”行业为重点，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市场监管局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文体广旅局、卫健委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等单位对应牵头，抽调专人划片包干管理，确保旅馆、美容美发厅、歌舞厅、公共浴室等公共场所内外环境整洁，公共用品清洗、消毒设施齐备，工作人员操作符合相关卫生规范要求，各项指标达到国家相关标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陈列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馆、商场等场所应当有良好通风采光条件，合理配备垃圾箱和卫生公厕。全面做好学校公共卫生安全工作，重点加强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职业卫生、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卫生、生活饮用水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等管理。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强化食品安全监管。认真贯彻执行食品安全有关法律法规，完善食品安全监管工作机制和部门配合机制，加大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市场监管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执法力度，加强食品生产、流通和销售等重点环节及重点行业、重点区域的监督管理，严厉查处各类违法经营活动，确保人民群众饮食安全。进一步完善重大食物中毒事故和食品安全事件应急预案，做到组织、人员和措施三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3.加强疾病防控与医疗卫生建设。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重大传染病防控措施，建立重大新发突发传染病疫情联防联控机制，按照相关要求制定传染病预防控制预案，落实“四早”要求，压实“四方责任”。二级以上综合性医院设置公共卫生科和感染性疾病科，发热门诊、肠道门诊、预检分诊符合有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近3年辖区内未发生重大实验室生物安全事故。健全医疗卫生服务体系，机构建设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国家标准要求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配置</w:t>
      </w:r>
      <w:r>
        <w:rPr>
          <w:rFonts w:hint="eastAsia" w:ascii="仿宋_GB2312" w:hAnsi="仿宋_GB2312" w:eastAsia="仿宋_GB2312" w:cs="仿宋_GB2312"/>
          <w:sz w:val="32"/>
          <w:szCs w:val="32"/>
        </w:rPr>
        <w:t>，千人口的床位数、执业（助理）医师数、注册护士数、公共卫生人员数、药师（药士）数和万人口全科医生数等指标符合所在地区域卫生规划要求。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三、保障措施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（一）落实部门职责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充分发挥各级爱国卫生运动委员会组织协调作用，依法实行爱国卫生工作分工负责制，推动成员单位按照职责分工，加强协作配合，建立定期通报、联议联动和责任追究等工作制度，形成推动工作的整体合力。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强化宣传引导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创新方式方法，加大宣传力度，丰富宣传载体，充分利用广播、电视、网络、微博、微信等媒体和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单位、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社区宣传栏、微信群、大喇叭广播等形式，及时、高效、准确将健康科普等知识传播到每个家庭、每个人，引导全社会形成文明卫生习惯和健康的生活方式。同时，积极探索建立政府与市场有机结合的机制，广泛动员社会力量通过捐赠、提供志愿服务等方式参与爱国卫生公益活动，充分发挥群众组织积极作用。 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640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严格督查考核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各级爱卫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要切实加强对爱国卫生工作的督导检查，及时发现和解决工作中存在的问题。建立社会监督机制，积极畅通监督渠道，主动接受社会和公众监督，认真梳理、整改群众反映的问题，不断提高群众对爱国卫生工作的满意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建立爱国卫生重点工作督查巡查机制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组织联合检查组，定期或不定期以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明察暗访的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形式对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师市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各单位进行综合检查评比排序，并将综合评比结果进行公示，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将检查结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果纳入年中绩效考核，并及时将检查情况报师市党委、师市。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对在组织开展爱国卫生工作中严重违反规定、未按要求完成上级交办任务或工作中不积极主动、不协助配合，造成爱国卫生工作出现严重滑坡或出现重大问题的部门或单位，将对主要责任人和相关人员进行党纪、政纪处分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46E628"/>
    <w:multiLevelType w:val="singleLevel"/>
    <w:tmpl w:val="C646E628"/>
    <w:lvl w:ilvl="0" w:tentative="0">
      <w:start w:val="2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7C82E1D3"/>
    <w:multiLevelType w:val="singleLevel"/>
    <w:tmpl w:val="7C82E1D3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Tk0OTA3MjMwYzg1ZDY3NDc3YTJhOWQ0ZTVhNTgifQ=="/>
  </w:docVars>
  <w:rsids>
    <w:rsidRoot w:val="00000000"/>
    <w:rsid w:val="00DA5559"/>
    <w:rsid w:val="01654AF7"/>
    <w:rsid w:val="01C550CC"/>
    <w:rsid w:val="02906F11"/>
    <w:rsid w:val="04304F42"/>
    <w:rsid w:val="08277C07"/>
    <w:rsid w:val="09860175"/>
    <w:rsid w:val="0B633415"/>
    <w:rsid w:val="0E127B9E"/>
    <w:rsid w:val="0F5F7EB2"/>
    <w:rsid w:val="0F7C24EA"/>
    <w:rsid w:val="11EE53DA"/>
    <w:rsid w:val="12EC0194"/>
    <w:rsid w:val="15F67FA3"/>
    <w:rsid w:val="186715CE"/>
    <w:rsid w:val="195A3C35"/>
    <w:rsid w:val="1A2544CB"/>
    <w:rsid w:val="1E130CBF"/>
    <w:rsid w:val="1E6F6D28"/>
    <w:rsid w:val="1EC06740"/>
    <w:rsid w:val="20243BCC"/>
    <w:rsid w:val="20FD7569"/>
    <w:rsid w:val="21E2653B"/>
    <w:rsid w:val="22E26426"/>
    <w:rsid w:val="2406098A"/>
    <w:rsid w:val="263C53D0"/>
    <w:rsid w:val="31B61F8E"/>
    <w:rsid w:val="35D02BA5"/>
    <w:rsid w:val="36740D47"/>
    <w:rsid w:val="37057E7F"/>
    <w:rsid w:val="39736669"/>
    <w:rsid w:val="3B377BC2"/>
    <w:rsid w:val="3FB552EE"/>
    <w:rsid w:val="4093314D"/>
    <w:rsid w:val="412763FB"/>
    <w:rsid w:val="44AC48CA"/>
    <w:rsid w:val="457E55F2"/>
    <w:rsid w:val="484602E6"/>
    <w:rsid w:val="4A0369F6"/>
    <w:rsid w:val="4A2D2AFD"/>
    <w:rsid w:val="4BA51805"/>
    <w:rsid w:val="4C202BB5"/>
    <w:rsid w:val="4CE51322"/>
    <w:rsid w:val="4CF51418"/>
    <w:rsid w:val="52C76DDF"/>
    <w:rsid w:val="539A22BE"/>
    <w:rsid w:val="587F7BAB"/>
    <w:rsid w:val="596874C0"/>
    <w:rsid w:val="5B3F16C4"/>
    <w:rsid w:val="5F781A7B"/>
    <w:rsid w:val="61B13709"/>
    <w:rsid w:val="61C84EF5"/>
    <w:rsid w:val="65645F29"/>
    <w:rsid w:val="6671147A"/>
    <w:rsid w:val="67335B01"/>
    <w:rsid w:val="6E5378F4"/>
    <w:rsid w:val="6F3E2352"/>
    <w:rsid w:val="733D12B3"/>
    <w:rsid w:val="74A52E74"/>
    <w:rsid w:val="75175D78"/>
    <w:rsid w:val="764C17F9"/>
    <w:rsid w:val="7863107C"/>
    <w:rsid w:val="7AB33F93"/>
    <w:rsid w:val="7D1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3241</Words>
  <Characters>3258</Characters>
  <Lines>0</Lines>
  <Paragraphs>0</Paragraphs>
  <TotalTime>94</TotalTime>
  <ScaleCrop>false</ScaleCrop>
  <LinksUpToDate>false</LinksUpToDate>
  <CharactersWithSpaces>3287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2022-09-19T03:02:00Z</dcterms:created>
  <dc:creator>Lenovo</dc:creator>
  <cp:lastModifiedBy>bzh</cp:lastModifiedBy>
  <cp:lastPrinted>2023-02-06T02:38:00Z</cp:lastPrinted>
  <dcterms:modified xsi:type="dcterms:W3CDTF">2023-02-08T07:51:03Z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8D3163FB86CE4E229A3B8B703D1F4D60</vt:lpwstr>
  </property>
</Properties>
</file>