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spacing w:line="600" w:lineRule="exact"/>
        <w:ind w:left="0" w:firstLine="0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="1501" w:tblpY="1908"/>
        <w:tblOverlap w:val="never"/>
        <w:tblW w:w="89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2150"/>
        <w:gridCol w:w="2137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职数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新疆双河瑞林工程管理咨询有限公司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0" w:firstLine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新疆双河古道温泉康养度假有限责任公司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after="156" w:afterLines="5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新疆双河城市建设（集团）有限责任公司</w:t>
      </w:r>
    </w:p>
    <w:p>
      <w:pPr>
        <w:spacing w:after="156" w:afterLines="50"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权属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经理层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化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职位、职数表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49EB6854"/>
    <w:rsid w:val="49EB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2024-05-22T03:45:00Z</dcterms:created>
  <dc:creator>卡布奇诺</dc:creator>
  <cp:lastModifiedBy>卡布奇诺</cp:lastModifiedBy>
  <dcterms:modified xsi:type="dcterms:W3CDTF">2024-05-22T03:46:34Z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6BBBEB219FAE44B6829BC78D0FD0D522_11</vt:lpwstr>
  </property>
</Properties>
</file>