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2741">
      <w:pPr>
        <w:ind w:firstLine="0" w:firstLineChars="0"/>
        <w:jc w:val="center"/>
        <w:rPr>
          <w:b/>
          <w:bCs/>
          <w:color w:val="auto"/>
          <w:sz w:val="32"/>
          <w:szCs w:val="36"/>
        </w:rPr>
      </w:pPr>
    </w:p>
    <w:p w14:paraId="4D69661A">
      <w:pPr>
        <w:ind w:firstLine="0" w:firstLineChars="0"/>
        <w:jc w:val="center"/>
        <w:rPr>
          <w:b/>
          <w:bCs/>
          <w:color w:val="auto"/>
          <w:sz w:val="32"/>
          <w:szCs w:val="36"/>
        </w:rPr>
      </w:pPr>
    </w:p>
    <w:p w14:paraId="1E03A1CA">
      <w:pPr>
        <w:ind w:firstLine="0" w:firstLineChars="0"/>
        <w:jc w:val="center"/>
        <w:rPr>
          <w:b/>
          <w:bCs/>
          <w:color w:val="auto"/>
          <w:sz w:val="32"/>
          <w:szCs w:val="36"/>
        </w:rPr>
      </w:pPr>
    </w:p>
    <w:p w14:paraId="2B8849B3">
      <w:pPr>
        <w:ind w:firstLine="0" w:firstLineChars="0"/>
        <w:jc w:val="center"/>
        <w:rPr>
          <w:b/>
          <w:bCs/>
          <w:color w:val="auto"/>
          <w:sz w:val="32"/>
          <w:szCs w:val="36"/>
        </w:rPr>
      </w:pPr>
    </w:p>
    <w:p w14:paraId="7851B4DF">
      <w:pPr>
        <w:ind w:firstLine="0" w:firstLineChars="0"/>
        <w:jc w:val="center"/>
        <w:rPr>
          <w:b/>
          <w:bCs/>
          <w:color w:val="auto"/>
          <w:sz w:val="52"/>
          <w:szCs w:val="56"/>
        </w:rPr>
      </w:pPr>
      <w:r>
        <w:rPr>
          <w:rFonts w:hint="eastAsia"/>
          <w:b/>
          <w:bCs/>
          <w:color w:val="auto"/>
          <w:sz w:val="52"/>
          <w:szCs w:val="56"/>
        </w:rPr>
        <w:t>新疆生产建设兵团第五师</w:t>
      </w:r>
      <w:r>
        <w:rPr>
          <w:rFonts w:hint="eastAsia"/>
          <w:b/>
          <w:bCs/>
          <w:color w:val="auto"/>
          <w:sz w:val="52"/>
          <w:szCs w:val="56"/>
          <w:lang w:val="en-US" w:eastAsia="zh-CN"/>
        </w:rPr>
        <w:t>双河市</w:t>
      </w:r>
      <w:r>
        <w:rPr>
          <w:rFonts w:hint="eastAsia"/>
          <w:b/>
          <w:bCs/>
          <w:color w:val="auto"/>
          <w:sz w:val="52"/>
          <w:szCs w:val="56"/>
          <w:lang w:eastAsia="zh-CN"/>
        </w:rPr>
        <w:t>美丽师市建设</w:t>
      </w:r>
      <w:r>
        <w:rPr>
          <w:rFonts w:hint="eastAsia"/>
          <w:b/>
          <w:bCs/>
          <w:color w:val="auto"/>
          <w:sz w:val="52"/>
          <w:szCs w:val="56"/>
        </w:rPr>
        <w:t>“十五五”生态环境保护规划</w:t>
      </w:r>
    </w:p>
    <w:p w14:paraId="3D27B752">
      <w:pPr>
        <w:ind w:firstLine="0" w:firstLineChars="0"/>
        <w:jc w:val="center"/>
        <w:rPr>
          <w:b/>
          <w:bCs/>
          <w:color w:val="auto"/>
          <w:sz w:val="52"/>
          <w:szCs w:val="56"/>
        </w:rPr>
      </w:pPr>
    </w:p>
    <w:p w14:paraId="2CD50CBA">
      <w:pPr>
        <w:ind w:firstLine="480"/>
        <w:rPr>
          <w:color w:val="auto"/>
        </w:rPr>
      </w:pPr>
    </w:p>
    <w:p w14:paraId="38D4C70E">
      <w:pPr>
        <w:tabs>
          <w:tab w:val="left" w:pos="1008"/>
        </w:tabs>
        <w:ind w:firstLine="0" w:firstLineChars="0"/>
        <w:rPr>
          <w:color w:val="auto"/>
        </w:rPr>
      </w:pPr>
      <w:r>
        <w:rPr>
          <w:rFonts w:hint="eastAsia"/>
          <w:color w:val="auto"/>
          <w:lang w:eastAsia="zh-CN"/>
        </w:rPr>
        <w:tab/>
      </w:r>
    </w:p>
    <w:p w14:paraId="3AFF4BAF">
      <w:pPr>
        <w:ind w:firstLine="480"/>
        <w:rPr>
          <w:color w:val="auto"/>
        </w:rPr>
      </w:pPr>
    </w:p>
    <w:p w14:paraId="08C0495D">
      <w:pPr>
        <w:ind w:firstLine="480"/>
        <w:rPr>
          <w:color w:val="auto"/>
        </w:rPr>
      </w:pPr>
    </w:p>
    <w:p w14:paraId="3213F830">
      <w:pPr>
        <w:ind w:firstLine="480"/>
        <w:rPr>
          <w:color w:val="auto"/>
        </w:rPr>
      </w:pPr>
    </w:p>
    <w:p w14:paraId="57E42EFE">
      <w:pPr>
        <w:ind w:firstLine="480"/>
        <w:rPr>
          <w:color w:val="auto"/>
        </w:rPr>
      </w:pPr>
    </w:p>
    <w:p w14:paraId="6848222F">
      <w:pPr>
        <w:ind w:firstLine="480"/>
        <w:rPr>
          <w:color w:val="auto"/>
        </w:rPr>
      </w:pPr>
    </w:p>
    <w:p w14:paraId="65910215">
      <w:pPr>
        <w:ind w:firstLine="480"/>
        <w:rPr>
          <w:color w:val="auto"/>
        </w:rPr>
      </w:pPr>
    </w:p>
    <w:p w14:paraId="1E0B4084">
      <w:pPr>
        <w:ind w:firstLine="0" w:firstLineChars="0"/>
        <w:jc w:val="center"/>
        <w:rPr>
          <w:b/>
          <w:bCs/>
          <w:color w:val="auto"/>
          <w:sz w:val="28"/>
          <w:szCs w:val="24"/>
        </w:rPr>
      </w:pPr>
      <w:r>
        <w:rPr>
          <w:rFonts w:hint="eastAsia"/>
          <w:b/>
          <w:bCs/>
          <w:color w:val="auto"/>
          <w:sz w:val="28"/>
          <w:szCs w:val="24"/>
        </w:rPr>
        <w:t>南京国环科技股份有限公司</w:t>
      </w:r>
    </w:p>
    <w:p w14:paraId="6CF95FDD">
      <w:pPr>
        <w:ind w:firstLine="0" w:firstLineChars="0"/>
        <w:jc w:val="center"/>
        <w:rPr>
          <w:b/>
          <w:bCs/>
          <w:color w:val="auto"/>
          <w:sz w:val="28"/>
          <w:szCs w:val="24"/>
        </w:rPr>
      </w:pPr>
      <w:r>
        <w:rPr>
          <w:rFonts w:hint="eastAsia"/>
          <w:b/>
          <w:bCs/>
          <w:color w:val="auto"/>
          <w:sz w:val="28"/>
          <w:szCs w:val="24"/>
        </w:rPr>
        <w:t>二</w:t>
      </w:r>
      <w:r>
        <w:rPr>
          <w:rFonts w:hint="eastAsia"/>
          <w:b/>
          <w:bCs/>
          <w:color w:val="auto"/>
          <w:sz w:val="28"/>
          <w:szCs w:val="24"/>
          <w:lang w:val="en-US" w:eastAsia="zh-CN"/>
        </w:rPr>
        <w:t>〇</w:t>
      </w:r>
      <w:r>
        <w:rPr>
          <w:rFonts w:hint="eastAsia"/>
          <w:b/>
          <w:bCs/>
          <w:color w:val="auto"/>
          <w:sz w:val="28"/>
          <w:szCs w:val="24"/>
        </w:rPr>
        <w:t>二六年</w:t>
      </w:r>
      <w:r>
        <w:rPr>
          <w:rFonts w:hint="eastAsia"/>
          <w:b/>
          <w:bCs/>
          <w:color w:val="auto"/>
          <w:sz w:val="28"/>
          <w:szCs w:val="24"/>
          <w:lang w:val="en-US" w:eastAsia="zh-CN"/>
        </w:rPr>
        <w:t>四</w:t>
      </w:r>
      <w:r>
        <w:rPr>
          <w:rFonts w:hint="eastAsia"/>
          <w:b/>
          <w:bCs/>
          <w:color w:val="auto"/>
          <w:sz w:val="28"/>
          <w:szCs w:val="24"/>
        </w:rPr>
        <w:t>月</w:t>
      </w:r>
    </w:p>
    <w:p w14:paraId="5D62FFAE">
      <w:pPr>
        <w:ind w:firstLine="480"/>
        <w:rPr>
          <w:color w:val="auto"/>
        </w:rPr>
      </w:pPr>
    </w:p>
    <w:p w14:paraId="631370F5">
      <w:pPr>
        <w:ind w:firstLine="480"/>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6F59F4FC">
      <w:pPr>
        <w:pStyle w:val="23"/>
        <w:rPr>
          <w:color w:val="auto"/>
        </w:rPr>
      </w:pPr>
      <w:r>
        <w:rPr>
          <w:rFonts w:hint="eastAsia"/>
          <w:color w:val="auto"/>
        </w:rPr>
        <w:t>目录</w:t>
      </w:r>
    </w:p>
    <w:p w14:paraId="0A87764F">
      <w:pPr>
        <w:pStyle w:val="23"/>
        <w:tabs>
          <w:tab w:val="right" w:leader="dot" w:pos="8306"/>
          <w:tab w:val="clear" w:pos="829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_Toc2391 </w:instrText>
      </w:r>
      <w:r>
        <w:fldChar w:fldCharType="separate"/>
      </w:r>
      <w:r>
        <w:rPr>
          <w:rFonts w:hint="eastAsia"/>
        </w:rPr>
        <w:t>第一章 “十五五”时期生态环境形势研判</w:t>
      </w:r>
      <w:r>
        <w:tab/>
      </w:r>
      <w:r>
        <w:fldChar w:fldCharType="begin"/>
      </w:r>
      <w:r>
        <w:instrText xml:space="preserve"> PAGEREF _Toc2391 \h </w:instrText>
      </w:r>
      <w:r>
        <w:fldChar w:fldCharType="separate"/>
      </w:r>
      <w:r>
        <w:t>2</w:t>
      </w:r>
      <w:r>
        <w:fldChar w:fldCharType="end"/>
      </w:r>
      <w:r>
        <w:rPr>
          <w:color w:val="auto"/>
        </w:rPr>
        <w:fldChar w:fldCharType="end"/>
      </w:r>
    </w:p>
    <w:p w14:paraId="0FB6C005">
      <w:pPr>
        <w:pStyle w:val="28"/>
        <w:tabs>
          <w:tab w:val="right" w:leader="dot" w:pos="8306"/>
        </w:tabs>
      </w:pPr>
      <w:r>
        <w:rPr>
          <w:color w:val="auto"/>
        </w:rPr>
        <w:fldChar w:fldCharType="begin"/>
      </w:r>
      <w:r>
        <w:instrText xml:space="preserve"> HYPERLINK \l _Toc11849 </w:instrText>
      </w:r>
      <w:r>
        <w:fldChar w:fldCharType="separate"/>
      </w:r>
      <w:r>
        <w:rPr>
          <w:rFonts w:hint="eastAsia"/>
        </w:rPr>
        <w:t xml:space="preserve">第一节 </w:t>
      </w:r>
      <w:r>
        <w:rPr>
          <w:rFonts w:hint="eastAsia"/>
          <w:lang w:eastAsia="zh-CN"/>
        </w:rPr>
        <w:t>“</w:t>
      </w:r>
      <w:r>
        <w:rPr>
          <w:rFonts w:hint="eastAsia"/>
          <w:lang w:val="en-US" w:eastAsia="zh-CN"/>
        </w:rPr>
        <w:t>十四五</w:t>
      </w:r>
      <w:r>
        <w:rPr>
          <w:rFonts w:hint="eastAsia"/>
          <w:lang w:eastAsia="zh-CN"/>
        </w:rPr>
        <w:t>”</w:t>
      </w:r>
      <w:r>
        <w:rPr>
          <w:rFonts w:hint="eastAsia"/>
          <w:lang w:val="en-US" w:eastAsia="zh-CN"/>
        </w:rPr>
        <w:t>规划实施情况</w:t>
      </w:r>
      <w:r>
        <w:tab/>
      </w:r>
      <w:r>
        <w:fldChar w:fldCharType="begin"/>
      </w:r>
      <w:r>
        <w:instrText xml:space="preserve"> PAGEREF _Toc11849 \h </w:instrText>
      </w:r>
      <w:r>
        <w:fldChar w:fldCharType="separate"/>
      </w:r>
      <w:r>
        <w:t>2</w:t>
      </w:r>
      <w:r>
        <w:fldChar w:fldCharType="end"/>
      </w:r>
      <w:r>
        <w:rPr>
          <w:color w:val="auto"/>
        </w:rPr>
        <w:fldChar w:fldCharType="end"/>
      </w:r>
    </w:p>
    <w:p w14:paraId="378933BA">
      <w:pPr>
        <w:pStyle w:val="28"/>
        <w:tabs>
          <w:tab w:val="right" w:leader="dot" w:pos="8306"/>
        </w:tabs>
      </w:pPr>
      <w:r>
        <w:rPr>
          <w:color w:val="auto"/>
        </w:rPr>
        <w:fldChar w:fldCharType="begin"/>
      </w:r>
      <w:r>
        <w:instrText xml:space="preserve"> HYPERLINK \l _Toc17186 </w:instrText>
      </w:r>
      <w:r>
        <w:fldChar w:fldCharType="separate"/>
      </w:r>
      <w:r>
        <w:rPr>
          <w:rFonts w:hint="eastAsia"/>
        </w:rPr>
        <w:t>第二节 “十五五”</w:t>
      </w:r>
      <w:r>
        <w:rPr>
          <w:rFonts w:hint="eastAsia"/>
          <w:lang w:val="en-US" w:eastAsia="zh-CN"/>
        </w:rPr>
        <w:t>美丽五师建设任务依然艰巨</w:t>
      </w:r>
      <w:r>
        <w:tab/>
      </w:r>
      <w:r>
        <w:fldChar w:fldCharType="begin"/>
      </w:r>
      <w:r>
        <w:instrText xml:space="preserve"> PAGEREF _Toc17186 \h </w:instrText>
      </w:r>
      <w:r>
        <w:fldChar w:fldCharType="separate"/>
      </w:r>
      <w:r>
        <w:t>9</w:t>
      </w:r>
      <w:r>
        <w:fldChar w:fldCharType="end"/>
      </w:r>
      <w:r>
        <w:rPr>
          <w:color w:val="auto"/>
        </w:rPr>
        <w:fldChar w:fldCharType="end"/>
      </w:r>
    </w:p>
    <w:p w14:paraId="291E18C4">
      <w:pPr>
        <w:pStyle w:val="28"/>
        <w:tabs>
          <w:tab w:val="right" w:leader="dot" w:pos="8306"/>
        </w:tabs>
      </w:pPr>
      <w:r>
        <w:rPr>
          <w:color w:val="auto"/>
        </w:rPr>
        <w:fldChar w:fldCharType="begin"/>
      </w:r>
      <w:r>
        <w:instrText xml:space="preserve"> HYPERLINK \l _Toc11328 </w:instrText>
      </w:r>
      <w:r>
        <w:fldChar w:fldCharType="separate"/>
      </w:r>
      <w:r>
        <w:rPr>
          <w:rFonts w:hint="eastAsia"/>
        </w:rPr>
        <w:t xml:space="preserve">第三节 </w:t>
      </w:r>
      <w:r>
        <w:rPr>
          <w:rFonts w:hint="eastAsia"/>
          <w:lang w:val="en-US" w:eastAsia="zh-CN"/>
        </w:rPr>
        <w:t>生态环境改善战略机遇叠加</w:t>
      </w:r>
      <w:r>
        <w:tab/>
      </w:r>
      <w:r>
        <w:fldChar w:fldCharType="begin"/>
      </w:r>
      <w:r>
        <w:instrText xml:space="preserve"> PAGEREF _Toc11328 \h </w:instrText>
      </w:r>
      <w:r>
        <w:fldChar w:fldCharType="separate"/>
      </w:r>
      <w:r>
        <w:t>10</w:t>
      </w:r>
      <w:r>
        <w:fldChar w:fldCharType="end"/>
      </w:r>
      <w:r>
        <w:rPr>
          <w:color w:val="auto"/>
        </w:rPr>
        <w:fldChar w:fldCharType="end"/>
      </w:r>
    </w:p>
    <w:p w14:paraId="4F838856">
      <w:pPr>
        <w:pStyle w:val="23"/>
        <w:tabs>
          <w:tab w:val="right" w:leader="dot" w:pos="8306"/>
          <w:tab w:val="clear" w:pos="8296"/>
        </w:tabs>
      </w:pPr>
      <w:r>
        <w:rPr>
          <w:color w:val="auto"/>
        </w:rPr>
        <w:fldChar w:fldCharType="begin"/>
      </w:r>
      <w:r>
        <w:instrText xml:space="preserve"> HYPERLINK \l _Toc8665 </w:instrText>
      </w:r>
      <w:r>
        <w:fldChar w:fldCharType="separate"/>
      </w:r>
      <w:r>
        <w:rPr>
          <w:rFonts w:hint="eastAsia"/>
        </w:rPr>
        <w:t xml:space="preserve">第二章 </w:t>
      </w:r>
      <w:r>
        <w:rPr>
          <w:rFonts w:hint="eastAsia"/>
          <w:lang w:val="en-US" w:eastAsia="zh-CN"/>
        </w:rPr>
        <w:t>总体要求</w:t>
      </w:r>
      <w:r>
        <w:tab/>
      </w:r>
      <w:r>
        <w:fldChar w:fldCharType="begin"/>
      </w:r>
      <w:r>
        <w:instrText xml:space="preserve"> PAGEREF _Toc8665 \h </w:instrText>
      </w:r>
      <w:r>
        <w:fldChar w:fldCharType="separate"/>
      </w:r>
      <w:r>
        <w:t>13</w:t>
      </w:r>
      <w:r>
        <w:fldChar w:fldCharType="end"/>
      </w:r>
      <w:r>
        <w:rPr>
          <w:color w:val="auto"/>
        </w:rPr>
        <w:fldChar w:fldCharType="end"/>
      </w:r>
    </w:p>
    <w:p w14:paraId="55F1D82D">
      <w:pPr>
        <w:pStyle w:val="28"/>
        <w:tabs>
          <w:tab w:val="right" w:leader="dot" w:pos="8306"/>
        </w:tabs>
      </w:pPr>
      <w:r>
        <w:rPr>
          <w:color w:val="auto"/>
        </w:rPr>
        <w:fldChar w:fldCharType="begin"/>
      </w:r>
      <w:r>
        <w:instrText xml:space="preserve"> HYPERLINK \l _Toc30304 </w:instrText>
      </w:r>
      <w:r>
        <w:fldChar w:fldCharType="separate"/>
      </w:r>
      <w:r>
        <w:rPr>
          <w:rFonts w:hint="eastAsia"/>
          <w:lang w:val="en-US" w:eastAsia="zh-CN"/>
        </w:rPr>
        <w:t>第一节 指导思想</w:t>
      </w:r>
      <w:r>
        <w:tab/>
      </w:r>
      <w:r>
        <w:fldChar w:fldCharType="begin"/>
      </w:r>
      <w:r>
        <w:instrText xml:space="preserve"> PAGEREF _Toc30304 \h </w:instrText>
      </w:r>
      <w:r>
        <w:fldChar w:fldCharType="separate"/>
      </w:r>
      <w:r>
        <w:t>13</w:t>
      </w:r>
      <w:r>
        <w:fldChar w:fldCharType="end"/>
      </w:r>
      <w:r>
        <w:rPr>
          <w:color w:val="auto"/>
        </w:rPr>
        <w:fldChar w:fldCharType="end"/>
      </w:r>
    </w:p>
    <w:p w14:paraId="4696ED74">
      <w:pPr>
        <w:pStyle w:val="28"/>
        <w:tabs>
          <w:tab w:val="right" w:leader="dot" w:pos="8306"/>
        </w:tabs>
      </w:pPr>
      <w:r>
        <w:rPr>
          <w:color w:val="auto"/>
        </w:rPr>
        <w:fldChar w:fldCharType="begin"/>
      </w:r>
      <w:r>
        <w:instrText xml:space="preserve"> HYPERLINK \l _Toc16452 </w:instrText>
      </w:r>
      <w:r>
        <w:fldChar w:fldCharType="separate"/>
      </w:r>
      <w:r>
        <w:rPr>
          <w:rFonts w:hint="eastAsia"/>
          <w:lang w:val="en-US" w:eastAsia="zh-CN"/>
        </w:rPr>
        <w:t>第二节 基本原则</w:t>
      </w:r>
      <w:r>
        <w:tab/>
      </w:r>
      <w:r>
        <w:fldChar w:fldCharType="begin"/>
      </w:r>
      <w:r>
        <w:instrText xml:space="preserve"> PAGEREF _Toc16452 \h </w:instrText>
      </w:r>
      <w:r>
        <w:fldChar w:fldCharType="separate"/>
      </w:r>
      <w:r>
        <w:t>13</w:t>
      </w:r>
      <w:r>
        <w:fldChar w:fldCharType="end"/>
      </w:r>
      <w:r>
        <w:rPr>
          <w:color w:val="auto"/>
        </w:rPr>
        <w:fldChar w:fldCharType="end"/>
      </w:r>
    </w:p>
    <w:p w14:paraId="7A052614">
      <w:pPr>
        <w:pStyle w:val="28"/>
        <w:tabs>
          <w:tab w:val="right" w:leader="dot" w:pos="8306"/>
        </w:tabs>
      </w:pPr>
      <w:r>
        <w:rPr>
          <w:color w:val="auto"/>
        </w:rPr>
        <w:fldChar w:fldCharType="begin"/>
      </w:r>
      <w:r>
        <w:instrText xml:space="preserve"> HYPERLINK \l _Toc5604 </w:instrText>
      </w:r>
      <w:r>
        <w:fldChar w:fldCharType="separate"/>
      </w:r>
      <w:r>
        <w:rPr>
          <w:rFonts w:hint="eastAsia"/>
        </w:rPr>
        <w:t xml:space="preserve">第三节 </w:t>
      </w:r>
      <w:r>
        <w:rPr>
          <w:rFonts w:hint="eastAsia"/>
          <w:lang w:val="en-US" w:eastAsia="zh-CN"/>
        </w:rPr>
        <w:t>规划</w:t>
      </w:r>
      <w:r>
        <w:rPr>
          <w:rFonts w:hint="eastAsia"/>
        </w:rPr>
        <w:t>目标</w:t>
      </w:r>
      <w:r>
        <w:tab/>
      </w:r>
      <w:r>
        <w:fldChar w:fldCharType="begin"/>
      </w:r>
      <w:r>
        <w:instrText xml:space="preserve"> PAGEREF _Toc5604 \h </w:instrText>
      </w:r>
      <w:r>
        <w:fldChar w:fldCharType="separate"/>
      </w:r>
      <w:r>
        <w:t>15</w:t>
      </w:r>
      <w:r>
        <w:fldChar w:fldCharType="end"/>
      </w:r>
      <w:r>
        <w:rPr>
          <w:color w:val="auto"/>
        </w:rPr>
        <w:fldChar w:fldCharType="end"/>
      </w:r>
    </w:p>
    <w:p w14:paraId="595CD046">
      <w:pPr>
        <w:pStyle w:val="23"/>
        <w:tabs>
          <w:tab w:val="right" w:leader="dot" w:pos="8306"/>
          <w:tab w:val="clear" w:pos="8296"/>
        </w:tabs>
      </w:pPr>
      <w:r>
        <w:rPr>
          <w:color w:val="auto"/>
        </w:rPr>
        <w:fldChar w:fldCharType="begin"/>
      </w:r>
      <w:r>
        <w:instrText xml:space="preserve"> HYPERLINK \l _Toc7696 </w:instrText>
      </w:r>
      <w:r>
        <w:fldChar w:fldCharType="separate"/>
      </w:r>
      <w:r>
        <w:rPr>
          <w:rFonts w:hint="eastAsia"/>
        </w:rPr>
        <w:t>第三章 坚持分级分类，建设美丽五师</w:t>
      </w:r>
      <w:r>
        <w:tab/>
      </w:r>
      <w:r>
        <w:fldChar w:fldCharType="begin"/>
      </w:r>
      <w:r>
        <w:instrText xml:space="preserve"> PAGEREF _Toc7696 \h </w:instrText>
      </w:r>
      <w:r>
        <w:fldChar w:fldCharType="separate"/>
      </w:r>
      <w:r>
        <w:t>17</w:t>
      </w:r>
      <w:r>
        <w:fldChar w:fldCharType="end"/>
      </w:r>
      <w:r>
        <w:rPr>
          <w:color w:val="auto"/>
        </w:rPr>
        <w:fldChar w:fldCharType="end"/>
      </w:r>
    </w:p>
    <w:p w14:paraId="70A71D3D">
      <w:pPr>
        <w:pStyle w:val="28"/>
        <w:tabs>
          <w:tab w:val="right" w:leader="dot" w:pos="8306"/>
        </w:tabs>
      </w:pPr>
      <w:r>
        <w:rPr>
          <w:color w:val="auto"/>
        </w:rPr>
        <w:fldChar w:fldCharType="begin"/>
      </w:r>
      <w:r>
        <w:instrText xml:space="preserve"> HYPERLINK \l _Toc16791 </w:instrText>
      </w:r>
      <w:r>
        <w:fldChar w:fldCharType="separate"/>
      </w:r>
      <w:r>
        <w:rPr>
          <w:rFonts w:hint="eastAsia"/>
        </w:rPr>
        <w:t>第一节 全面推动美丽城市建设</w:t>
      </w:r>
      <w:r>
        <w:tab/>
      </w:r>
      <w:r>
        <w:fldChar w:fldCharType="begin"/>
      </w:r>
      <w:r>
        <w:instrText xml:space="preserve"> PAGEREF _Toc16791 \h </w:instrText>
      </w:r>
      <w:r>
        <w:fldChar w:fldCharType="separate"/>
      </w:r>
      <w:r>
        <w:t>17</w:t>
      </w:r>
      <w:r>
        <w:fldChar w:fldCharType="end"/>
      </w:r>
      <w:r>
        <w:rPr>
          <w:color w:val="auto"/>
        </w:rPr>
        <w:fldChar w:fldCharType="end"/>
      </w:r>
    </w:p>
    <w:p w14:paraId="7F7C2B70">
      <w:pPr>
        <w:pStyle w:val="28"/>
        <w:tabs>
          <w:tab w:val="right" w:leader="dot" w:pos="8306"/>
        </w:tabs>
      </w:pPr>
      <w:r>
        <w:rPr>
          <w:color w:val="auto"/>
        </w:rPr>
        <w:fldChar w:fldCharType="begin"/>
      </w:r>
      <w:r>
        <w:instrText xml:space="preserve"> HYPERLINK \l _Toc23888 </w:instrText>
      </w:r>
      <w:r>
        <w:fldChar w:fldCharType="separate"/>
      </w:r>
      <w:r>
        <w:rPr>
          <w:rFonts w:hint="eastAsia"/>
        </w:rPr>
        <w:t>第二节 建设美丽连队示范标杆</w:t>
      </w:r>
      <w:r>
        <w:tab/>
      </w:r>
      <w:r>
        <w:fldChar w:fldCharType="begin"/>
      </w:r>
      <w:r>
        <w:instrText xml:space="preserve"> PAGEREF _Toc23888 \h </w:instrText>
      </w:r>
      <w:r>
        <w:fldChar w:fldCharType="separate"/>
      </w:r>
      <w:r>
        <w:t>17</w:t>
      </w:r>
      <w:r>
        <w:fldChar w:fldCharType="end"/>
      </w:r>
      <w:r>
        <w:rPr>
          <w:color w:val="auto"/>
        </w:rPr>
        <w:fldChar w:fldCharType="end"/>
      </w:r>
    </w:p>
    <w:p w14:paraId="0B53B97A">
      <w:pPr>
        <w:pStyle w:val="28"/>
        <w:tabs>
          <w:tab w:val="right" w:leader="dot" w:pos="8306"/>
        </w:tabs>
      </w:pPr>
      <w:r>
        <w:rPr>
          <w:color w:val="auto"/>
        </w:rPr>
        <w:fldChar w:fldCharType="begin"/>
      </w:r>
      <w:r>
        <w:instrText xml:space="preserve"> HYPERLINK \l _Toc2031 </w:instrText>
      </w:r>
      <w:r>
        <w:fldChar w:fldCharType="separate"/>
      </w:r>
      <w:r>
        <w:rPr>
          <w:rFonts w:hint="eastAsia"/>
        </w:rPr>
        <w:t>第三节 建设各类美丽细胞</w:t>
      </w:r>
      <w:r>
        <w:tab/>
      </w:r>
      <w:r>
        <w:fldChar w:fldCharType="begin"/>
      </w:r>
      <w:r>
        <w:instrText xml:space="preserve"> PAGEREF _Toc2031 \h </w:instrText>
      </w:r>
      <w:r>
        <w:fldChar w:fldCharType="separate"/>
      </w:r>
      <w:r>
        <w:t>18</w:t>
      </w:r>
      <w:r>
        <w:fldChar w:fldCharType="end"/>
      </w:r>
      <w:r>
        <w:rPr>
          <w:color w:val="auto"/>
        </w:rPr>
        <w:fldChar w:fldCharType="end"/>
      </w:r>
    </w:p>
    <w:p w14:paraId="0E4361FE">
      <w:pPr>
        <w:pStyle w:val="23"/>
        <w:tabs>
          <w:tab w:val="right" w:leader="dot" w:pos="8306"/>
          <w:tab w:val="clear" w:pos="8296"/>
        </w:tabs>
      </w:pPr>
      <w:r>
        <w:rPr>
          <w:color w:val="auto"/>
        </w:rPr>
        <w:fldChar w:fldCharType="begin"/>
      </w:r>
      <w:r>
        <w:instrText xml:space="preserve"> HYPERLINK \l _Toc7329 </w:instrText>
      </w:r>
      <w:r>
        <w:fldChar w:fldCharType="separate"/>
      </w:r>
      <w:r>
        <w:rPr>
          <w:rFonts w:hint="eastAsia"/>
        </w:rPr>
        <w:t>第四章 协同推进减污降碳</w:t>
      </w:r>
      <w:r>
        <w:rPr>
          <w:rFonts w:hint="eastAsia"/>
          <w:lang w:eastAsia="zh-CN"/>
        </w:rPr>
        <w:t>，</w:t>
      </w:r>
      <w:r>
        <w:rPr>
          <w:rFonts w:hint="eastAsia"/>
        </w:rPr>
        <w:t>助力绿色低碳高质量发展</w:t>
      </w:r>
      <w:r>
        <w:tab/>
      </w:r>
      <w:r>
        <w:fldChar w:fldCharType="begin"/>
      </w:r>
      <w:r>
        <w:instrText xml:space="preserve"> PAGEREF _Toc7329 \h </w:instrText>
      </w:r>
      <w:r>
        <w:fldChar w:fldCharType="separate"/>
      </w:r>
      <w:r>
        <w:t>20</w:t>
      </w:r>
      <w:r>
        <w:fldChar w:fldCharType="end"/>
      </w:r>
      <w:r>
        <w:rPr>
          <w:color w:val="auto"/>
        </w:rPr>
        <w:fldChar w:fldCharType="end"/>
      </w:r>
    </w:p>
    <w:p w14:paraId="3F3F82BB">
      <w:pPr>
        <w:pStyle w:val="28"/>
        <w:tabs>
          <w:tab w:val="right" w:leader="dot" w:pos="8306"/>
        </w:tabs>
      </w:pPr>
      <w:r>
        <w:rPr>
          <w:color w:val="auto"/>
        </w:rPr>
        <w:fldChar w:fldCharType="begin"/>
      </w:r>
      <w:r>
        <w:instrText xml:space="preserve"> HYPERLINK \l _Toc14093 </w:instrText>
      </w:r>
      <w:r>
        <w:fldChar w:fldCharType="separate"/>
      </w:r>
      <w:r>
        <w:rPr>
          <w:rFonts w:hint="eastAsia"/>
        </w:rPr>
        <w:t>第一节 优化国土空间开发保护格局</w:t>
      </w:r>
      <w:r>
        <w:tab/>
      </w:r>
      <w:r>
        <w:fldChar w:fldCharType="begin"/>
      </w:r>
      <w:r>
        <w:instrText xml:space="preserve"> PAGEREF _Toc14093 \h </w:instrText>
      </w:r>
      <w:r>
        <w:fldChar w:fldCharType="separate"/>
      </w:r>
      <w:r>
        <w:t>20</w:t>
      </w:r>
      <w:r>
        <w:fldChar w:fldCharType="end"/>
      </w:r>
      <w:r>
        <w:rPr>
          <w:color w:val="auto"/>
        </w:rPr>
        <w:fldChar w:fldCharType="end"/>
      </w:r>
    </w:p>
    <w:p w14:paraId="58EEE44E">
      <w:pPr>
        <w:pStyle w:val="28"/>
        <w:tabs>
          <w:tab w:val="right" w:leader="dot" w:pos="8306"/>
        </w:tabs>
      </w:pPr>
      <w:r>
        <w:rPr>
          <w:color w:val="auto"/>
        </w:rPr>
        <w:fldChar w:fldCharType="begin"/>
      </w:r>
      <w:r>
        <w:instrText xml:space="preserve"> HYPERLINK \l _Toc23479 </w:instrText>
      </w:r>
      <w:r>
        <w:fldChar w:fldCharType="separate"/>
      </w:r>
      <w:r>
        <w:rPr>
          <w:rFonts w:hint="eastAsia"/>
        </w:rPr>
        <w:t>第二节 统筹推进重点领域绿色低碳发展</w:t>
      </w:r>
      <w:r>
        <w:tab/>
      </w:r>
      <w:r>
        <w:fldChar w:fldCharType="begin"/>
      </w:r>
      <w:r>
        <w:instrText xml:space="preserve"> PAGEREF _Toc23479 \h </w:instrText>
      </w:r>
      <w:r>
        <w:fldChar w:fldCharType="separate"/>
      </w:r>
      <w:r>
        <w:t>21</w:t>
      </w:r>
      <w:r>
        <w:fldChar w:fldCharType="end"/>
      </w:r>
      <w:r>
        <w:rPr>
          <w:color w:val="auto"/>
        </w:rPr>
        <w:fldChar w:fldCharType="end"/>
      </w:r>
    </w:p>
    <w:p w14:paraId="2CBCE587">
      <w:pPr>
        <w:pStyle w:val="28"/>
        <w:tabs>
          <w:tab w:val="right" w:leader="dot" w:pos="8306"/>
        </w:tabs>
      </w:pPr>
      <w:r>
        <w:rPr>
          <w:color w:val="auto"/>
        </w:rPr>
        <w:fldChar w:fldCharType="begin"/>
      </w:r>
      <w:r>
        <w:instrText xml:space="preserve"> HYPERLINK \l _Toc22941 </w:instrText>
      </w:r>
      <w:r>
        <w:fldChar w:fldCharType="separate"/>
      </w:r>
      <w:r>
        <w:rPr>
          <w:rFonts w:hint="eastAsia"/>
        </w:rPr>
        <w:t>第三节 加快重点行业结构绿色低碳转型</w:t>
      </w:r>
      <w:r>
        <w:tab/>
      </w:r>
      <w:r>
        <w:fldChar w:fldCharType="begin"/>
      </w:r>
      <w:r>
        <w:instrText xml:space="preserve"> PAGEREF _Toc22941 \h </w:instrText>
      </w:r>
      <w:r>
        <w:fldChar w:fldCharType="separate"/>
      </w:r>
      <w:r>
        <w:t>24</w:t>
      </w:r>
      <w:r>
        <w:fldChar w:fldCharType="end"/>
      </w:r>
      <w:r>
        <w:rPr>
          <w:color w:val="auto"/>
        </w:rPr>
        <w:fldChar w:fldCharType="end"/>
      </w:r>
    </w:p>
    <w:p w14:paraId="10DD0877">
      <w:pPr>
        <w:pStyle w:val="28"/>
        <w:tabs>
          <w:tab w:val="right" w:leader="dot" w:pos="8306"/>
        </w:tabs>
      </w:pPr>
      <w:r>
        <w:rPr>
          <w:color w:val="auto"/>
        </w:rPr>
        <w:fldChar w:fldCharType="begin"/>
      </w:r>
      <w:r>
        <w:instrText xml:space="preserve"> HYPERLINK \l _Toc1322 </w:instrText>
      </w:r>
      <w:r>
        <w:fldChar w:fldCharType="separate"/>
      </w:r>
      <w:r>
        <w:rPr>
          <w:rFonts w:hint="eastAsia"/>
        </w:rPr>
        <w:t>第四节 全面推动资源节约集约利用</w:t>
      </w:r>
      <w:r>
        <w:tab/>
      </w:r>
      <w:r>
        <w:fldChar w:fldCharType="begin"/>
      </w:r>
      <w:r>
        <w:instrText xml:space="preserve"> PAGEREF _Toc1322 \h </w:instrText>
      </w:r>
      <w:r>
        <w:fldChar w:fldCharType="separate"/>
      </w:r>
      <w:r>
        <w:t>25</w:t>
      </w:r>
      <w:r>
        <w:fldChar w:fldCharType="end"/>
      </w:r>
      <w:r>
        <w:rPr>
          <w:color w:val="auto"/>
        </w:rPr>
        <w:fldChar w:fldCharType="end"/>
      </w:r>
    </w:p>
    <w:p w14:paraId="617F008F">
      <w:pPr>
        <w:pStyle w:val="28"/>
        <w:tabs>
          <w:tab w:val="right" w:leader="dot" w:pos="8306"/>
        </w:tabs>
      </w:pPr>
      <w:r>
        <w:rPr>
          <w:color w:val="auto"/>
        </w:rPr>
        <w:fldChar w:fldCharType="begin"/>
      </w:r>
      <w:r>
        <w:instrText xml:space="preserve"> HYPERLINK \l _Toc6133 </w:instrText>
      </w:r>
      <w:r>
        <w:fldChar w:fldCharType="separate"/>
      </w:r>
      <w:r>
        <w:rPr>
          <w:rFonts w:hint="eastAsia"/>
        </w:rPr>
        <w:t>第五节 强化固体废物综合治理</w:t>
      </w:r>
      <w:r>
        <w:tab/>
      </w:r>
      <w:r>
        <w:fldChar w:fldCharType="begin"/>
      </w:r>
      <w:r>
        <w:instrText xml:space="preserve"> PAGEREF _Toc6133 \h </w:instrText>
      </w:r>
      <w:r>
        <w:fldChar w:fldCharType="separate"/>
      </w:r>
      <w:r>
        <w:t>25</w:t>
      </w:r>
      <w:r>
        <w:fldChar w:fldCharType="end"/>
      </w:r>
      <w:r>
        <w:rPr>
          <w:color w:val="auto"/>
        </w:rPr>
        <w:fldChar w:fldCharType="end"/>
      </w:r>
    </w:p>
    <w:p w14:paraId="04AF3D9A">
      <w:pPr>
        <w:pStyle w:val="23"/>
        <w:tabs>
          <w:tab w:val="right" w:leader="dot" w:pos="8306"/>
          <w:tab w:val="clear" w:pos="8296"/>
        </w:tabs>
      </w:pPr>
      <w:r>
        <w:rPr>
          <w:color w:val="auto"/>
        </w:rPr>
        <w:fldChar w:fldCharType="begin"/>
      </w:r>
      <w:r>
        <w:instrText xml:space="preserve"> HYPERLINK \l _Toc20398 </w:instrText>
      </w:r>
      <w:r>
        <w:fldChar w:fldCharType="separate"/>
      </w:r>
      <w:r>
        <w:rPr>
          <w:rFonts w:hint="eastAsia"/>
        </w:rPr>
        <w:t xml:space="preserve">第五章 </w:t>
      </w:r>
      <w:r>
        <w:rPr>
          <w:rFonts w:hint="eastAsia"/>
          <w:lang w:val="en-US" w:eastAsia="zh-CN"/>
        </w:rPr>
        <w:t>推动以美丽蓝天为目标的空气质量全面改善</w:t>
      </w:r>
      <w:r>
        <w:tab/>
      </w:r>
      <w:r>
        <w:fldChar w:fldCharType="begin"/>
      </w:r>
      <w:r>
        <w:instrText xml:space="preserve"> PAGEREF _Toc20398 \h </w:instrText>
      </w:r>
      <w:r>
        <w:fldChar w:fldCharType="separate"/>
      </w:r>
      <w:r>
        <w:t>28</w:t>
      </w:r>
      <w:r>
        <w:fldChar w:fldCharType="end"/>
      </w:r>
      <w:r>
        <w:rPr>
          <w:color w:val="auto"/>
        </w:rPr>
        <w:fldChar w:fldCharType="end"/>
      </w:r>
    </w:p>
    <w:p w14:paraId="65FBA8BB">
      <w:pPr>
        <w:pStyle w:val="28"/>
        <w:tabs>
          <w:tab w:val="right" w:leader="dot" w:pos="8306"/>
        </w:tabs>
      </w:pPr>
      <w:r>
        <w:rPr>
          <w:color w:val="auto"/>
        </w:rPr>
        <w:fldChar w:fldCharType="begin"/>
      </w:r>
      <w:r>
        <w:instrText xml:space="preserve"> HYPERLINK \l _Toc1760 </w:instrText>
      </w:r>
      <w:r>
        <w:fldChar w:fldCharType="separate"/>
      </w:r>
      <w:r>
        <w:rPr>
          <w:rFonts w:hint="eastAsia"/>
        </w:rPr>
        <w:t xml:space="preserve">第一节 </w:t>
      </w:r>
      <w:r>
        <w:rPr>
          <w:rFonts w:hint="eastAsia"/>
          <w:lang w:val="en-US" w:eastAsia="zh-CN"/>
        </w:rPr>
        <w:t>深化大气污染综合治理</w:t>
      </w:r>
      <w:r>
        <w:tab/>
      </w:r>
      <w:r>
        <w:fldChar w:fldCharType="begin"/>
      </w:r>
      <w:r>
        <w:instrText xml:space="preserve"> PAGEREF _Toc1760 \h </w:instrText>
      </w:r>
      <w:r>
        <w:fldChar w:fldCharType="separate"/>
      </w:r>
      <w:r>
        <w:t>28</w:t>
      </w:r>
      <w:r>
        <w:fldChar w:fldCharType="end"/>
      </w:r>
      <w:r>
        <w:rPr>
          <w:color w:val="auto"/>
        </w:rPr>
        <w:fldChar w:fldCharType="end"/>
      </w:r>
    </w:p>
    <w:p w14:paraId="7961F630">
      <w:pPr>
        <w:pStyle w:val="28"/>
        <w:tabs>
          <w:tab w:val="right" w:leader="dot" w:pos="8306"/>
        </w:tabs>
      </w:pPr>
      <w:r>
        <w:rPr>
          <w:color w:val="auto"/>
        </w:rPr>
        <w:fldChar w:fldCharType="begin"/>
      </w:r>
      <w:r>
        <w:instrText xml:space="preserve"> HYPERLINK \l _Toc31272 </w:instrText>
      </w:r>
      <w:r>
        <w:fldChar w:fldCharType="separate"/>
      </w:r>
      <w:r>
        <w:rPr>
          <w:rFonts w:hint="eastAsia"/>
        </w:rPr>
        <w:t>第二节 巩固深化多污染源治理</w:t>
      </w:r>
      <w:r>
        <w:tab/>
      </w:r>
      <w:r>
        <w:fldChar w:fldCharType="begin"/>
      </w:r>
      <w:r>
        <w:instrText xml:space="preserve"> PAGEREF _Toc31272 \h </w:instrText>
      </w:r>
      <w:r>
        <w:fldChar w:fldCharType="separate"/>
      </w:r>
      <w:r>
        <w:t>29</w:t>
      </w:r>
      <w:r>
        <w:fldChar w:fldCharType="end"/>
      </w:r>
      <w:r>
        <w:rPr>
          <w:color w:val="auto"/>
        </w:rPr>
        <w:fldChar w:fldCharType="end"/>
      </w:r>
    </w:p>
    <w:p w14:paraId="453161A6">
      <w:pPr>
        <w:pStyle w:val="23"/>
        <w:tabs>
          <w:tab w:val="right" w:leader="dot" w:pos="8306"/>
          <w:tab w:val="clear" w:pos="8296"/>
        </w:tabs>
      </w:pPr>
      <w:r>
        <w:rPr>
          <w:color w:val="auto"/>
        </w:rPr>
        <w:fldChar w:fldCharType="begin"/>
      </w:r>
      <w:r>
        <w:instrText xml:space="preserve"> HYPERLINK \l _Toc31213 </w:instrText>
      </w:r>
      <w:r>
        <w:fldChar w:fldCharType="separate"/>
      </w:r>
      <w:r>
        <w:rPr>
          <w:rFonts w:hint="eastAsia"/>
        </w:rPr>
        <w:t xml:space="preserve">第六章 </w:t>
      </w:r>
      <w:r>
        <w:t>开展以美丽河湖建设为导向的水生态环境保护</w:t>
      </w:r>
      <w:r>
        <w:tab/>
      </w:r>
      <w:r>
        <w:fldChar w:fldCharType="begin"/>
      </w:r>
      <w:r>
        <w:instrText xml:space="preserve"> PAGEREF _Toc31213 \h </w:instrText>
      </w:r>
      <w:r>
        <w:fldChar w:fldCharType="separate"/>
      </w:r>
      <w:r>
        <w:t>32</w:t>
      </w:r>
      <w:r>
        <w:fldChar w:fldCharType="end"/>
      </w:r>
      <w:r>
        <w:rPr>
          <w:color w:val="auto"/>
        </w:rPr>
        <w:fldChar w:fldCharType="end"/>
      </w:r>
    </w:p>
    <w:p w14:paraId="03E2510C">
      <w:pPr>
        <w:pStyle w:val="28"/>
        <w:tabs>
          <w:tab w:val="right" w:leader="dot" w:pos="8306"/>
        </w:tabs>
      </w:pPr>
      <w:r>
        <w:rPr>
          <w:color w:val="auto"/>
        </w:rPr>
        <w:fldChar w:fldCharType="begin"/>
      </w:r>
      <w:r>
        <w:instrText xml:space="preserve"> HYPERLINK \l _Toc16691 </w:instrText>
      </w:r>
      <w:r>
        <w:fldChar w:fldCharType="separate"/>
      </w:r>
      <w:r>
        <w:rPr>
          <w:rFonts w:hint="eastAsia"/>
        </w:rPr>
        <w:t xml:space="preserve">第一节 </w:t>
      </w:r>
      <w:r>
        <w:rPr>
          <w:rFonts w:hint="eastAsia"/>
          <w:lang w:val="en-US" w:eastAsia="zh-CN"/>
        </w:rPr>
        <w:t>深化重点领域水污染防治</w:t>
      </w:r>
      <w:r>
        <w:tab/>
      </w:r>
      <w:r>
        <w:fldChar w:fldCharType="begin"/>
      </w:r>
      <w:r>
        <w:instrText xml:space="preserve"> PAGEREF _Toc16691 \h </w:instrText>
      </w:r>
      <w:r>
        <w:fldChar w:fldCharType="separate"/>
      </w:r>
      <w:r>
        <w:t>32</w:t>
      </w:r>
      <w:r>
        <w:fldChar w:fldCharType="end"/>
      </w:r>
      <w:r>
        <w:rPr>
          <w:color w:val="auto"/>
        </w:rPr>
        <w:fldChar w:fldCharType="end"/>
      </w:r>
    </w:p>
    <w:p w14:paraId="6B812C3D">
      <w:pPr>
        <w:pStyle w:val="28"/>
        <w:tabs>
          <w:tab w:val="right" w:leader="dot" w:pos="8306"/>
        </w:tabs>
      </w:pPr>
      <w:r>
        <w:rPr>
          <w:color w:val="auto"/>
        </w:rPr>
        <w:fldChar w:fldCharType="begin"/>
      </w:r>
      <w:r>
        <w:instrText xml:space="preserve"> HYPERLINK \l _Toc23889 </w:instrText>
      </w:r>
      <w:r>
        <w:fldChar w:fldCharType="separate"/>
      </w:r>
      <w:r>
        <w:rPr>
          <w:rFonts w:hint="eastAsia"/>
        </w:rPr>
        <w:t>第二节 强化水生态保护修复与生态用水监管</w:t>
      </w:r>
      <w:r>
        <w:tab/>
      </w:r>
      <w:r>
        <w:fldChar w:fldCharType="begin"/>
      </w:r>
      <w:r>
        <w:instrText xml:space="preserve"> PAGEREF _Toc23889 \h </w:instrText>
      </w:r>
      <w:r>
        <w:fldChar w:fldCharType="separate"/>
      </w:r>
      <w:r>
        <w:t>33</w:t>
      </w:r>
      <w:r>
        <w:fldChar w:fldCharType="end"/>
      </w:r>
      <w:r>
        <w:rPr>
          <w:color w:val="auto"/>
        </w:rPr>
        <w:fldChar w:fldCharType="end"/>
      </w:r>
    </w:p>
    <w:p w14:paraId="76BC765D">
      <w:pPr>
        <w:pStyle w:val="23"/>
        <w:tabs>
          <w:tab w:val="right" w:leader="dot" w:pos="8306"/>
          <w:tab w:val="clear" w:pos="8296"/>
        </w:tabs>
      </w:pPr>
      <w:r>
        <w:rPr>
          <w:color w:val="auto"/>
        </w:rPr>
        <w:fldChar w:fldCharType="begin"/>
      </w:r>
      <w:r>
        <w:instrText xml:space="preserve"> HYPERLINK \l _Toc8728 </w:instrText>
      </w:r>
      <w:r>
        <w:fldChar w:fldCharType="separate"/>
      </w:r>
      <w:r>
        <w:rPr>
          <w:rFonts w:hint="eastAsia"/>
        </w:rPr>
        <w:t>第七章 深化以源头防控为抓手的土壤和地下水环境</w:t>
      </w:r>
      <w:r>
        <w:rPr>
          <w:rFonts w:hint="eastAsia"/>
          <w:lang w:val="en-US" w:eastAsia="zh-CN"/>
        </w:rPr>
        <w:t>质量</w:t>
      </w:r>
      <w:r>
        <w:rPr>
          <w:rFonts w:hint="eastAsia"/>
        </w:rPr>
        <w:t>改善</w:t>
      </w:r>
      <w:r>
        <w:tab/>
      </w:r>
      <w:r>
        <w:fldChar w:fldCharType="begin"/>
      </w:r>
      <w:r>
        <w:instrText xml:space="preserve"> PAGEREF _Toc8728 \h </w:instrText>
      </w:r>
      <w:r>
        <w:fldChar w:fldCharType="separate"/>
      </w:r>
      <w:r>
        <w:t>35</w:t>
      </w:r>
      <w:r>
        <w:fldChar w:fldCharType="end"/>
      </w:r>
      <w:r>
        <w:rPr>
          <w:color w:val="auto"/>
        </w:rPr>
        <w:fldChar w:fldCharType="end"/>
      </w:r>
    </w:p>
    <w:p w14:paraId="273D0EB4">
      <w:pPr>
        <w:pStyle w:val="28"/>
        <w:tabs>
          <w:tab w:val="right" w:leader="dot" w:pos="8306"/>
        </w:tabs>
      </w:pPr>
      <w:r>
        <w:rPr>
          <w:color w:val="auto"/>
        </w:rPr>
        <w:fldChar w:fldCharType="begin"/>
      </w:r>
      <w:r>
        <w:instrText xml:space="preserve"> HYPERLINK \l _Toc31628 </w:instrText>
      </w:r>
      <w:r>
        <w:fldChar w:fldCharType="separate"/>
      </w:r>
      <w:r>
        <w:rPr>
          <w:rFonts w:hint="eastAsia"/>
        </w:rPr>
        <w:t xml:space="preserve">第一节 </w:t>
      </w:r>
      <w:r>
        <w:rPr>
          <w:rFonts w:hint="eastAsia"/>
          <w:lang w:val="en-US" w:eastAsia="zh-CN"/>
        </w:rPr>
        <w:t>持续推进土壤污染管控</w:t>
      </w:r>
      <w:r>
        <w:tab/>
      </w:r>
      <w:r>
        <w:fldChar w:fldCharType="begin"/>
      </w:r>
      <w:r>
        <w:instrText xml:space="preserve"> PAGEREF _Toc31628 \h </w:instrText>
      </w:r>
      <w:r>
        <w:fldChar w:fldCharType="separate"/>
      </w:r>
      <w:r>
        <w:t>35</w:t>
      </w:r>
      <w:r>
        <w:fldChar w:fldCharType="end"/>
      </w:r>
      <w:r>
        <w:rPr>
          <w:color w:val="auto"/>
        </w:rPr>
        <w:fldChar w:fldCharType="end"/>
      </w:r>
    </w:p>
    <w:p w14:paraId="29D319BD">
      <w:pPr>
        <w:pStyle w:val="28"/>
        <w:tabs>
          <w:tab w:val="right" w:leader="dot" w:pos="8306"/>
        </w:tabs>
      </w:pPr>
      <w:r>
        <w:rPr>
          <w:color w:val="auto"/>
        </w:rPr>
        <w:fldChar w:fldCharType="begin"/>
      </w:r>
      <w:r>
        <w:instrText xml:space="preserve"> HYPERLINK \l _Toc24138 </w:instrText>
      </w:r>
      <w:r>
        <w:fldChar w:fldCharType="separate"/>
      </w:r>
      <w:r>
        <w:rPr>
          <w:rFonts w:hint="eastAsia"/>
        </w:rPr>
        <w:t>第二节 强化地下水污染防治</w:t>
      </w:r>
      <w:r>
        <w:tab/>
      </w:r>
      <w:r>
        <w:fldChar w:fldCharType="begin"/>
      </w:r>
      <w:r>
        <w:instrText xml:space="preserve"> PAGEREF _Toc24138 \h </w:instrText>
      </w:r>
      <w:r>
        <w:fldChar w:fldCharType="separate"/>
      </w:r>
      <w:r>
        <w:t>36</w:t>
      </w:r>
      <w:r>
        <w:fldChar w:fldCharType="end"/>
      </w:r>
      <w:r>
        <w:rPr>
          <w:color w:val="auto"/>
        </w:rPr>
        <w:fldChar w:fldCharType="end"/>
      </w:r>
    </w:p>
    <w:p w14:paraId="7E22F09C">
      <w:pPr>
        <w:pStyle w:val="23"/>
        <w:tabs>
          <w:tab w:val="right" w:leader="dot" w:pos="8306"/>
          <w:tab w:val="clear" w:pos="8296"/>
        </w:tabs>
      </w:pPr>
      <w:r>
        <w:rPr>
          <w:color w:val="auto"/>
        </w:rPr>
        <w:fldChar w:fldCharType="begin"/>
      </w:r>
      <w:r>
        <w:instrText xml:space="preserve"> HYPERLINK \l _Toc30061 </w:instrText>
      </w:r>
      <w:r>
        <w:fldChar w:fldCharType="separate"/>
      </w:r>
      <w:r>
        <w:rPr>
          <w:rFonts w:hint="eastAsia"/>
        </w:rPr>
        <w:t>第八章 扎实有效应对气候变化</w:t>
      </w:r>
      <w:r>
        <w:tab/>
      </w:r>
      <w:r>
        <w:fldChar w:fldCharType="begin"/>
      </w:r>
      <w:r>
        <w:instrText xml:space="preserve"> PAGEREF _Toc30061 \h </w:instrText>
      </w:r>
      <w:r>
        <w:fldChar w:fldCharType="separate"/>
      </w:r>
      <w:r>
        <w:t>38</w:t>
      </w:r>
      <w:r>
        <w:fldChar w:fldCharType="end"/>
      </w:r>
      <w:r>
        <w:rPr>
          <w:color w:val="auto"/>
        </w:rPr>
        <w:fldChar w:fldCharType="end"/>
      </w:r>
    </w:p>
    <w:p w14:paraId="2817A6C3">
      <w:pPr>
        <w:pStyle w:val="28"/>
        <w:tabs>
          <w:tab w:val="right" w:leader="dot" w:pos="8306"/>
        </w:tabs>
      </w:pPr>
      <w:r>
        <w:rPr>
          <w:color w:val="auto"/>
        </w:rPr>
        <w:fldChar w:fldCharType="begin"/>
      </w:r>
      <w:r>
        <w:instrText xml:space="preserve"> HYPERLINK \l _Toc3036 </w:instrText>
      </w:r>
      <w:r>
        <w:fldChar w:fldCharType="separate"/>
      </w:r>
      <w:r>
        <w:rPr>
          <w:rFonts w:hint="eastAsia"/>
        </w:rPr>
        <w:t>第一节 严格管控温室气体排放</w:t>
      </w:r>
      <w:r>
        <w:tab/>
      </w:r>
      <w:r>
        <w:fldChar w:fldCharType="begin"/>
      </w:r>
      <w:r>
        <w:instrText xml:space="preserve"> PAGEREF _Toc3036 \h </w:instrText>
      </w:r>
      <w:r>
        <w:fldChar w:fldCharType="separate"/>
      </w:r>
      <w:r>
        <w:t>38</w:t>
      </w:r>
      <w:r>
        <w:fldChar w:fldCharType="end"/>
      </w:r>
      <w:r>
        <w:rPr>
          <w:color w:val="auto"/>
        </w:rPr>
        <w:fldChar w:fldCharType="end"/>
      </w:r>
    </w:p>
    <w:p w14:paraId="767729DE">
      <w:pPr>
        <w:pStyle w:val="28"/>
        <w:tabs>
          <w:tab w:val="right" w:leader="dot" w:pos="8306"/>
        </w:tabs>
      </w:pPr>
      <w:r>
        <w:rPr>
          <w:color w:val="auto"/>
        </w:rPr>
        <w:fldChar w:fldCharType="begin"/>
      </w:r>
      <w:r>
        <w:instrText xml:space="preserve"> HYPERLINK \l _Toc10042 </w:instrText>
      </w:r>
      <w:r>
        <w:fldChar w:fldCharType="separate"/>
      </w:r>
      <w:r>
        <w:rPr>
          <w:rFonts w:hint="eastAsia"/>
        </w:rPr>
        <w:t>第二节 积极参与全国碳市场建设</w:t>
      </w:r>
      <w:r>
        <w:tab/>
      </w:r>
      <w:r>
        <w:fldChar w:fldCharType="begin"/>
      </w:r>
      <w:r>
        <w:instrText xml:space="preserve"> PAGEREF _Toc10042 \h </w:instrText>
      </w:r>
      <w:r>
        <w:fldChar w:fldCharType="separate"/>
      </w:r>
      <w:r>
        <w:t>39</w:t>
      </w:r>
      <w:r>
        <w:fldChar w:fldCharType="end"/>
      </w:r>
      <w:r>
        <w:rPr>
          <w:color w:val="auto"/>
        </w:rPr>
        <w:fldChar w:fldCharType="end"/>
      </w:r>
    </w:p>
    <w:p w14:paraId="629E3FA9">
      <w:pPr>
        <w:pStyle w:val="28"/>
        <w:tabs>
          <w:tab w:val="right" w:leader="dot" w:pos="8306"/>
        </w:tabs>
      </w:pPr>
      <w:r>
        <w:rPr>
          <w:color w:val="auto"/>
        </w:rPr>
        <w:fldChar w:fldCharType="begin"/>
      </w:r>
      <w:r>
        <w:instrText xml:space="preserve"> HYPERLINK \l _Toc8845 </w:instrText>
      </w:r>
      <w:r>
        <w:fldChar w:fldCharType="separate"/>
      </w:r>
      <w:r>
        <w:rPr>
          <w:rFonts w:hint="eastAsia"/>
        </w:rPr>
        <w:t>第三节 强化气候变化适应能力</w:t>
      </w:r>
      <w:r>
        <w:tab/>
      </w:r>
      <w:r>
        <w:fldChar w:fldCharType="begin"/>
      </w:r>
      <w:r>
        <w:instrText xml:space="preserve"> PAGEREF _Toc8845 \h </w:instrText>
      </w:r>
      <w:r>
        <w:fldChar w:fldCharType="separate"/>
      </w:r>
      <w:r>
        <w:t>40</w:t>
      </w:r>
      <w:r>
        <w:fldChar w:fldCharType="end"/>
      </w:r>
      <w:r>
        <w:rPr>
          <w:color w:val="auto"/>
        </w:rPr>
        <w:fldChar w:fldCharType="end"/>
      </w:r>
    </w:p>
    <w:p w14:paraId="677A3658">
      <w:pPr>
        <w:pStyle w:val="23"/>
        <w:tabs>
          <w:tab w:val="right" w:leader="dot" w:pos="8306"/>
          <w:tab w:val="clear" w:pos="8296"/>
        </w:tabs>
      </w:pPr>
      <w:r>
        <w:rPr>
          <w:color w:val="auto"/>
        </w:rPr>
        <w:fldChar w:fldCharType="begin"/>
      </w:r>
      <w:r>
        <w:instrText xml:space="preserve"> HYPERLINK \l _Toc19454 </w:instrText>
      </w:r>
      <w:r>
        <w:fldChar w:fldCharType="separate"/>
      </w:r>
      <w:r>
        <w:rPr>
          <w:rFonts w:hint="eastAsia"/>
        </w:rPr>
        <w:t>第九章 强化统一监管提升生态系统多样性稳定性持续性</w:t>
      </w:r>
      <w:r>
        <w:tab/>
      </w:r>
      <w:r>
        <w:fldChar w:fldCharType="begin"/>
      </w:r>
      <w:r>
        <w:instrText xml:space="preserve"> PAGEREF _Toc19454 \h </w:instrText>
      </w:r>
      <w:r>
        <w:fldChar w:fldCharType="separate"/>
      </w:r>
      <w:r>
        <w:t>41</w:t>
      </w:r>
      <w:r>
        <w:fldChar w:fldCharType="end"/>
      </w:r>
      <w:r>
        <w:rPr>
          <w:color w:val="auto"/>
        </w:rPr>
        <w:fldChar w:fldCharType="end"/>
      </w:r>
    </w:p>
    <w:p w14:paraId="1011310F">
      <w:pPr>
        <w:pStyle w:val="28"/>
        <w:tabs>
          <w:tab w:val="right" w:leader="dot" w:pos="8306"/>
        </w:tabs>
      </w:pPr>
      <w:r>
        <w:rPr>
          <w:color w:val="auto"/>
        </w:rPr>
        <w:fldChar w:fldCharType="begin"/>
      </w:r>
      <w:r>
        <w:instrText xml:space="preserve"> HYPERLINK \l _Toc12897 </w:instrText>
      </w:r>
      <w:r>
        <w:fldChar w:fldCharType="separate"/>
      </w:r>
      <w:r>
        <w:rPr>
          <w:rFonts w:hint="eastAsia"/>
        </w:rPr>
        <w:t>第一节 筑牢自然生态屏障</w:t>
      </w:r>
      <w:r>
        <w:tab/>
      </w:r>
      <w:r>
        <w:fldChar w:fldCharType="begin"/>
      </w:r>
      <w:r>
        <w:instrText xml:space="preserve"> PAGEREF _Toc12897 \h </w:instrText>
      </w:r>
      <w:r>
        <w:fldChar w:fldCharType="separate"/>
      </w:r>
      <w:r>
        <w:t>41</w:t>
      </w:r>
      <w:r>
        <w:fldChar w:fldCharType="end"/>
      </w:r>
      <w:r>
        <w:rPr>
          <w:color w:val="auto"/>
        </w:rPr>
        <w:fldChar w:fldCharType="end"/>
      </w:r>
    </w:p>
    <w:p w14:paraId="34FDC00D">
      <w:pPr>
        <w:pStyle w:val="28"/>
        <w:tabs>
          <w:tab w:val="right" w:leader="dot" w:pos="8306"/>
        </w:tabs>
      </w:pPr>
      <w:r>
        <w:rPr>
          <w:color w:val="auto"/>
        </w:rPr>
        <w:fldChar w:fldCharType="begin"/>
      </w:r>
      <w:r>
        <w:instrText xml:space="preserve"> HYPERLINK \l _Toc30789 </w:instrText>
      </w:r>
      <w:r>
        <w:fldChar w:fldCharType="separate"/>
      </w:r>
      <w:r>
        <w:rPr>
          <w:rFonts w:hint="eastAsia"/>
        </w:rPr>
        <w:t>第二节 加强生态系统保护与修复</w:t>
      </w:r>
      <w:r>
        <w:tab/>
      </w:r>
      <w:r>
        <w:fldChar w:fldCharType="begin"/>
      </w:r>
      <w:r>
        <w:instrText xml:space="preserve"> PAGEREF _Toc30789 \h </w:instrText>
      </w:r>
      <w:r>
        <w:fldChar w:fldCharType="separate"/>
      </w:r>
      <w:r>
        <w:t>41</w:t>
      </w:r>
      <w:r>
        <w:fldChar w:fldCharType="end"/>
      </w:r>
      <w:r>
        <w:rPr>
          <w:color w:val="auto"/>
        </w:rPr>
        <w:fldChar w:fldCharType="end"/>
      </w:r>
    </w:p>
    <w:p w14:paraId="4026E329">
      <w:pPr>
        <w:pStyle w:val="28"/>
        <w:tabs>
          <w:tab w:val="right" w:leader="dot" w:pos="8306"/>
        </w:tabs>
      </w:pPr>
      <w:r>
        <w:rPr>
          <w:color w:val="auto"/>
        </w:rPr>
        <w:fldChar w:fldCharType="begin"/>
      </w:r>
      <w:r>
        <w:instrText xml:space="preserve"> HYPERLINK \l _Toc6115 </w:instrText>
      </w:r>
      <w:r>
        <w:fldChar w:fldCharType="separate"/>
      </w:r>
      <w:r>
        <w:rPr>
          <w:rFonts w:hint="eastAsia"/>
        </w:rPr>
        <w:t>第三节 提升生物多样性保护水平</w:t>
      </w:r>
      <w:r>
        <w:tab/>
      </w:r>
      <w:r>
        <w:fldChar w:fldCharType="begin"/>
      </w:r>
      <w:r>
        <w:instrText xml:space="preserve"> PAGEREF _Toc6115 \h </w:instrText>
      </w:r>
      <w:r>
        <w:fldChar w:fldCharType="separate"/>
      </w:r>
      <w:r>
        <w:t>42</w:t>
      </w:r>
      <w:r>
        <w:fldChar w:fldCharType="end"/>
      </w:r>
      <w:r>
        <w:rPr>
          <w:color w:val="auto"/>
        </w:rPr>
        <w:fldChar w:fldCharType="end"/>
      </w:r>
    </w:p>
    <w:p w14:paraId="1223577F">
      <w:pPr>
        <w:pStyle w:val="23"/>
        <w:tabs>
          <w:tab w:val="right" w:leader="dot" w:pos="8306"/>
          <w:tab w:val="clear" w:pos="8296"/>
        </w:tabs>
      </w:pPr>
      <w:r>
        <w:rPr>
          <w:color w:val="auto"/>
        </w:rPr>
        <w:fldChar w:fldCharType="begin"/>
      </w:r>
      <w:r>
        <w:instrText xml:space="preserve"> HYPERLINK \l _Toc4055 </w:instrText>
      </w:r>
      <w:r>
        <w:fldChar w:fldCharType="separate"/>
      </w:r>
      <w:r>
        <w:rPr>
          <w:rFonts w:hint="eastAsia"/>
        </w:rPr>
        <w:t>第十章 树立底线思维强化生态环境安全管理任务</w:t>
      </w:r>
      <w:r>
        <w:tab/>
      </w:r>
      <w:r>
        <w:fldChar w:fldCharType="begin"/>
      </w:r>
      <w:r>
        <w:instrText xml:space="preserve"> PAGEREF _Toc4055 \h </w:instrText>
      </w:r>
      <w:r>
        <w:fldChar w:fldCharType="separate"/>
      </w:r>
      <w:r>
        <w:t>44</w:t>
      </w:r>
      <w:r>
        <w:fldChar w:fldCharType="end"/>
      </w:r>
      <w:r>
        <w:rPr>
          <w:color w:val="auto"/>
        </w:rPr>
        <w:fldChar w:fldCharType="end"/>
      </w:r>
    </w:p>
    <w:p w14:paraId="3B983CCE">
      <w:pPr>
        <w:pStyle w:val="28"/>
        <w:tabs>
          <w:tab w:val="right" w:leader="dot" w:pos="8306"/>
        </w:tabs>
      </w:pPr>
      <w:r>
        <w:rPr>
          <w:color w:val="auto"/>
        </w:rPr>
        <w:fldChar w:fldCharType="begin"/>
      </w:r>
      <w:r>
        <w:instrText xml:space="preserve"> HYPERLINK \l _Toc25471 </w:instrText>
      </w:r>
      <w:r>
        <w:fldChar w:fldCharType="separate"/>
      </w:r>
      <w:r>
        <w:rPr>
          <w:rFonts w:hint="eastAsia"/>
        </w:rPr>
        <w:t>第一节 严防危险废物环境风险</w:t>
      </w:r>
      <w:r>
        <w:tab/>
      </w:r>
      <w:r>
        <w:fldChar w:fldCharType="begin"/>
      </w:r>
      <w:r>
        <w:instrText xml:space="preserve"> PAGEREF _Toc25471 \h </w:instrText>
      </w:r>
      <w:r>
        <w:fldChar w:fldCharType="separate"/>
      </w:r>
      <w:r>
        <w:t>44</w:t>
      </w:r>
      <w:r>
        <w:fldChar w:fldCharType="end"/>
      </w:r>
      <w:r>
        <w:rPr>
          <w:color w:val="auto"/>
        </w:rPr>
        <w:fldChar w:fldCharType="end"/>
      </w:r>
    </w:p>
    <w:p w14:paraId="57FCF653">
      <w:pPr>
        <w:pStyle w:val="28"/>
        <w:tabs>
          <w:tab w:val="right" w:leader="dot" w:pos="8306"/>
        </w:tabs>
      </w:pPr>
      <w:r>
        <w:rPr>
          <w:color w:val="auto"/>
        </w:rPr>
        <w:fldChar w:fldCharType="begin"/>
      </w:r>
      <w:r>
        <w:instrText xml:space="preserve"> HYPERLINK \l _Toc13873 </w:instrText>
      </w:r>
      <w:r>
        <w:fldChar w:fldCharType="separate"/>
      </w:r>
      <w:r>
        <w:rPr>
          <w:rFonts w:hint="eastAsia"/>
        </w:rPr>
        <w:t>第二节 深入推进新污染物治理</w:t>
      </w:r>
      <w:r>
        <w:tab/>
      </w:r>
      <w:r>
        <w:fldChar w:fldCharType="begin"/>
      </w:r>
      <w:r>
        <w:instrText xml:space="preserve"> PAGEREF _Toc13873 \h </w:instrText>
      </w:r>
      <w:r>
        <w:fldChar w:fldCharType="separate"/>
      </w:r>
      <w:r>
        <w:t>44</w:t>
      </w:r>
      <w:r>
        <w:fldChar w:fldCharType="end"/>
      </w:r>
      <w:r>
        <w:rPr>
          <w:color w:val="auto"/>
        </w:rPr>
        <w:fldChar w:fldCharType="end"/>
      </w:r>
    </w:p>
    <w:p w14:paraId="6D2E2AA1">
      <w:pPr>
        <w:pStyle w:val="28"/>
        <w:tabs>
          <w:tab w:val="right" w:leader="dot" w:pos="8306"/>
        </w:tabs>
      </w:pPr>
      <w:r>
        <w:rPr>
          <w:color w:val="auto"/>
        </w:rPr>
        <w:fldChar w:fldCharType="begin"/>
      </w:r>
      <w:r>
        <w:instrText xml:space="preserve"> HYPERLINK \l _Toc5264 </w:instrText>
      </w:r>
      <w:r>
        <w:fldChar w:fldCharType="separate"/>
      </w:r>
      <w:r>
        <w:rPr>
          <w:rFonts w:hint="eastAsia"/>
        </w:rPr>
        <w:t>第三节 推进重金属污染综合整治</w:t>
      </w:r>
      <w:r>
        <w:tab/>
      </w:r>
      <w:r>
        <w:fldChar w:fldCharType="begin"/>
      </w:r>
      <w:r>
        <w:instrText xml:space="preserve"> PAGEREF _Toc5264 \h </w:instrText>
      </w:r>
      <w:r>
        <w:fldChar w:fldCharType="separate"/>
      </w:r>
      <w:r>
        <w:t>45</w:t>
      </w:r>
      <w:r>
        <w:fldChar w:fldCharType="end"/>
      </w:r>
      <w:r>
        <w:rPr>
          <w:color w:val="auto"/>
        </w:rPr>
        <w:fldChar w:fldCharType="end"/>
      </w:r>
    </w:p>
    <w:p w14:paraId="42945FE8">
      <w:pPr>
        <w:pStyle w:val="28"/>
        <w:tabs>
          <w:tab w:val="right" w:leader="dot" w:pos="8306"/>
        </w:tabs>
      </w:pPr>
      <w:r>
        <w:rPr>
          <w:color w:val="auto"/>
        </w:rPr>
        <w:fldChar w:fldCharType="begin"/>
      </w:r>
      <w:r>
        <w:instrText xml:space="preserve"> HYPERLINK \l _Toc30660 </w:instrText>
      </w:r>
      <w:r>
        <w:fldChar w:fldCharType="separate"/>
      </w:r>
      <w:r>
        <w:rPr>
          <w:rFonts w:hint="eastAsia" w:ascii="Times New Roman" w:hAnsi="Times New Roman"/>
        </w:rPr>
        <w:t>第四节 确保核与辐射安全</w:t>
      </w:r>
      <w:r>
        <w:tab/>
      </w:r>
      <w:r>
        <w:fldChar w:fldCharType="begin"/>
      </w:r>
      <w:r>
        <w:instrText xml:space="preserve"> PAGEREF _Toc30660 \h </w:instrText>
      </w:r>
      <w:r>
        <w:fldChar w:fldCharType="separate"/>
      </w:r>
      <w:r>
        <w:t>47</w:t>
      </w:r>
      <w:r>
        <w:fldChar w:fldCharType="end"/>
      </w:r>
      <w:r>
        <w:rPr>
          <w:color w:val="auto"/>
        </w:rPr>
        <w:fldChar w:fldCharType="end"/>
      </w:r>
    </w:p>
    <w:p w14:paraId="106C48E6">
      <w:pPr>
        <w:pStyle w:val="28"/>
        <w:tabs>
          <w:tab w:val="right" w:leader="dot" w:pos="8306"/>
        </w:tabs>
      </w:pPr>
      <w:r>
        <w:rPr>
          <w:color w:val="auto"/>
        </w:rPr>
        <w:fldChar w:fldCharType="begin"/>
      </w:r>
      <w:r>
        <w:instrText xml:space="preserve"> HYPERLINK \l _Toc3616 </w:instrText>
      </w:r>
      <w:r>
        <w:fldChar w:fldCharType="separate"/>
      </w:r>
      <w:r>
        <w:rPr>
          <w:rFonts w:hint="eastAsia"/>
        </w:rPr>
        <w:t>第五节 强化生态环境健康管理</w:t>
      </w:r>
      <w:r>
        <w:tab/>
      </w:r>
      <w:r>
        <w:fldChar w:fldCharType="begin"/>
      </w:r>
      <w:r>
        <w:instrText xml:space="preserve"> PAGEREF _Toc3616 \h </w:instrText>
      </w:r>
      <w:r>
        <w:fldChar w:fldCharType="separate"/>
      </w:r>
      <w:r>
        <w:t>47</w:t>
      </w:r>
      <w:r>
        <w:fldChar w:fldCharType="end"/>
      </w:r>
      <w:r>
        <w:rPr>
          <w:color w:val="auto"/>
        </w:rPr>
        <w:fldChar w:fldCharType="end"/>
      </w:r>
    </w:p>
    <w:p w14:paraId="59EDAD54">
      <w:pPr>
        <w:pStyle w:val="23"/>
        <w:tabs>
          <w:tab w:val="right" w:leader="dot" w:pos="8306"/>
          <w:tab w:val="clear" w:pos="8296"/>
        </w:tabs>
      </w:pPr>
      <w:r>
        <w:rPr>
          <w:color w:val="auto"/>
        </w:rPr>
        <w:fldChar w:fldCharType="begin"/>
      </w:r>
      <w:r>
        <w:instrText xml:space="preserve"> HYPERLINK \l _Toc6735 </w:instrText>
      </w:r>
      <w:r>
        <w:fldChar w:fldCharType="separate"/>
      </w:r>
      <w:r>
        <w:rPr>
          <w:rFonts w:hint="eastAsia"/>
        </w:rPr>
        <w:t>第十一章 坚持创新引领</w:t>
      </w:r>
      <w:r>
        <w:rPr>
          <w:rFonts w:hint="eastAsia"/>
          <w:lang w:eastAsia="zh-CN"/>
        </w:rPr>
        <w:t>，</w:t>
      </w:r>
      <w:r>
        <w:rPr>
          <w:rFonts w:hint="eastAsia"/>
        </w:rPr>
        <w:t>完善现代化生态环境治理体系与治理能力</w:t>
      </w:r>
      <w:r>
        <w:tab/>
      </w:r>
      <w:r>
        <w:fldChar w:fldCharType="begin"/>
      </w:r>
      <w:r>
        <w:instrText xml:space="preserve"> PAGEREF _Toc6735 \h </w:instrText>
      </w:r>
      <w:r>
        <w:fldChar w:fldCharType="separate"/>
      </w:r>
      <w:r>
        <w:t>49</w:t>
      </w:r>
      <w:r>
        <w:fldChar w:fldCharType="end"/>
      </w:r>
      <w:r>
        <w:rPr>
          <w:color w:val="auto"/>
        </w:rPr>
        <w:fldChar w:fldCharType="end"/>
      </w:r>
    </w:p>
    <w:p w14:paraId="284D074D">
      <w:pPr>
        <w:pStyle w:val="28"/>
        <w:tabs>
          <w:tab w:val="right" w:leader="dot" w:pos="8306"/>
        </w:tabs>
      </w:pPr>
      <w:r>
        <w:rPr>
          <w:color w:val="auto"/>
        </w:rPr>
        <w:fldChar w:fldCharType="begin"/>
      </w:r>
      <w:r>
        <w:instrText xml:space="preserve"> HYPERLINK \l _Toc6766 </w:instrText>
      </w:r>
      <w:r>
        <w:fldChar w:fldCharType="separate"/>
      </w:r>
      <w:r>
        <w:rPr>
          <w:rFonts w:hint="eastAsia"/>
          <w:lang w:val="en-US" w:eastAsia="zh-CN"/>
        </w:rPr>
        <w:t>第一节 推动实施</w:t>
      </w:r>
      <w:r>
        <w:rPr>
          <w:rFonts w:hint="eastAsia"/>
        </w:rPr>
        <w:t>《中华人民共和国生态环境法典》</w:t>
      </w:r>
      <w:r>
        <w:tab/>
      </w:r>
      <w:r>
        <w:fldChar w:fldCharType="begin"/>
      </w:r>
      <w:r>
        <w:instrText xml:space="preserve"> PAGEREF _Toc6766 \h </w:instrText>
      </w:r>
      <w:r>
        <w:fldChar w:fldCharType="separate"/>
      </w:r>
      <w:r>
        <w:t>49</w:t>
      </w:r>
      <w:r>
        <w:fldChar w:fldCharType="end"/>
      </w:r>
      <w:r>
        <w:rPr>
          <w:color w:val="auto"/>
        </w:rPr>
        <w:fldChar w:fldCharType="end"/>
      </w:r>
    </w:p>
    <w:p w14:paraId="6E008D56">
      <w:pPr>
        <w:pStyle w:val="28"/>
        <w:tabs>
          <w:tab w:val="right" w:leader="dot" w:pos="8306"/>
        </w:tabs>
      </w:pPr>
      <w:r>
        <w:rPr>
          <w:color w:val="auto"/>
        </w:rPr>
        <w:fldChar w:fldCharType="begin"/>
      </w:r>
      <w:r>
        <w:instrText xml:space="preserve"> HYPERLINK \l _Toc13505 </w:instrText>
      </w:r>
      <w:r>
        <w:fldChar w:fldCharType="separate"/>
      </w:r>
      <w:r>
        <w:rPr>
          <w:rFonts w:hint="eastAsia"/>
          <w:lang w:val="en-US"/>
        </w:rPr>
        <w:t xml:space="preserve">第二节 </w:t>
      </w:r>
      <w:r>
        <w:rPr>
          <w:rFonts w:hint="eastAsia"/>
          <w:lang w:eastAsia="zh-CN"/>
        </w:rPr>
        <w:t>强化生态环境保护责任体系建设</w:t>
      </w:r>
      <w:r>
        <w:tab/>
      </w:r>
      <w:r>
        <w:fldChar w:fldCharType="begin"/>
      </w:r>
      <w:r>
        <w:instrText xml:space="preserve"> PAGEREF _Toc13505 \h </w:instrText>
      </w:r>
      <w:r>
        <w:fldChar w:fldCharType="separate"/>
      </w:r>
      <w:r>
        <w:t>49</w:t>
      </w:r>
      <w:r>
        <w:fldChar w:fldCharType="end"/>
      </w:r>
      <w:r>
        <w:rPr>
          <w:color w:val="auto"/>
        </w:rPr>
        <w:fldChar w:fldCharType="end"/>
      </w:r>
    </w:p>
    <w:p w14:paraId="40350CFA">
      <w:pPr>
        <w:pStyle w:val="28"/>
        <w:tabs>
          <w:tab w:val="right" w:leader="dot" w:pos="8306"/>
        </w:tabs>
      </w:pPr>
      <w:r>
        <w:rPr>
          <w:color w:val="auto"/>
        </w:rPr>
        <w:fldChar w:fldCharType="begin"/>
      </w:r>
      <w:r>
        <w:instrText xml:space="preserve"> HYPERLINK \l _Toc15269 </w:instrText>
      </w:r>
      <w:r>
        <w:fldChar w:fldCharType="separate"/>
      </w:r>
      <w:r>
        <w:rPr>
          <w:rFonts w:hint="eastAsia"/>
        </w:rPr>
        <w:t>第三节 完善生态</w:t>
      </w:r>
      <w:r>
        <w:rPr>
          <w:rFonts w:hint="eastAsia"/>
          <w:lang w:val="en-US" w:eastAsia="zh-CN"/>
        </w:rPr>
        <w:t>文明</w:t>
      </w:r>
      <w:r>
        <w:rPr>
          <w:rFonts w:hint="eastAsia"/>
        </w:rPr>
        <w:t>制度体系</w:t>
      </w:r>
      <w:r>
        <w:tab/>
      </w:r>
      <w:r>
        <w:fldChar w:fldCharType="begin"/>
      </w:r>
      <w:r>
        <w:instrText xml:space="preserve"> PAGEREF _Toc15269 \h </w:instrText>
      </w:r>
      <w:r>
        <w:fldChar w:fldCharType="separate"/>
      </w:r>
      <w:r>
        <w:t>50</w:t>
      </w:r>
      <w:r>
        <w:fldChar w:fldCharType="end"/>
      </w:r>
      <w:r>
        <w:rPr>
          <w:color w:val="auto"/>
        </w:rPr>
        <w:fldChar w:fldCharType="end"/>
      </w:r>
    </w:p>
    <w:p w14:paraId="4F69505B">
      <w:pPr>
        <w:pStyle w:val="28"/>
        <w:tabs>
          <w:tab w:val="right" w:leader="dot" w:pos="8306"/>
        </w:tabs>
      </w:pPr>
      <w:r>
        <w:rPr>
          <w:color w:val="auto"/>
        </w:rPr>
        <w:fldChar w:fldCharType="begin"/>
      </w:r>
      <w:r>
        <w:instrText xml:space="preserve"> HYPERLINK \l _Toc29585 </w:instrText>
      </w:r>
      <w:r>
        <w:fldChar w:fldCharType="separate"/>
      </w:r>
      <w:r>
        <w:rPr>
          <w:rFonts w:hint="eastAsia"/>
        </w:rPr>
        <w:t>第四节 深化市场机制创新和政策激励</w:t>
      </w:r>
      <w:r>
        <w:tab/>
      </w:r>
      <w:r>
        <w:fldChar w:fldCharType="begin"/>
      </w:r>
      <w:r>
        <w:instrText xml:space="preserve"> PAGEREF _Toc29585 \h </w:instrText>
      </w:r>
      <w:r>
        <w:fldChar w:fldCharType="separate"/>
      </w:r>
      <w:r>
        <w:t>51</w:t>
      </w:r>
      <w:r>
        <w:fldChar w:fldCharType="end"/>
      </w:r>
      <w:r>
        <w:rPr>
          <w:color w:val="auto"/>
        </w:rPr>
        <w:fldChar w:fldCharType="end"/>
      </w:r>
    </w:p>
    <w:p w14:paraId="7568B853">
      <w:pPr>
        <w:pStyle w:val="28"/>
        <w:tabs>
          <w:tab w:val="right" w:leader="dot" w:pos="8306"/>
        </w:tabs>
      </w:pPr>
      <w:r>
        <w:rPr>
          <w:color w:val="auto"/>
        </w:rPr>
        <w:fldChar w:fldCharType="begin"/>
      </w:r>
      <w:r>
        <w:instrText xml:space="preserve"> HYPERLINK \l _Toc15225 </w:instrText>
      </w:r>
      <w:r>
        <w:fldChar w:fldCharType="separate"/>
      </w:r>
      <w:r>
        <w:rPr>
          <w:rFonts w:hint="eastAsia"/>
        </w:rPr>
        <w:t>第五节 建立健全美丽</w:t>
      </w:r>
      <w:r>
        <w:rPr>
          <w:rFonts w:hint="eastAsia"/>
          <w:lang w:val="en-US" w:eastAsia="zh-CN"/>
        </w:rPr>
        <w:t>五</w:t>
      </w:r>
      <w:r>
        <w:rPr>
          <w:rFonts w:hint="eastAsia"/>
        </w:rPr>
        <w:t>师数字化治理体系</w:t>
      </w:r>
      <w:r>
        <w:tab/>
      </w:r>
      <w:r>
        <w:fldChar w:fldCharType="begin"/>
      </w:r>
      <w:r>
        <w:instrText xml:space="preserve"> PAGEREF _Toc15225 \h </w:instrText>
      </w:r>
      <w:r>
        <w:fldChar w:fldCharType="separate"/>
      </w:r>
      <w:r>
        <w:t>53</w:t>
      </w:r>
      <w:r>
        <w:fldChar w:fldCharType="end"/>
      </w:r>
      <w:r>
        <w:rPr>
          <w:color w:val="auto"/>
        </w:rPr>
        <w:fldChar w:fldCharType="end"/>
      </w:r>
    </w:p>
    <w:p w14:paraId="78E78E3D">
      <w:pPr>
        <w:pStyle w:val="28"/>
        <w:tabs>
          <w:tab w:val="right" w:leader="dot" w:pos="8306"/>
        </w:tabs>
      </w:pPr>
      <w:r>
        <w:rPr>
          <w:color w:val="auto"/>
        </w:rPr>
        <w:fldChar w:fldCharType="begin"/>
      </w:r>
      <w:r>
        <w:instrText xml:space="preserve"> HYPERLINK \l _Toc21610 </w:instrText>
      </w:r>
      <w:r>
        <w:fldChar w:fldCharType="separate"/>
      </w:r>
      <w:r>
        <w:rPr>
          <w:rFonts w:hint="eastAsia"/>
        </w:rPr>
        <w:t>第六节 加强宣传教育推进美丽五师建设全民行动</w:t>
      </w:r>
      <w:r>
        <w:tab/>
      </w:r>
      <w:r>
        <w:fldChar w:fldCharType="begin"/>
      </w:r>
      <w:r>
        <w:instrText xml:space="preserve"> PAGEREF _Toc21610 \h </w:instrText>
      </w:r>
      <w:r>
        <w:fldChar w:fldCharType="separate"/>
      </w:r>
      <w:r>
        <w:t>55</w:t>
      </w:r>
      <w:r>
        <w:fldChar w:fldCharType="end"/>
      </w:r>
      <w:r>
        <w:rPr>
          <w:color w:val="auto"/>
        </w:rPr>
        <w:fldChar w:fldCharType="end"/>
      </w:r>
    </w:p>
    <w:p w14:paraId="716E5996">
      <w:pPr>
        <w:pStyle w:val="23"/>
        <w:tabs>
          <w:tab w:val="right" w:leader="dot" w:pos="8306"/>
          <w:tab w:val="clear" w:pos="8296"/>
        </w:tabs>
      </w:pPr>
      <w:r>
        <w:rPr>
          <w:color w:val="auto"/>
        </w:rPr>
        <w:fldChar w:fldCharType="begin"/>
      </w:r>
      <w:r>
        <w:instrText xml:space="preserve"> HYPERLINK \l _Toc14469 </w:instrText>
      </w:r>
      <w:r>
        <w:fldChar w:fldCharType="separate"/>
      </w:r>
      <w:r>
        <w:rPr>
          <w:rFonts w:hint="eastAsia"/>
        </w:rPr>
        <w:t>第十二章 规划实施保障措施</w:t>
      </w:r>
      <w:r>
        <w:tab/>
      </w:r>
      <w:r>
        <w:fldChar w:fldCharType="begin"/>
      </w:r>
      <w:r>
        <w:instrText xml:space="preserve"> PAGEREF _Toc14469 \h </w:instrText>
      </w:r>
      <w:r>
        <w:fldChar w:fldCharType="separate"/>
      </w:r>
      <w:r>
        <w:t>57</w:t>
      </w:r>
      <w:r>
        <w:fldChar w:fldCharType="end"/>
      </w:r>
      <w:r>
        <w:rPr>
          <w:color w:val="auto"/>
        </w:rPr>
        <w:fldChar w:fldCharType="end"/>
      </w:r>
    </w:p>
    <w:p w14:paraId="4F9AC051">
      <w:pPr>
        <w:pStyle w:val="28"/>
        <w:tabs>
          <w:tab w:val="right" w:leader="dot" w:pos="8306"/>
        </w:tabs>
      </w:pPr>
      <w:r>
        <w:rPr>
          <w:color w:val="auto"/>
        </w:rPr>
        <w:fldChar w:fldCharType="begin"/>
      </w:r>
      <w:r>
        <w:instrText xml:space="preserve"> HYPERLINK \l _Toc15516 </w:instrText>
      </w:r>
      <w:r>
        <w:fldChar w:fldCharType="separate"/>
      </w:r>
      <w:r>
        <w:rPr>
          <w:rFonts w:hint="eastAsia"/>
        </w:rPr>
        <w:t>第一节 加强党的领导</w:t>
      </w:r>
      <w:r>
        <w:tab/>
      </w:r>
      <w:r>
        <w:fldChar w:fldCharType="begin"/>
      </w:r>
      <w:r>
        <w:instrText xml:space="preserve"> PAGEREF _Toc15516 \h </w:instrText>
      </w:r>
      <w:r>
        <w:fldChar w:fldCharType="separate"/>
      </w:r>
      <w:r>
        <w:t>57</w:t>
      </w:r>
      <w:r>
        <w:fldChar w:fldCharType="end"/>
      </w:r>
      <w:r>
        <w:rPr>
          <w:color w:val="auto"/>
        </w:rPr>
        <w:fldChar w:fldCharType="end"/>
      </w:r>
    </w:p>
    <w:p w14:paraId="664A5E61">
      <w:pPr>
        <w:pStyle w:val="28"/>
        <w:tabs>
          <w:tab w:val="right" w:leader="dot" w:pos="8306"/>
        </w:tabs>
      </w:pPr>
      <w:r>
        <w:rPr>
          <w:color w:val="auto"/>
        </w:rPr>
        <w:fldChar w:fldCharType="begin"/>
      </w:r>
      <w:r>
        <w:instrText xml:space="preserve"> HYPERLINK \l _Toc10129 </w:instrText>
      </w:r>
      <w:r>
        <w:fldChar w:fldCharType="separate"/>
      </w:r>
      <w:r>
        <w:rPr>
          <w:rFonts w:hint="eastAsia"/>
        </w:rPr>
        <w:t>第二节 强化政策支持</w:t>
      </w:r>
      <w:r>
        <w:tab/>
      </w:r>
      <w:r>
        <w:fldChar w:fldCharType="begin"/>
      </w:r>
      <w:r>
        <w:instrText xml:space="preserve"> PAGEREF _Toc10129 \h </w:instrText>
      </w:r>
      <w:r>
        <w:fldChar w:fldCharType="separate"/>
      </w:r>
      <w:r>
        <w:t>57</w:t>
      </w:r>
      <w:r>
        <w:fldChar w:fldCharType="end"/>
      </w:r>
      <w:r>
        <w:rPr>
          <w:color w:val="auto"/>
        </w:rPr>
        <w:fldChar w:fldCharType="end"/>
      </w:r>
    </w:p>
    <w:p w14:paraId="329DCD9B">
      <w:pPr>
        <w:pStyle w:val="28"/>
        <w:tabs>
          <w:tab w:val="right" w:leader="dot" w:pos="8306"/>
        </w:tabs>
      </w:pPr>
      <w:r>
        <w:rPr>
          <w:color w:val="auto"/>
        </w:rPr>
        <w:fldChar w:fldCharType="begin"/>
      </w:r>
      <w:r>
        <w:instrText xml:space="preserve"> HYPERLINK \l _Toc10163 </w:instrText>
      </w:r>
      <w:r>
        <w:fldChar w:fldCharType="separate"/>
      </w:r>
      <w:r>
        <w:rPr>
          <w:rFonts w:hint="eastAsia"/>
        </w:rPr>
        <w:t>第三节 加强科技支撑</w:t>
      </w:r>
      <w:r>
        <w:tab/>
      </w:r>
      <w:r>
        <w:fldChar w:fldCharType="begin"/>
      </w:r>
      <w:r>
        <w:instrText xml:space="preserve"> PAGEREF _Toc10163 \h </w:instrText>
      </w:r>
      <w:r>
        <w:fldChar w:fldCharType="separate"/>
      </w:r>
      <w:r>
        <w:t>58</w:t>
      </w:r>
      <w:r>
        <w:fldChar w:fldCharType="end"/>
      </w:r>
      <w:r>
        <w:rPr>
          <w:color w:val="auto"/>
        </w:rPr>
        <w:fldChar w:fldCharType="end"/>
      </w:r>
    </w:p>
    <w:p w14:paraId="597C70FC">
      <w:pPr>
        <w:pStyle w:val="28"/>
        <w:tabs>
          <w:tab w:val="right" w:leader="dot" w:pos="8306"/>
        </w:tabs>
      </w:pPr>
      <w:r>
        <w:rPr>
          <w:color w:val="auto"/>
        </w:rPr>
        <w:fldChar w:fldCharType="begin"/>
      </w:r>
      <w:r>
        <w:instrText xml:space="preserve"> HYPERLINK \l _Toc12343 </w:instrText>
      </w:r>
      <w:r>
        <w:fldChar w:fldCharType="separate"/>
      </w:r>
      <w:r>
        <w:rPr>
          <w:rFonts w:hint="eastAsia"/>
        </w:rPr>
        <w:t>第四节 强化宣传引导</w:t>
      </w:r>
      <w:r>
        <w:tab/>
      </w:r>
      <w:r>
        <w:fldChar w:fldCharType="begin"/>
      </w:r>
      <w:r>
        <w:instrText xml:space="preserve"> PAGEREF _Toc12343 \h </w:instrText>
      </w:r>
      <w:r>
        <w:fldChar w:fldCharType="separate"/>
      </w:r>
      <w:r>
        <w:t>58</w:t>
      </w:r>
      <w:r>
        <w:fldChar w:fldCharType="end"/>
      </w:r>
      <w:r>
        <w:rPr>
          <w:color w:val="auto"/>
        </w:rPr>
        <w:fldChar w:fldCharType="end"/>
      </w:r>
    </w:p>
    <w:p w14:paraId="3FBC2B03">
      <w:pPr>
        <w:pStyle w:val="28"/>
        <w:tabs>
          <w:tab w:val="right" w:leader="dot" w:pos="8306"/>
        </w:tabs>
      </w:pPr>
      <w:r>
        <w:rPr>
          <w:color w:val="auto"/>
        </w:rPr>
        <w:fldChar w:fldCharType="begin"/>
      </w:r>
      <w:r>
        <w:instrText xml:space="preserve"> HYPERLINK \l _Toc22559 </w:instrText>
      </w:r>
      <w:r>
        <w:fldChar w:fldCharType="separate"/>
      </w:r>
      <w:r>
        <w:rPr>
          <w:rFonts w:hint="eastAsia"/>
        </w:rPr>
        <w:t>第五节 严格考核评估</w:t>
      </w:r>
      <w:r>
        <w:tab/>
      </w:r>
      <w:r>
        <w:fldChar w:fldCharType="begin"/>
      </w:r>
      <w:r>
        <w:instrText xml:space="preserve"> PAGEREF _Toc22559 \h </w:instrText>
      </w:r>
      <w:r>
        <w:fldChar w:fldCharType="separate"/>
      </w:r>
      <w:r>
        <w:t>59</w:t>
      </w:r>
      <w:r>
        <w:fldChar w:fldCharType="end"/>
      </w:r>
      <w:r>
        <w:rPr>
          <w:color w:val="auto"/>
        </w:rPr>
        <w:fldChar w:fldCharType="end"/>
      </w:r>
    </w:p>
    <w:p w14:paraId="2529660F">
      <w:pPr>
        <w:ind w:firstLine="0" w:firstLineChars="0"/>
        <w:rPr>
          <w:color w:val="auto"/>
        </w:rPr>
      </w:pPr>
      <w:bookmarkStart w:id="161" w:name="_GoBack"/>
      <w:bookmarkEnd w:id="161"/>
      <w:r>
        <w:rPr>
          <w:color w:val="auto"/>
        </w:rPr>
        <w:fldChar w:fldCharType="end"/>
      </w:r>
    </w:p>
    <w:p w14:paraId="02EB6CA6">
      <w:pPr>
        <w:ind w:firstLine="480"/>
        <w:rPr>
          <w:color w:val="auto"/>
        </w:rPr>
      </w:pPr>
    </w:p>
    <w:p w14:paraId="383A08B6">
      <w:pPr>
        <w:ind w:firstLine="480"/>
        <w:rPr>
          <w:color w:val="auto"/>
        </w:rPr>
      </w:pPr>
    </w:p>
    <w:p w14:paraId="73EB683B">
      <w:pPr>
        <w:ind w:firstLine="480"/>
        <w:rPr>
          <w:color w:val="auto"/>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48067527">
      <w:pPr>
        <w:ind w:firstLine="480"/>
        <w:rPr>
          <w:color w:val="auto"/>
          <w:sz w:val="32"/>
          <w:szCs w:val="32"/>
        </w:rPr>
      </w:pPr>
      <w:r>
        <w:rPr>
          <w:rFonts w:hint="eastAsia"/>
          <w:color w:val="auto"/>
          <w:sz w:val="32"/>
          <w:szCs w:val="32"/>
        </w:rPr>
        <w:t>为推进“十五五”时期</w:t>
      </w:r>
      <w:r>
        <w:rPr>
          <w:rFonts w:hint="eastAsia"/>
          <w:color w:val="auto"/>
          <w:sz w:val="32"/>
          <w:szCs w:val="32"/>
          <w:lang w:val="en-US" w:eastAsia="zh-CN"/>
        </w:rPr>
        <w:t>第五师双河市</w:t>
      </w:r>
      <w:r>
        <w:rPr>
          <w:rFonts w:hint="eastAsia"/>
          <w:color w:val="auto"/>
          <w:sz w:val="32"/>
          <w:szCs w:val="32"/>
        </w:rPr>
        <w:t>生态环境保护工作，根据《中华人民共和国环境保护法》《新疆生产建设兵团“十五五”生态环境保护规划（2026</w:t>
      </w:r>
      <w:r>
        <w:rPr>
          <w:rFonts w:hint="eastAsia"/>
          <w:color w:val="auto"/>
          <w:sz w:val="32"/>
          <w:szCs w:val="32"/>
          <w:lang w:eastAsia="zh-CN"/>
        </w:rPr>
        <w:t>—</w:t>
      </w:r>
      <w:r>
        <w:rPr>
          <w:rFonts w:hint="eastAsia"/>
          <w:color w:val="auto"/>
          <w:sz w:val="32"/>
          <w:szCs w:val="32"/>
        </w:rPr>
        <w:t>2030年）》《新疆生产建设兵团第五师国民经济和社会发展第十五个五年规划</w:t>
      </w:r>
      <w:r>
        <w:rPr>
          <w:rFonts w:hint="eastAsia"/>
          <w:color w:val="auto"/>
          <w:sz w:val="32"/>
          <w:szCs w:val="32"/>
          <w:lang w:val="en-US" w:eastAsia="zh-CN"/>
        </w:rPr>
        <w:t>纲要</w:t>
      </w:r>
      <w:r>
        <w:rPr>
          <w:rFonts w:hint="eastAsia"/>
          <w:color w:val="auto"/>
          <w:sz w:val="32"/>
          <w:szCs w:val="32"/>
        </w:rPr>
        <w:t>》，制定本规划。</w:t>
      </w:r>
    </w:p>
    <w:p w14:paraId="0C47026D">
      <w:pPr>
        <w:ind w:firstLine="480"/>
        <w:rPr>
          <w:color w:val="auto"/>
          <w:sz w:val="32"/>
          <w:szCs w:val="32"/>
        </w:rPr>
      </w:pPr>
      <w:r>
        <w:rPr>
          <w:rFonts w:hint="eastAsia"/>
          <w:color w:val="auto"/>
          <w:sz w:val="32"/>
          <w:szCs w:val="32"/>
        </w:rPr>
        <w:t>本次编制的《第五师</w:t>
      </w:r>
      <w:r>
        <w:rPr>
          <w:rFonts w:hint="eastAsia"/>
          <w:color w:val="auto"/>
          <w:sz w:val="32"/>
          <w:szCs w:val="32"/>
          <w:lang w:val="en-US" w:eastAsia="zh-CN"/>
        </w:rPr>
        <w:t>双河市美丽师市建设</w:t>
      </w:r>
      <w:r>
        <w:rPr>
          <w:rFonts w:hint="eastAsia"/>
          <w:color w:val="auto"/>
          <w:sz w:val="32"/>
          <w:szCs w:val="32"/>
        </w:rPr>
        <w:t>“十五五”生态环境保护规划》是</w:t>
      </w:r>
      <w:r>
        <w:rPr>
          <w:rFonts w:hint="eastAsia"/>
          <w:color w:val="auto"/>
          <w:sz w:val="32"/>
          <w:szCs w:val="32"/>
          <w:lang w:val="en-US" w:eastAsia="zh-CN"/>
        </w:rPr>
        <w:t>师市</w:t>
      </w:r>
      <w:r>
        <w:rPr>
          <w:rFonts w:hint="eastAsia"/>
          <w:color w:val="auto"/>
          <w:sz w:val="32"/>
          <w:szCs w:val="32"/>
        </w:rPr>
        <w:t>“十五五”期间生态环境保护的纲领性文件，是打好污染防治攻坚战的有力抓手，为</w:t>
      </w:r>
      <w:r>
        <w:rPr>
          <w:rFonts w:hint="eastAsia"/>
          <w:color w:val="auto"/>
          <w:sz w:val="32"/>
          <w:szCs w:val="32"/>
          <w:lang w:val="en-US" w:eastAsia="zh-CN"/>
        </w:rPr>
        <w:t>师市</w:t>
      </w:r>
      <w:r>
        <w:rPr>
          <w:rFonts w:hint="eastAsia"/>
          <w:color w:val="auto"/>
          <w:sz w:val="32"/>
          <w:szCs w:val="32"/>
        </w:rPr>
        <w:t>生态环境绿色发展提供依据和保障。</w:t>
      </w:r>
    </w:p>
    <w:p w14:paraId="12226F36">
      <w:pPr>
        <w:pStyle w:val="2"/>
        <w:bidi w:val="0"/>
        <w:ind w:left="0" w:leftChars="0" w:firstLine="0" w:firstLineChars="0"/>
        <w:rPr>
          <w:color w:val="auto"/>
        </w:rPr>
      </w:pPr>
      <w:bookmarkStart w:id="0" w:name="_Toc2391"/>
      <w:bookmarkStart w:id="1" w:name="_Toc12255"/>
      <w:bookmarkStart w:id="2" w:name="_Toc13418"/>
      <w:r>
        <w:rPr>
          <w:rFonts w:hint="eastAsia"/>
          <w:color w:val="auto"/>
        </w:rPr>
        <w:t>“十五五”时期生态环境形势研判</w:t>
      </w:r>
      <w:bookmarkEnd w:id="0"/>
      <w:bookmarkEnd w:id="1"/>
      <w:bookmarkEnd w:id="2"/>
    </w:p>
    <w:p w14:paraId="354DDC20">
      <w:pPr>
        <w:pStyle w:val="3"/>
        <w:bidi w:val="0"/>
        <w:ind w:left="0" w:leftChars="0" w:firstLine="0" w:firstLineChars="0"/>
        <w:rPr>
          <w:color w:val="auto"/>
        </w:rPr>
      </w:pPr>
      <w:bookmarkStart w:id="3" w:name="_Toc3565"/>
      <w:bookmarkStart w:id="4" w:name="_Toc11849"/>
      <w:bookmarkStart w:id="5" w:name="_Toc28677"/>
      <w:r>
        <w:rPr>
          <w:rFonts w:hint="eastAsia"/>
          <w:color w:val="auto"/>
          <w:lang w:eastAsia="zh-CN"/>
        </w:rPr>
        <w:t>“</w:t>
      </w:r>
      <w:r>
        <w:rPr>
          <w:rFonts w:hint="eastAsia"/>
          <w:color w:val="auto"/>
          <w:lang w:val="en-US" w:eastAsia="zh-CN"/>
        </w:rPr>
        <w:t>十四五</w:t>
      </w:r>
      <w:r>
        <w:rPr>
          <w:rFonts w:hint="eastAsia"/>
          <w:color w:val="auto"/>
          <w:lang w:eastAsia="zh-CN"/>
        </w:rPr>
        <w:t>”</w:t>
      </w:r>
      <w:r>
        <w:rPr>
          <w:rFonts w:hint="eastAsia"/>
          <w:color w:val="auto"/>
          <w:lang w:val="en-US" w:eastAsia="zh-CN"/>
        </w:rPr>
        <w:t>规划实施情况</w:t>
      </w:r>
      <w:bookmarkEnd w:id="3"/>
      <w:bookmarkEnd w:id="4"/>
      <w:bookmarkEnd w:id="5"/>
    </w:p>
    <w:p w14:paraId="18075C0A">
      <w:pPr>
        <w:ind w:firstLine="480"/>
        <w:rPr>
          <w:rFonts w:hint="eastAsia"/>
          <w:color w:val="auto"/>
          <w:lang w:eastAsia="zh-CN"/>
        </w:rPr>
      </w:pPr>
      <w:r>
        <w:rPr>
          <w:rFonts w:hint="eastAsia"/>
          <w:color w:val="auto"/>
        </w:rPr>
        <w:t>“十四五”期间，</w:t>
      </w:r>
      <w:r>
        <w:rPr>
          <w:rFonts w:hint="eastAsia"/>
          <w:color w:val="auto"/>
          <w:lang w:val="en-US" w:eastAsia="zh-CN"/>
        </w:rPr>
        <w:t>师市</w:t>
      </w:r>
      <w:r>
        <w:rPr>
          <w:rFonts w:hint="eastAsia"/>
          <w:color w:val="auto"/>
        </w:rPr>
        <w:t>坚持以习近平新时代中国特色社会主义思想为指导，深入学习贯彻党的二十大和二十届历次全会精神，全面落实第二、三次中央新疆工作座谈会精神和习近平总书记关于新疆工作的重要讲话和重要指示批示精神，认真贯彻落实党中央、国务院及</w:t>
      </w:r>
      <w:r>
        <w:rPr>
          <w:rFonts w:hint="eastAsia"/>
          <w:color w:val="auto"/>
          <w:lang w:val="en-US" w:eastAsia="zh-CN"/>
        </w:rPr>
        <w:t>兵团</w:t>
      </w:r>
      <w:r>
        <w:rPr>
          <w:rFonts w:hint="eastAsia"/>
          <w:color w:val="auto"/>
        </w:rPr>
        <w:t>关于生态文明建设的决策部署，完整准确全面贯彻新时代党的治疆方略，紧紧围绕</w:t>
      </w:r>
      <w:r>
        <w:rPr>
          <w:rFonts w:hint="eastAsia"/>
          <w:color w:val="auto"/>
          <w:lang w:val="en-US" w:eastAsia="zh-CN"/>
        </w:rPr>
        <w:t>师市</w:t>
      </w:r>
      <w:r>
        <w:rPr>
          <w:rFonts w:hint="eastAsia"/>
          <w:color w:val="auto"/>
        </w:rPr>
        <w:t>在全国</w:t>
      </w:r>
      <w:r>
        <w:rPr>
          <w:rFonts w:hint="eastAsia"/>
          <w:color w:val="auto"/>
          <w:lang w:eastAsia="zh-CN"/>
        </w:rPr>
        <w:t>、</w:t>
      </w:r>
      <w:r>
        <w:rPr>
          <w:rFonts w:hint="eastAsia"/>
          <w:color w:val="auto"/>
        </w:rPr>
        <w:t>全疆</w:t>
      </w:r>
      <w:r>
        <w:rPr>
          <w:rFonts w:hint="eastAsia"/>
          <w:color w:val="auto"/>
          <w:lang w:val="en-US" w:eastAsia="zh-CN"/>
        </w:rPr>
        <w:t>和兵团</w:t>
      </w:r>
      <w:r>
        <w:rPr>
          <w:rFonts w:hint="eastAsia"/>
          <w:color w:val="auto"/>
        </w:rPr>
        <w:t>的战略定位</w:t>
      </w:r>
      <w:r>
        <w:rPr>
          <w:rFonts w:hint="eastAsia"/>
          <w:color w:val="auto"/>
          <w:lang w:eastAsia="zh-CN"/>
        </w:rPr>
        <w:t>，统筹推进经济社会高质量发展与生态环境高水平保护，生态文明建设和生态环境保护工作取得显著成效。在师市党委、师市的坚强领导下，忠诚履行生态卫士职责，攻坚克难、实干笃行，生态环境保护工作取得历史性、突破性成效，圆满完成“十四五”生态环境保护各项目标任务，为“十五五”美丽师市建设奠定了坚实基础。</w:t>
      </w:r>
    </w:p>
    <w:p w14:paraId="581F57FB">
      <w:pPr>
        <w:pStyle w:val="4"/>
        <w:bidi w:val="0"/>
        <w:rPr>
          <w:color w:val="auto"/>
        </w:rPr>
      </w:pPr>
      <w:bookmarkStart w:id="6" w:name="_Toc2995"/>
      <w:bookmarkStart w:id="7" w:name="_Toc26059"/>
      <w:r>
        <w:rPr>
          <w:rFonts w:hint="eastAsia"/>
          <w:color w:val="auto"/>
          <w:lang w:val="en-US" w:eastAsia="zh-CN"/>
        </w:rPr>
        <w:t>聚焦重点领域，污染防治攻坚成效显著</w:t>
      </w:r>
      <w:bookmarkEnd w:id="6"/>
    </w:p>
    <w:p w14:paraId="30C4A59D">
      <w:pPr>
        <w:ind w:firstLine="480"/>
        <w:rPr>
          <w:rFonts w:hint="default"/>
          <w:b/>
          <w:bCs/>
          <w:color w:val="auto"/>
          <w:sz w:val="32"/>
          <w:szCs w:val="32"/>
          <w:lang w:val="en-US" w:eastAsia="zh-CN"/>
        </w:rPr>
      </w:pPr>
      <w:r>
        <w:rPr>
          <w:rFonts w:hint="eastAsia"/>
          <w:b/>
          <w:bCs/>
          <w:color w:val="auto"/>
          <w:sz w:val="32"/>
          <w:szCs w:val="32"/>
        </w:rPr>
        <w:t>持续深入打好蓝天保卫战。环境空气质量持续改善。</w:t>
      </w:r>
      <w:r>
        <w:rPr>
          <w:rFonts w:hint="eastAsia"/>
          <w:color w:val="auto"/>
          <w:sz w:val="32"/>
          <w:szCs w:val="32"/>
          <w:lang w:eastAsia="zh-CN"/>
        </w:rPr>
        <w:t>2025年，师市环境空气质量达到“十四五”以来最优，区域环境空气质量持续稳中向好。环境空气质量优良天数从2021年289天提升至2025年345天，共增加56天，增幅19.38%；环境空气质量优良率从2021年80.7%提升至94.5%，增幅13.8%；重污染天数从2021年14天至2025年首次实现“清零”；PM</w:t>
      </w:r>
      <w:r>
        <w:rPr>
          <w:rFonts w:hint="eastAsia"/>
          <w:color w:val="auto"/>
          <w:sz w:val="32"/>
          <w:szCs w:val="32"/>
          <w:vertAlign w:val="subscript"/>
          <w:lang w:eastAsia="zh-CN"/>
        </w:rPr>
        <w:t>2.5</w:t>
      </w:r>
      <w:r>
        <w:rPr>
          <w:rFonts w:hint="eastAsia"/>
          <w:color w:val="auto"/>
          <w:sz w:val="32"/>
          <w:szCs w:val="32"/>
          <w:lang w:eastAsia="zh-CN"/>
        </w:rPr>
        <w:t>浓度从2021年36微克/立方米降至22微克/立方米，降幅达38.9%。</w:t>
      </w:r>
      <w:r>
        <w:rPr>
          <w:rFonts w:hint="eastAsia"/>
          <w:b/>
          <w:bCs/>
          <w:color w:val="auto"/>
          <w:sz w:val="32"/>
          <w:szCs w:val="32"/>
        </w:rPr>
        <w:t>强化兵地</w:t>
      </w:r>
      <w:r>
        <w:rPr>
          <w:rFonts w:hint="eastAsia"/>
          <w:b/>
          <w:bCs/>
          <w:color w:val="auto"/>
          <w:sz w:val="32"/>
          <w:szCs w:val="32"/>
          <w:lang w:val="en-US" w:eastAsia="zh-CN"/>
        </w:rPr>
        <w:t>污染协调联动</w:t>
      </w:r>
      <w:r>
        <w:rPr>
          <w:rFonts w:hint="eastAsia"/>
          <w:b/>
          <w:bCs/>
          <w:color w:val="auto"/>
          <w:sz w:val="32"/>
          <w:szCs w:val="32"/>
        </w:rPr>
        <w:t>。</w:t>
      </w:r>
      <w:r>
        <w:rPr>
          <w:rFonts w:hint="eastAsia"/>
          <w:b w:val="0"/>
          <w:bCs w:val="0"/>
          <w:color w:val="auto"/>
          <w:sz w:val="32"/>
          <w:szCs w:val="32"/>
        </w:rPr>
        <w:t>树立兵地生态环境“一盘棋”思想，</w:t>
      </w:r>
      <w:r>
        <w:rPr>
          <w:rFonts w:hint="eastAsia"/>
          <w:color w:val="auto"/>
          <w:sz w:val="32"/>
          <w:szCs w:val="32"/>
        </w:rPr>
        <w:t>成立了师市</w:t>
      </w:r>
      <w:r>
        <w:rPr>
          <w:rFonts w:hint="eastAsia"/>
          <w:color w:val="auto"/>
          <w:sz w:val="32"/>
          <w:szCs w:val="32"/>
          <w:lang w:val="en-US" w:eastAsia="zh-CN"/>
        </w:rPr>
        <w:t>党委</w:t>
      </w:r>
      <w:r>
        <w:rPr>
          <w:rFonts w:hint="eastAsia"/>
          <w:color w:val="auto"/>
          <w:sz w:val="32"/>
          <w:szCs w:val="32"/>
        </w:rPr>
        <w:t>生态环境委员会，制定《自治州环境保护兵团协调联动机制》</w:t>
      </w:r>
      <w:r>
        <w:rPr>
          <w:rFonts w:hint="eastAsia"/>
          <w:color w:val="auto"/>
          <w:sz w:val="32"/>
          <w:szCs w:val="32"/>
          <w:lang w:eastAsia="zh-CN"/>
        </w:rPr>
        <w:t>，</w:t>
      </w:r>
      <w:r>
        <w:rPr>
          <w:rFonts w:hint="eastAsia"/>
          <w:color w:val="auto"/>
          <w:sz w:val="32"/>
          <w:szCs w:val="32"/>
        </w:rPr>
        <w:t>构建了联席会议、联合控制、联合预警、联合执法四项制度，为兵地协同奠定坚实基础</w:t>
      </w:r>
      <w:r>
        <w:rPr>
          <w:rFonts w:hint="eastAsia"/>
          <w:b w:val="0"/>
          <w:bCs w:val="0"/>
          <w:color w:val="auto"/>
          <w:sz w:val="32"/>
          <w:szCs w:val="32"/>
        </w:rPr>
        <w:t>。推进兵地融合执法</w:t>
      </w:r>
      <w:r>
        <w:rPr>
          <w:rFonts w:hint="eastAsia"/>
          <w:b w:val="0"/>
          <w:bCs w:val="0"/>
          <w:color w:val="auto"/>
          <w:sz w:val="32"/>
          <w:szCs w:val="32"/>
          <w:lang w:val="en-US" w:eastAsia="zh-CN"/>
        </w:rPr>
        <w:t>24</w:t>
      </w:r>
      <w:r>
        <w:rPr>
          <w:rFonts w:hint="eastAsia"/>
          <w:b w:val="0"/>
          <w:bCs w:val="0"/>
          <w:color w:val="auto"/>
          <w:sz w:val="32"/>
          <w:szCs w:val="32"/>
        </w:rPr>
        <w:t>次，整改跨界环境问题</w:t>
      </w:r>
      <w:r>
        <w:rPr>
          <w:rFonts w:hint="eastAsia"/>
          <w:b w:val="0"/>
          <w:bCs w:val="0"/>
          <w:color w:val="auto"/>
          <w:sz w:val="32"/>
          <w:szCs w:val="32"/>
          <w:lang w:val="en-US" w:eastAsia="zh-CN"/>
        </w:rPr>
        <w:t>4</w:t>
      </w:r>
      <w:r>
        <w:rPr>
          <w:rFonts w:hint="eastAsia"/>
          <w:b w:val="0"/>
          <w:bCs w:val="0"/>
          <w:color w:val="auto"/>
          <w:sz w:val="32"/>
          <w:szCs w:val="32"/>
        </w:rPr>
        <w:t>8个。</w:t>
      </w:r>
      <w:r>
        <w:rPr>
          <w:rFonts w:hint="eastAsia"/>
          <w:b/>
          <w:bCs/>
          <w:color w:val="auto"/>
          <w:sz w:val="32"/>
          <w:szCs w:val="32"/>
          <w:lang w:eastAsia="zh-CN"/>
        </w:rPr>
        <w:t>重点</w:t>
      </w:r>
      <w:r>
        <w:rPr>
          <w:rFonts w:hint="eastAsia"/>
          <w:b/>
          <w:bCs/>
          <w:color w:val="auto"/>
          <w:sz w:val="32"/>
          <w:szCs w:val="32"/>
          <w:lang w:val="en-US" w:eastAsia="zh-CN"/>
        </w:rPr>
        <w:t>企业</w:t>
      </w:r>
      <w:r>
        <w:rPr>
          <w:rFonts w:hint="eastAsia"/>
          <w:b/>
          <w:bCs/>
          <w:color w:val="auto"/>
          <w:sz w:val="32"/>
          <w:szCs w:val="32"/>
          <w:lang w:eastAsia="zh-CN"/>
        </w:rPr>
        <w:t>污染治理</w:t>
      </w:r>
      <w:r>
        <w:rPr>
          <w:rFonts w:hint="eastAsia"/>
          <w:b/>
          <w:bCs/>
          <w:color w:val="auto"/>
          <w:sz w:val="32"/>
          <w:szCs w:val="32"/>
          <w:lang w:val="en-US" w:eastAsia="zh-CN"/>
        </w:rPr>
        <w:t>模式创新</w:t>
      </w:r>
      <w:r>
        <w:rPr>
          <w:rFonts w:hint="eastAsia"/>
          <w:b/>
          <w:bCs/>
          <w:color w:val="auto"/>
          <w:sz w:val="32"/>
          <w:szCs w:val="32"/>
          <w:lang w:eastAsia="zh-CN"/>
        </w:rPr>
        <w:t>。</w:t>
      </w:r>
      <w:r>
        <w:rPr>
          <w:rFonts w:hint="eastAsia"/>
          <w:color w:val="auto"/>
          <w:sz w:val="32"/>
          <w:szCs w:val="32"/>
        </w:rPr>
        <w:t>创新实施“提前预警+协商减排”模式，同26家生产企业建立绿色友好协商机制，督促14家涉气重点监管企业落实“浓度+总量”双控措施，指导9家塑料企业通过自主限产减排降低污染物排放强度，有效降低了师市大气污染物排放总量，显著减轻了环境空气污染程度。</w:t>
      </w:r>
      <w:r>
        <w:rPr>
          <w:rFonts w:hint="eastAsia"/>
          <w:b w:val="0"/>
          <w:bCs w:val="0"/>
          <w:color w:val="auto"/>
          <w:sz w:val="32"/>
          <w:szCs w:val="32"/>
          <w:lang w:eastAsia="zh-CN"/>
        </w:rPr>
        <w:t>依据《重污染天气重点行业应急减排措施制定技术指南》建立涉气企业分级管控体系，将43家企业纳入重污染天气应急减排清单，指导8家重点企业制定并完成11项“一企一策”深度治理措施，</w:t>
      </w:r>
      <w:r>
        <w:rPr>
          <w:rFonts w:hint="eastAsia"/>
          <w:b w:val="0"/>
          <w:bCs w:val="0"/>
          <w:color w:val="auto"/>
          <w:sz w:val="32"/>
          <w:szCs w:val="32"/>
          <w:lang w:val="en-US" w:eastAsia="zh-CN"/>
        </w:rPr>
        <w:t>累计减排160余吨</w:t>
      </w:r>
      <w:r>
        <w:rPr>
          <w:rFonts w:hint="eastAsia"/>
          <w:b w:val="0"/>
          <w:bCs w:val="0"/>
          <w:color w:val="auto"/>
          <w:sz w:val="32"/>
          <w:szCs w:val="32"/>
          <w:lang w:eastAsia="zh-CN"/>
        </w:rPr>
        <w:t>。</w:t>
      </w:r>
      <w:r>
        <w:rPr>
          <w:rFonts w:hint="eastAsia"/>
          <w:b/>
          <w:bCs/>
          <w:color w:val="auto"/>
          <w:sz w:val="32"/>
          <w:szCs w:val="32"/>
          <w:lang w:eastAsia="zh-CN"/>
        </w:rPr>
        <w:t>实施锅炉和工业炉窑整治。</w:t>
      </w:r>
      <w:r>
        <w:rPr>
          <w:rFonts w:hint="eastAsia"/>
          <w:b w:val="0"/>
          <w:bCs w:val="0"/>
          <w:color w:val="auto"/>
          <w:sz w:val="32"/>
          <w:szCs w:val="32"/>
          <w:lang w:val="en-US" w:eastAsia="zh-CN"/>
        </w:rPr>
        <w:t>督促13家供热企业对22台供热锅炉污染防治设施完成了更新改造，</w:t>
      </w:r>
      <w:r>
        <w:rPr>
          <w:rFonts w:hint="eastAsia"/>
          <w:color w:val="auto"/>
          <w:sz w:val="32"/>
          <w:szCs w:val="32"/>
        </w:rPr>
        <w:t>推动能源集团二、三热源站6台燃煤锅炉完成超低排放改造，指导88团</w:t>
      </w:r>
      <w:r>
        <w:rPr>
          <w:rFonts w:hint="eastAsia"/>
          <w:color w:val="auto"/>
          <w:sz w:val="32"/>
          <w:szCs w:val="32"/>
          <w:lang w:eastAsia="zh-CN"/>
        </w:rPr>
        <w:t>、</w:t>
      </w:r>
      <w:r>
        <w:rPr>
          <w:rFonts w:hint="eastAsia"/>
          <w:color w:val="auto"/>
          <w:sz w:val="32"/>
          <w:szCs w:val="32"/>
          <w:lang w:val="en-US" w:eastAsia="zh-CN"/>
        </w:rPr>
        <w:t>86团（南北区）</w:t>
      </w:r>
      <w:r>
        <w:rPr>
          <w:rFonts w:hint="eastAsia"/>
          <w:color w:val="auto"/>
          <w:sz w:val="32"/>
          <w:szCs w:val="32"/>
        </w:rPr>
        <w:t>完成</w:t>
      </w:r>
      <w:r>
        <w:rPr>
          <w:rFonts w:hint="eastAsia"/>
          <w:color w:val="auto"/>
          <w:sz w:val="32"/>
          <w:szCs w:val="32"/>
          <w:lang w:val="en-US" w:eastAsia="zh-CN"/>
        </w:rPr>
        <w:t>累计110蒸吨</w:t>
      </w:r>
      <w:r>
        <w:rPr>
          <w:rFonts w:hint="eastAsia"/>
          <w:color w:val="auto"/>
          <w:sz w:val="32"/>
          <w:szCs w:val="32"/>
        </w:rPr>
        <w:t>燃煤锅炉清洁替代</w:t>
      </w:r>
      <w:r>
        <w:rPr>
          <w:rFonts w:hint="eastAsia"/>
          <w:color w:val="auto"/>
          <w:sz w:val="32"/>
          <w:szCs w:val="32"/>
          <w:lang w:eastAsia="zh-CN"/>
        </w:rPr>
        <w:t>，</w:t>
      </w:r>
      <w:r>
        <w:rPr>
          <w:rFonts w:hint="eastAsia"/>
          <w:color w:val="auto"/>
          <w:sz w:val="32"/>
          <w:szCs w:val="32"/>
          <w:lang w:val="en-US" w:eastAsia="zh-CN"/>
        </w:rPr>
        <w:t>帮助新疆奥瑞金博种业完成2台累计80蒸吨循环流化床燃煤锅炉淘汰</w:t>
      </w:r>
      <w:r>
        <w:rPr>
          <w:rFonts w:hint="eastAsia"/>
          <w:color w:val="auto"/>
          <w:sz w:val="32"/>
          <w:szCs w:val="32"/>
          <w:lang w:eastAsia="zh-CN"/>
        </w:rPr>
        <w:t>。</w:t>
      </w:r>
      <w:r>
        <w:rPr>
          <w:rFonts w:hint="eastAsia"/>
          <w:b w:val="0"/>
          <w:bCs w:val="0"/>
          <w:color w:val="auto"/>
          <w:sz w:val="32"/>
          <w:szCs w:val="32"/>
          <w:lang w:eastAsia="zh-CN"/>
        </w:rPr>
        <w:t>依据《国家产业调整指导目录（2024年）》《国家污染防治设施指导目录（2025年）》要求，召开师市燃煤锅炉淘汰工作专题会议，累计完成10蒸吨及以下燃煤锅炉、2蒸吨及以下生物质锅炉19台81蒸吨，指导21家涉气企业完成污染防治设施升级，</w:t>
      </w:r>
      <w:r>
        <w:rPr>
          <w:rFonts w:hint="eastAsia"/>
          <w:b w:val="0"/>
          <w:bCs w:val="0"/>
          <w:color w:val="auto"/>
          <w:sz w:val="32"/>
          <w:szCs w:val="32"/>
          <w:lang w:val="en-US" w:eastAsia="zh-CN"/>
        </w:rPr>
        <w:t>进一步削减污染物排放总量。</w:t>
      </w:r>
      <w:r>
        <w:rPr>
          <w:rFonts w:hint="eastAsia"/>
          <w:b/>
          <w:bCs/>
          <w:color w:val="auto"/>
          <w:sz w:val="32"/>
          <w:szCs w:val="32"/>
          <w:highlight w:val="none"/>
          <w:lang w:eastAsia="zh-CN"/>
        </w:rPr>
        <w:t>强化机动车尾气</w:t>
      </w:r>
      <w:r>
        <w:rPr>
          <w:rFonts w:hint="eastAsia"/>
          <w:b/>
          <w:bCs/>
          <w:color w:val="auto"/>
          <w:sz w:val="32"/>
          <w:szCs w:val="32"/>
          <w:highlight w:val="none"/>
          <w:lang w:val="en-US" w:eastAsia="zh-CN"/>
        </w:rPr>
        <w:t>治理</w:t>
      </w:r>
      <w:r>
        <w:rPr>
          <w:rFonts w:hint="eastAsia"/>
          <w:b/>
          <w:bCs/>
          <w:color w:val="auto"/>
          <w:sz w:val="32"/>
          <w:szCs w:val="32"/>
          <w:highlight w:val="none"/>
          <w:lang w:eastAsia="zh-CN"/>
        </w:rPr>
        <w:t>。</w:t>
      </w:r>
      <w:r>
        <w:rPr>
          <w:rFonts w:hint="eastAsia"/>
          <w:color w:val="auto"/>
          <w:sz w:val="32"/>
          <w:szCs w:val="32"/>
          <w:lang w:val="en-US" w:eastAsia="zh-CN"/>
        </w:rPr>
        <w:t>出台</w:t>
      </w:r>
      <w:r>
        <w:rPr>
          <w:rFonts w:hint="eastAsia"/>
          <w:color w:val="auto"/>
          <w:sz w:val="32"/>
          <w:szCs w:val="32"/>
        </w:rPr>
        <w:t>《第五师双河市机动车排放检验领域第三方机构专项整治行动方案》（师</w:t>
      </w:r>
      <w:r>
        <w:rPr>
          <w:rFonts w:hint="eastAsia"/>
          <w:color w:val="auto"/>
          <w:sz w:val="32"/>
          <w:szCs w:val="32"/>
          <w:lang w:val="en-US" w:eastAsia="zh-CN"/>
        </w:rPr>
        <w:t>环</w:t>
      </w:r>
      <w:r>
        <w:rPr>
          <w:rFonts w:hint="eastAsia"/>
          <w:color w:val="auto"/>
          <w:sz w:val="32"/>
          <w:szCs w:val="32"/>
        </w:rPr>
        <w:t>发〔2024〕93号）、《第五师双河市重型燃油（气）货车专项治理行动方案》（师</w:t>
      </w:r>
      <w:r>
        <w:rPr>
          <w:rFonts w:hint="eastAsia"/>
          <w:color w:val="auto"/>
          <w:sz w:val="32"/>
          <w:szCs w:val="32"/>
          <w:lang w:val="en-US" w:eastAsia="zh-CN"/>
        </w:rPr>
        <w:t>环</w:t>
      </w:r>
      <w:r>
        <w:rPr>
          <w:rFonts w:hint="eastAsia"/>
          <w:color w:val="auto"/>
          <w:sz w:val="32"/>
          <w:szCs w:val="32"/>
        </w:rPr>
        <w:t>发〔2024〕94号）</w:t>
      </w:r>
      <w:r>
        <w:rPr>
          <w:rFonts w:hint="eastAsia"/>
          <w:color w:val="auto"/>
          <w:sz w:val="32"/>
          <w:szCs w:val="32"/>
          <w:lang w:eastAsia="zh-CN"/>
        </w:rPr>
        <w:t>，对区域机动车排放检验检测机构</w:t>
      </w:r>
      <w:r>
        <w:rPr>
          <w:rFonts w:hint="eastAsia"/>
          <w:color w:val="auto"/>
          <w:sz w:val="32"/>
          <w:szCs w:val="32"/>
          <w:lang w:val="en-US" w:eastAsia="zh-CN"/>
        </w:rPr>
        <w:t>开展</w:t>
      </w:r>
      <w:r>
        <w:rPr>
          <w:rFonts w:hint="eastAsia"/>
          <w:color w:val="auto"/>
          <w:sz w:val="32"/>
          <w:szCs w:val="32"/>
          <w:lang w:eastAsia="zh-CN"/>
        </w:rPr>
        <w:t>日常监管联合，查处大货车禁行相关违法行为112起，清理报废老旧货车922辆。持续开展非道路移动机械编码审核，累计登记547辆机械，联合相关部门基本完成国三及以下重型燃油货车和国一阶段非道路移动机械淘汰工作，淘汰243辆中重型柴油货车及其他型号燃油车辆。</w:t>
      </w:r>
    </w:p>
    <w:p w14:paraId="50E79AEC">
      <w:pPr>
        <w:ind w:firstLine="480"/>
        <w:rPr>
          <w:rFonts w:hint="eastAsia" w:ascii="Times New Roman" w:hAnsi="Times New Roman" w:eastAsia="仿宋_GB2312" w:cs="Times New Roman"/>
          <w:b/>
          <w:bCs w:val="0"/>
          <w:color w:val="auto"/>
          <w:kern w:val="2"/>
          <w:sz w:val="32"/>
          <w:szCs w:val="32"/>
          <w:lang w:val="en-US" w:eastAsia="zh-CN" w:bidi="ar"/>
        </w:rPr>
      </w:pPr>
      <w:r>
        <w:rPr>
          <w:rFonts w:hint="eastAsia"/>
          <w:b/>
          <w:bCs/>
          <w:color w:val="auto"/>
          <w:sz w:val="32"/>
          <w:szCs w:val="32"/>
        </w:rPr>
        <w:t>持续深入打好碧水保卫战。地表水环境质量保持优良。</w:t>
      </w:r>
      <w:r>
        <w:rPr>
          <w:rFonts w:hint="eastAsia"/>
          <w:color w:val="auto"/>
          <w:sz w:val="32"/>
          <w:szCs w:val="32"/>
          <w:highlight w:val="none"/>
          <w:lang w:eastAsia="zh-CN"/>
        </w:rPr>
        <w:t>“</w:t>
      </w:r>
      <w:r>
        <w:rPr>
          <w:rFonts w:hint="eastAsia"/>
          <w:color w:val="auto"/>
          <w:sz w:val="32"/>
          <w:szCs w:val="32"/>
          <w:highlight w:val="none"/>
          <w:lang w:val="en-US" w:eastAsia="zh-CN"/>
        </w:rPr>
        <w:t>十四五</w:t>
      </w:r>
      <w:r>
        <w:rPr>
          <w:rFonts w:hint="eastAsia"/>
          <w:color w:val="auto"/>
          <w:sz w:val="32"/>
          <w:szCs w:val="32"/>
          <w:highlight w:val="none"/>
          <w:lang w:eastAsia="zh-CN"/>
        </w:rPr>
        <w:t>”</w:t>
      </w:r>
      <w:r>
        <w:rPr>
          <w:rFonts w:hint="eastAsia"/>
          <w:color w:val="auto"/>
          <w:sz w:val="32"/>
          <w:szCs w:val="32"/>
          <w:highlight w:val="none"/>
          <w:lang w:val="en-US" w:eastAsia="zh-CN"/>
        </w:rPr>
        <w:t>期间</w:t>
      </w:r>
      <w:r>
        <w:rPr>
          <w:rFonts w:hint="eastAsia"/>
          <w:color w:val="auto"/>
          <w:sz w:val="32"/>
          <w:szCs w:val="32"/>
          <w:highlight w:val="none"/>
        </w:rPr>
        <w:t>，师市水生态环境质量持续改善、稳中有升。国控断面博尔塔拉河90团四连大桥水质标准均保持Ⅲ类，兵控断面阿恰勒河龙口均保持Ⅱ类，达到兵团考核标准。兵控断面精河铁路桥水质在“十四五”期间实现跨越，达到最高级别Ⅰ类水质，超过兵团考核标准。集中式饮用水水源地水质达标率100%，切实保障群众饮水安全。</w:t>
      </w:r>
      <w:r>
        <w:rPr>
          <w:rFonts w:hint="eastAsia" w:ascii="Times New Roman" w:hAnsi="Times New Roman" w:eastAsia="仿宋_GB2312" w:cs="Times New Roman"/>
          <w:b/>
          <w:bCs w:val="0"/>
          <w:color w:val="auto"/>
          <w:kern w:val="2"/>
          <w:sz w:val="32"/>
          <w:szCs w:val="32"/>
          <w:lang w:val="en-US" w:eastAsia="zh-CN" w:bidi="ar"/>
        </w:rPr>
        <w:t>加强饮用水水源保护。</w:t>
      </w:r>
      <w:r>
        <w:rPr>
          <w:rFonts w:hint="eastAsia"/>
          <w:color w:val="auto"/>
          <w:sz w:val="32"/>
          <w:szCs w:val="32"/>
        </w:rPr>
        <w:t>编制完成了《第五师双河市集中式饮用水水源地保护区划分方案及环境保护规划》，对师市1</w:t>
      </w:r>
      <w:r>
        <w:rPr>
          <w:rFonts w:hint="eastAsia"/>
          <w:color w:val="auto"/>
          <w:sz w:val="32"/>
          <w:szCs w:val="32"/>
          <w:lang w:val="en-US" w:eastAsia="zh-CN"/>
        </w:rPr>
        <w:t>2</w:t>
      </w:r>
      <w:r>
        <w:rPr>
          <w:rFonts w:hint="eastAsia"/>
          <w:color w:val="auto"/>
          <w:sz w:val="32"/>
          <w:szCs w:val="32"/>
        </w:rPr>
        <w:t>个饮用水水源地保护区进行划分。实施9个团场88处连队饮用水源地安全巩固工程，切实保障饮水安全。</w:t>
      </w:r>
      <w:r>
        <w:rPr>
          <w:rFonts w:hint="eastAsia" w:ascii="Times New Roman" w:hAnsi="Times New Roman" w:eastAsia="仿宋_GB2312" w:cs="Times New Roman"/>
          <w:b/>
          <w:bCs w:val="0"/>
          <w:color w:val="auto"/>
          <w:kern w:val="2"/>
          <w:sz w:val="32"/>
          <w:szCs w:val="32"/>
          <w:lang w:val="en-US" w:eastAsia="zh-CN" w:bidi="ar"/>
        </w:rPr>
        <w:t>加强入河排污口监管。</w:t>
      </w:r>
      <w:r>
        <w:rPr>
          <w:rFonts w:hint="eastAsia"/>
          <w:color w:val="auto"/>
          <w:sz w:val="32"/>
          <w:szCs w:val="32"/>
        </w:rPr>
        <w:t>制定印发了《第五师双河市入河湖排污口排查整治方案》，经</w:t>
      </w:r>
      <w:r>
        <w:rPr>
          <w:rFonts w:hint="eastAsia"/>
          <w:color w:val="auto"/>
          <w:sz w:val="32"/>
          <w:szCs w:val="32"/>
          <w:lang w:val="en-US" w:eastAsia="zh-CN"/>
        </w:rPr>
        <w:t>部门联合</w:t>
      </w:r>
      <w:r>
        <w:rPr>
          <w:rFonts w:hint="eastAsia"/>
          <w:color w:val="auto"/>
          <w:sz w:val="32"/>
          <w:szCs w:val="32"/>
        </w:rPr>
        <w:t>排查</w:t>
      </w:r>
      <w:r>
        <w:rPr>
          <w:rFonts w:hint="eastAsia"/>
          <w:color w:val="auto"/>
          <w:sz w:val="32"/>
          <w:szCs w:val="32"/>
          <w:lang w:val="en-US" w:eastAsia="zh-CN"/>
        </w:rPr>
        <w:t>及各团场自查，均无入河（湖）排污口</w:t>
      </w:r>
      <w:r>
        <w:rPr>
          <w:rFonts w:hint="eastAsia"/>
          <w:color w:val="auto"/>
          <w:sz w:val="32"/>
          <w:szCs w:val="32"/>
          <w:lang w:eastAsia="zh-CN"/>
        </w:rPr>
        <w:t>。</w:t>
      </w:r>
      <w:r>
        <w:rPr>
          <w:rFonts w:hint="eastAsia" w:ascii="Times New Roman" w:hAnsi="Times New Roman" w:eastAsia="仿宋_GB2312" w:cs="Times New Roman"/>
          <w:b/>
          <w:bCs w:val="0"/>
          <w:color w:val="auto"/>
          <w:kern w:val="2"/>
          <w:sz w:val="32"/>
          <w:szCs w:val="32"/>
          <w:lang w:val="en-US" w:eastAsia="zh-CN" w:bidi="ar"/>
        </w:rPr>
        <w:t>常态化开展黑臭水体排查。</w:t>
      </w:r>
      <w:r>
        <w:rPr>
          <w:rFonts w:hint="eastAsia" w:cs="Times New Roman"/>
          <w:b w:val="0"/>
          <w:bCs/>
          <w:color w:val="auto"/>
          <w:kern w:val="2"/>
          <w:sz w:val="32"/>
          <w:szCs w:val="32"/>
          <w:lang w:val="en-US" w:eastAsia="zh-CN" w:bidi="ar"/>
        </w:rPr>
        <w:t>经排查，师市</w:t>
      </w:r>
      <w:r>
        <w:rPr>
          <w:rFonts w:hint="eastAsia"/>
          <w:b w:val="0"/>
          <w:bCs/>
          <w:color w:val="auto"/>
          <w:sz w:val="32"/>
          <w:szCs w:val="32"/>
          <w:lang w:val="en-US" w:eastAsia="zh-CN"/>
        </w:rPr>
        <w:t>无黑臭水体</w:t>
      </w:r>
      <w:r>
        <w:rPr>
          <w:rFonts w:hint="eastAsia"/>
          <w:color w:val="auto"/>
          <w:sz w:val="32"/>
          <w:szCs w:val="32"/>
          <w:lang w:val="en-US" w:eastAsia="zh-CN"/>
        </w:rPr>
        <w:t>。</w:t>
      </w:r>
    </w:p>
    <w:p w14:paraId="55029D1A">
      <w:pPr>
        <w:ind w:firstLine="480"/>
        <w:rPr>
          <w:rFonts w:hint="eastAsia" w:eastAsia="仿宋_GB2312" w:cs="Times New Roman"/>
          <w:color w:val="auto"/>
          <w:sz w:val="32"/>
          <w:szCs w:val="32"/>
          <w:lang w:eastAsia="zh-CN"/>
        </w:rPr>
      </w:pPr>
      <w:r>
        <w:rPr>
          <w:rFonts w:hint="eastAsia" w:cs="Times New Roman"/>
          <w:b/>
          <w:bCs/>
          <w:color w:val="auto"/>
          <w:sz w:val="32"/>
          <w:szCs w:val="32"/>
          <w:highlight w:val="none"/>
        </w:rPr>
        <w:t>持续深入打好净土保卫战。土壤环境质量保持安全稳定。</w:t>
      </w:r>
      <w:r>
        <w:rPr>
          <w:rFonts w:hint="eastAsia" w:cs="Times New Roman"/>
          <w:b w:val="0"/>
          <w:bCs w:val="0"/>
          <w:color w:val="auto"/>
          <w:sz w:val="32"/>
          <w:szCs w:val="32"/>
          <w:highlight w:val="none"/>
          <w:lang w:eastAsia="zh-CN"/>
        </w:rPr>
        <w:t>“</w:t>
      </w:r>
      <w:r>
        <w:rPr>
          <w:rFonts w:hint="eastAsia" w:cs="Times New Roman"/>
          <w:b w:val="0"/>
          <w:bCs w:val="0"/>
          <w:color w:val="auto"/>
          <w:sz w:val="32"/>
          <w:szCs w:val="32"/>
          <w:highlight w:val="none"/>
          <w:lang w:val="en-US" w:eastAsia="zh-CN"/>
        </w:rPr>
        <w:t>十四五</w:t>
      </w:r>
      <w:r>
        <w:rPr>
          <w:rFonts w:hint="eastAsia" w:cs="Times New Roman"/>
          <w:b w:val="0"/>
          <w:bCs w:val="0"/>
          <w:color w:val="auto"/>
          <w:sz w:val="32"/>
          <w:szCs w:val="32"/>
          <w:highlight w:val="none"/>
          <w:lang w:eastAsia="zh-CN"/>
        </w:rPr>
        <w:t>”</w:t>
      </w:r>
      <w:r>
        <w:rPr>
          <w:rFonts w:hint="eastAsia" w:cs="Times New Roman"/>
          <w:b w:val="0"/>
          <w:bCs w:val="0"/>
          <w:color w:val="auto"/>
          <w:sz w:val="32"/>
          <w:szCs w:val="32"/>
          <w:highlight w:val="none"/>
          <w:lang w:val="en-US" w:eastAsia="zh-CN"/>
        </w:rPr>
        <w:t>期间</w:t>
      </w:r>
      <w:r>
        <w:rPr>
          <w:rFonts w:hint="eastAsia" w:cs="Times New Roman"/>
          <w:b w:val="0"/>
          <w:bCs w:val="0"/>
          <w:color w:val="auto"/>
          <w:sz w:val="32"/>
          <w:szCs w:val="32"/>
          <w:highlight w:val="none"/>
        </w:rPr>
        <w:t>未发现受污染耕地</w:t>
      </w:r>
      <w:r>
        <w:rPr>
          <w:rFonts w:hint="eastAsia" w:cs="Times New Roman"/>
          <w:b w:val="0"/>
          <w:bCs w:val="0"/>
          <w:color w:val="auto"/>
          <w:sz w:val="32"/>
          <w:szCs w:val="32"/>
          <w:highlight w:val="none"/>
          <w:lang w:eastAsia="zh-CN"/>
        </w:rPr>
        <w:t>，重点建设用地安全利用率100%，</w:t>
      </w:r>
      <w:r>
        <w:rPr>
          <w:rFonts w:hint="eastAsia" w:cs="Times New Roman"/>
          <w:b w:val="0"/>
          <w:bCs w:val="0"/>
          <w:color w:val="auto"/>
          <w:sz w:val="32"/>
          <w:szCs w:val="32"/>
          <w:highlight w:val="none"/>
          <w:lang w:val="en-US" w:eastAsia="zh-CN"/>
        </w:rPr>
        <w:t>农用地和建设用地土壤环境安全得到基本保障，土壤环境风险得到基本管控。</w:t>
      </w:r>
      <w:r>
        <w:rPr>
          <w:rFonts w:hint="eastAsia" w:ascii="Times New Roman" w:hAnsi="Times New Roman" w:eastAsia="仿宋_GB2312" w:cs="Times New Roman"/>
          <w:b/>
          <w:bCs w:val="0"/>
          <w:color w:val="auto"/>
          <w:kern w:val="2"/>
          <w:sz w:val="32"/>
          <w:szCs w:val="32"/>
          <w:highlight w:val="none"/>
          <w:lang w:val="en-US" w:eastAsia="zh-CN" w:bidi="ar"/>
        </w:rPr>
        <w:t>强化建设用地风险管控。</w:t>
      </w:r>
      <w:r>
        <w:rPr>
          <w:rFonts w:hint="eastAsia" w:cs="Times New Roman"/>
          <w:b w:val="0"/>
          <w:bCs/>
          <w:color w:val="auto"/>
          <w:kern w:val="2"/>
          <w:sz w:val="32"/>
          <w:szCs w:val="32"/>
          <w:highlight w:val="none"/>
          <w:lang w:val="en-US" w:eastAsia="zh-CN" w:bidi="ar"/>
        </w:rPr>
        <w:t>联合自然资源和规划局开展农用地转“一住两公”用地土壤污染状况调查，</w:t>
      </w:r>
      <w:r>
        <w:rPr>
          <w:rFonts w:hint="eastAsia" w:ascii="Times New Roman" w:hAnsi="Times New Roman" w:eastAsia="仿宋_GB2312" w:cs="Times New Roman"/>
          <w:b w:val="0"/>
          <w:bCs/>
          <w:color w:val="auto"/>
          <w:kern w:val="2"/>
          <w:sz w:val="32"/>
          <w:szCs w:val="32"/>
          <w:highlight w:val="none"/>
          <w:lang w:val="en-US" w:eastAsia="zh-CN" w:bidi="ar"/>
        </w:rPr>
        <w:t>确保重点建设用地安全利用得到有效保障</w:t>
      </w:r>
      <w:r>
        <w:rPr>
          <w:rFonts w:hint="eastAsia" w:cs="Times New Roman"/>
          <w:b w:val="0"/>
          <w:bCs/>
          <w:color w:val="auto"/>
          <w:kern w:val="2"/>
          <w:sz w:val="32"/>
          <w:szCs w:val="32"/>
          <w:highlight w:val="none"/>
          <w:lang w:val="en-US" w:eastAsia="zh-CN" w:bidi="ar"/>
        </w:rPr>
        <w:t>。</w:t>
      </w:r>
      <w:r>
        <w:rPr>
          <w:rFonts w:hint="eastAsia" w:ascii="Times New Roman" w:hAnsi="Times New Roman" w:eastAsia="仿宋_GB2312" w:cs="Times New Roman"/>
          <w:b/>
          <w:bCs w:val="0"/>
          <w:color w:val="auto"/>
          <w:kern w:val="2"/>
          <w:sz w:val="32"/>
          <w:szCs w:val="32"/>
          <w:highlight w:val="none"/>
          <w:lang w:val="en-US" w:eastAsia="zh-CN" w:bidi="ar"/>
        </w:rPr>
        <w:t>加强地下水保护。</w:t>
      </w:r>
      <w:r>
        <w:rPr>
          <w:rFonts w:hint="eastAsia" w:cs="Times New Roman"/>
          <w:b w:val="0"/>
          <w:bCs/>
          <w:color w:val="auto"/>
          <w:kern w:val="2"/>
          <w:sz w:val="32"/>
          <w:szCs w:val="32"/>
          <w:highlight w:val="none"/>
          <w:lang w:val="en-US" w:eastAsia="zh-CN" w:bidi="ar"/>
        </w:rPr>
        <w:t>印发《第五师双河市地下水污染防治实施方案》，对11个地下水型饮用水源和2个园区的地下水开展了现状调查。</w:t>
      </w:r>
      <w:r>
        <w:rPr>
          <w:rFonts w:hint="eastAsia" w:cs="Times New Roman"/>
          <w:b/>
          <w:bCs w:val="0"/>
          <w:color w:val="auto"/>
          <w:kern w:val="2"/>
          <w:sz w:val="32"/>
          <w:szCs w:val="32"/>
          <w:highlight w:val="none"/>
          <w:lang w:val="en-US" w:eastAsia="zh-CN" w:bidi="ar"/>
        </w:rPr>
        <w:t>开展</w:t>
      </w:r>
      <w:r>
        <w:rPr>
          <w:rFonts w:hint="eastAsia" w:ascii="Times New Roman" w:hAnsi="Times New Roman" w:eastAsia="仿宋_GB2312" w:cs="Times New Roman"/>
          <w:b/>
          <w:bCs w:val="0"/>
          <w:color w:val="auto"/>
          <w:kern w:val="2"/>
          <w:sz w:val="32"/>
          <w:szCs w:val="32"/>
          <w:highlight w:val="none"/>
          <w:lang w:val="en-US" w:eastAsia="zh-CN" w:bidi="ar"/>
        </w:rPr>
        <w:t>危险废物专项排查整治。</w:t>
      </w:r>
      <w:r>
        <w:rPr>
          <w:rFonts w:cs="Times New Roman"/>
          <w:color w:val="auto"/>
          <w:spacing w:val="-3"/>
          <w:sz w:val="32"/>
          <w:szCs w:val="32"/>
        </w:rPr>
        <w:t>按照《</w:t>
      </w:r>
      <w:r>
        <w:rPr>
          <w:rFonts w:hint="eastAsia" w:cs="Times New Roman"/>
          <w:color w:val="auto"/>
          <w:spacing w:val="-3"/>
          <w:sz w:val="32"/>
          <w:szCs w:val="32"/>
          <w:lang w:eastAsia="zh-CN"/>
        </w:rPr>
        <w:t>“</w:t>
      </w:r>
      <w:r>
        <w:rPr>
          <w:rFonts w:cs="Times New Roman"/>
          <w:color w:val="auto"/>
          <w:spacing w:val="-3"/>
          <w:sz w:val="32"/>
          <w:szCs w:val="32"/>
        </w:rPr>
        <w:t>十四五</w:t>
      </w:r>
      <w:r>
        <w:rPr>
          <w:rFonts w:hint="eastAsia" w:cs="Times New Roman"/>
          <w:color w:val="auto"/>
          <w:spacing w:val="-3"/>
          <w:sz w:val="32"/>
          <w:szCs w:val="32"/>
          <w:lang w:eastAsia="zh-CN"/>
        </w:rPr>
        <w:t>”</w:t>
      </w:r>
      <w:r>
        <w:rPr>
          <w:rFonts w:cs="Times New Roman"/>
          <w:color w:val="auto"/>
          <w:spacing w:val="-3"/>
          <w:sz w:val="32"/>
          <w:szCs w:val="32"/>
        </w:rPr>
        <w:t>兵团危险废物规范化管理评估工作方案》及</w:t>
      </w:r>
      <w:r>
        <w:rPr>
          <w:rFonts w:cs="Times New Roman"/>
          <w:color w:val="auto"/>
          <w:spacing w:val="-4"/>
          <w:sz w:val="32"/>
          <w:szCs w:val="32"/>
        </w:rPr>
        <w:t>印发</w:t>
      </w:r>
      <w:r>
        <w:rPr>
          <w:rFonts w:cs="Times New Roman"/>
          <w:color w:val="auto"/>
          <w:spacing w:val="-5"/>
          <w:sz w:val="32"/>
          <w:szCs w:val="32"/>
        </w:rPr>
        <w:t>《关于开展师市危险</w:t>
      </w:r>
      <w:r>
        <w:rPr>
          <w:rFonts w:cs="Times New Roman"/>
          <w:color w:val="auto"/>
          <w:spacing w:val="-3"/>
          <w:sz w:val="32"/>
          <w:szCs w:val="32"/>
        </w:rPr>
        <w:t>废物专项排查整治工作的函》，</w:t>
      </w:r>
      <w:r>
        <w:rPr>
          <w:rFonts w:cs="Times New Roman"/>
          <w:color w:val="auto"/>
          <w:spacing w:val="-4"/>
          <w:sz w:val="32"/>
          <w:szCs w:val="32"/>
        </w:rPr>
        <w:t>对危险废物产生单位进行梳理摸排，师市无重点产废单位，</w:t>
      </w:r>
      <w:r>
        <w:rPr>
          <w:rFonts w:cs="Times New Roman"/>
          <w:color w:val="auto"/>
          <w:spacing w:val="-1"/>
          <w:sz w:val="32"/>
          <w:szCs w:val="32"/>
        </w:rPr>
        <w:t>危险废物规范化管理评估</w:t>
      </w:r>
      <w:r>
        <w:rPr>
          <w:rFonts w:cs="Times New Roman"/>
          <w:color w:val="auto"/>
          <w:spacing w:val="-2"/>
          <w:sz w:val="32"/>
          <w:szCs w:val="32"/>
        </w:rPr>
        <w:t>达标率100%</w:t>
      </w:r>
      <w:r>
        <w:rPr>
          <w:rFonts w:hint="eastAsia" w:cs="Times New Roman"/>
          <w:color w:val="auto"/>
          <w:spacing w:val="-2"/>
          <w:sz w:val="32"/>
          <w:szCs w:val="32"/>
          <w:lang w:eastAsia="zh-CN"/>
        </w:rPr>
        <w:t>。深入排查危险废物产生、收集、贮存、转移、利用、处置全环节，将工业园区内2家危废企业列入重点整治清单，摸排并确定辖区内涉危企业3家、医疗类危废单位12家，经检查各涉危单位污染防治设施落实到位、管理规范，未发现违法违规行为。</w:t>
      </w:r>
    </w:p>
    <w:p w14:paraId="5B8D8A62">
      <w:pPr>
        <w:ind w:firstLine="480"/>
        <w:rPr>
          <w:rFonts w:hint="default" w:cs="Times New Roman"/>
          <w:color w:val="auto"/>
          <w:sz w:val="32"/>
          <w:szCs w:val="32"/>
          <w:lang w:val="en-US"/>
        </w:rPr>
      </w:pPr>
      <w:r>
        <w:rPr>
          <w:rFonts w:hint="eastAsia" w:cs="Times New Roman"/>
          <w:b/>
          <w:bCs/>
          <w:color w:val="auto"/>
          <w:sz w:val="32"/>
          <w:szCs w:val="32"/>
        </w:rPr>
        <w:t>持续推进美丽</w:t>
      </w:r>
      <w:r>
        <w:rPr>
          <w:rFonts w:hint="eastAsia" w:cs="Times New Roman"/>
          <w:b/>
          <w:bCs/>
          <w:color w:val="auto"/>
          <w:sz w:val="32"/>
          <w:szCs w:val="32"/>
          <w:lang w:val="en-US" w:eastAsia="zh-CN"/>
        </w:rPr>
        <w:t>连队</w:t>
      </w:r>
      <w:r>
        <w:rPr>
          <w:rFonts w:hint="eastAsia" w:cs="Times New Roman"/>
          <w:b/>
          <w:bCs/>
          <w:color w:val="auto"/>
          <w:sz w:val="32"/>
          <w:szCs w:val="32"/>
        </w:rPr>
        <w:t>建设。有序推进</w:t>
      </w:r>
      <w:r>
        <w:rPr>
          <w:rFonts w:hint="eastAsia" w:cs="Times New Roman"/>
          <w:b/>
          <w:bCs/>
          <w:color w:val="auto"/>
          <w:sz w:val="32"/>
          <w:szCs w:val="32"/>
          <w:lang w:val="en-US" w:eastAsia="zh-CN"/>
        </w:rPr>
        <w:t>连队</w:t>
      </w:r>
      <w:r>
        <w:rPr>
          <w:rFonts w:hint="eastAsia" w:cs="Times New Roman"/>
          <w:b/>
          <w:bCs/>
          <w:color w:val="auto"/>
          <w:sz w:val="32"/>
          <w:szCs w:val="32"/>
        </w:rPr>
        <w:t>生活污水治理。</w:t>
      </w:r>
      <w:r>
        <w:rPr>
          <w:rFonts w:hint="eastAsia" w:cs="Times New Roman"/>
          <w:b w:val="0"/>
          <w:bCs w:val="0"/>
          <w:color w:val="auto"/>
          <w:sz w:val="32"/>
          <w:szCs w:val="32"/>
        </w:rPr>
        <w:t>深入推进连队污水治理，121个连队中，10</w:t>
      </w:r>
      <w:r>
        <w:rPr>
          <w:rFonts w:hint="eastAsia" w:cs="Times New Roman"/>
          <w:b w:val="0"/>
          <w:bCs w:val="0"/>
          <w:color w:val="auto"/>
          <w:sz w:val="32"/>
          <w:szCs w:val="32"/>
          <w:lang w:val="en-US" w:eastAsia="zh-CN"/>
        </w:rPr>
        <w:t>3</w:t>
      </w:r>
      <w:r>
        <w:rPr>
          <w:rFonts w:hint="eastAsia" w:cs="Times New Roman"/>
          <w:b w:val="0"/>
          <w:bCs w:val="0"/>
          <w:color w:val="auto"/>
          <w:sz w:val="32"/>
          <w:szCs w:val="32"/>
        </w:rPr>
        <w:t>个连队生活污水得到有效管控，占比达到8</w:t>
      </w:r>
      <w:r>
        <w:rPr>
          <w:rFonts w:hint="eastAsia" w:cs="Times New Roman"/>
          <w:b w:val="0"/>
          <w:bCs w:val="0"/>
          <w:color w:val="auto"/>
          <w:sz w:val="32"/>
          <w:szCs w:val="32"/>
          <w:lang w:val="en-US" w:eastAsia="zh-CN"/>
        </w:rPr>
        <w:t>5.1</w:t>
      </w:r>
      <w:r>
        <w:rPr>
          <w:rFonts w:hint="eastAsia" w:cs="Times New Roman"/>
          <w:b w:val="0"/>
          <w:bCs w:val="0"/>
          <w:color w:val="auto"/>
          <w:sz w:val="32"/>
          <w:szCs w:val="32"/>
        </w:rPr>
        <w:t>%。持续推进连队黑臭水体排查整治，联合团场对121个连队黑臭水体逐一进行了排查，保障师市连队无黑臭水体。连队卫生厕所普及率从2021年84.27%提升至98.89%，连队生活污水有效管控率从2021年79.3%提升至85.1%，连队生活垃圾收运处置体系达到100%全覆盖，84团、87团完成整团建成美丽连队任务。</w:t>
      </w:r>
      <w:r>
        <w:rPr>
          <w:rFonts w:hint="eastAsia" w:cs="Times New Roman"/>
          <w:b/>
          <w:bCs/>
          <w:color w:val="auto"/>
          <w:kern w:val="2"/>
          <w:sz w:val="32"/>
          <w:szCs w:val="32"/>
          <w:lang w:val="en-US" w:eastAsia="zh-CN" w:bidi="ar"/>
        </w:rPr>
        <w:t>深入推动废弃农膜污染治理</w:t>
      </w:r>
      <w:r>
        <w:rPr>
          <w:rFonts w:hint="eastAsia" w:ascii="Times New Roman" w:hAnsi="Times New Roman" w:eastAsia="仿宋_GB2312" w:cs="Times New Roman"/>
          <w:b/>
          <w:bCs/>
          <w:color w:val="auto"/>
          <w:kern w:val="2"/>
          <w:sz w:val="32"/>
          <w:szCs w:val="32"/>
          <w:lang w:val="en-US" w:eastAsia="zh-CN" w:bidi="ar"/>
        </w:rPr>
        <w:t>。</w:t>
      </w:r>
      <w:r>
        <w:rPr>
          <w:rFonts w:hint="eastAsia" w:cs="Times New Roman"/>
          <w:b w:val="0"/>
          <w:bCs w:val="0"/>
          <w:color w:val="auto"/>
          <w:kern w:val="2"/>
          <w:sz w:val="32"/>
          <w:szCs w:val="32"/>
          <w:lang w:val="en-US" w:eastAsia="zh-CN" w:bidi="ar"/>
        </w:rPr>
        <w:t>开展土样残膜现场采集，为兵团农田残膜污染治理工作提供了基础数据。形成了师市统筹、团场主体、上下联动的工作机制，切实做好废弃农膜综合治理工作。</w:t>
      </w:r>
    </w:p>
    <w:bookmarkEnd w:id="7"/>
    <w:p w14:paraId="50C86FA1">
      <w:pPr>
        <w:pStyle w:val="4"/>
        <w:bidi w:val="0"/>
        <w:rPr>
          <w:color w:val="auto"/>
        </w:rPr>
      </w:pPr>
      <w:bookmarkStart w:id="8" w:name="_Toc15841"/>
      <w:r>
        <w:rPr>
          <w:rFonts w:hint="eastAsia"/>
          <w:color w:val="auto"/>
          <w:lang w:val="en-US" w:eastAsia="zh-CN"/>
        </w:rPr>
        <w:t>系统推进生态修复，筑牢生态安全屏障</w:t>
      </w:r>
      <w:bookmarkEnd w:id="8"/>
    </w:p>
    <w:p w14:paraId="6C5FC4DE">
      <w:pPr>
        <w:ind w:firstLine="480"/>
        <w:rPr>
          <w:rFonts w:hint="eastAsia" w:ascii="Times New Roman" w:hAnsi="Times New Roman" w:eastAsia="仿宋_GB2312" w:cs="Times New Roman"/>
          <w:b/>
          <w:bCs w:val="0"/>
          <w:color w:val="auto"/>
          <w:kern w:val="2"/>
          <w:sz w:val="32"/>
          <w:szCs w:val="32"/>
          <w:lang w:val="en-US" w:eastAsia="zh-CN" w:bidi="ar"/>
        </w:rPr>
      </w:pPr>
      <w:r>
        <w:rPr>
          <w:rFonts w:hint="eastAsia" w:ascii="Times New Roman" w:hAnsi="Times New Roman" w:eastAsia="仿宋_GB2312" w:cs="Times New Roman"/>
          <w:b/>
          <w:bCs w:val="0"/>
          <w:color w:val="auto"/>
          <w:kern w:val="2"/>
          <w:sz w:val="32"/>
          <w:szCs w:val="32"/>
          <w:lang w:val="en-US" w:eastAsia="zh-CN" w:bidi="ar"/>
        </w:rPr>
        <w:t>加强生态环境分区管控。</w:t>
      </w:r>
      <w:r>
        <w:rPr>
          <w:rFonts w:hint="eastAsia" w:cs="Times New Roman"/>
          <w:b w:val="0"/>
          <w:bCs/>
          <w:color w:val="auto"/>
          <w:kern w:val="2"/>
          <w:sz w:val="32"/>
          <w:szCs w:val="32"/>
          <w:lang w:val="en-US" w:eastAsia="zh-CN" w:bidi="ar"/>
        </w:rPr>
        <w:t>构建并完成了“三线一单”生态环境分区管控体系，把师市国土空间按优先保护、重点管控、一般管控三大类划分为51个综合环境管控单元。</w:t>
      </w:r>
      <w:r>
        <w:rPr>
          <w:rFonts w:hint="eastAsia" w:cs="Times New Roman"/>
          <w:b/>
          <w:bCs w:val="0"/>
          <w:color w:val="auto"/>
          <w:kern w:val="2"/>
          <w:sz w:val="32"/>
          <w:szCs w:val="32"/>
          <w:lang w:val="en-US" w:eastAsia="zh-CN" w:bidi="ar"/>
        </w:rPr>
        <w:t>推进生态保护与修复。</w:t>
      </w:r>
      <w:r>
        <w:rPr>
          <w:rFonts w:hint="eastAsia" w:ascii="Times New Roman" w:hAnsi="Times New Roman" w:eastAsia="仿宋_GB2312" w:cs="Times New Roman"/>
          <w:b w:val="0"/>
          <w:bCs/>
          <w:color w:val="auto"/>
          <w:kern w:val="2"/>
          <w:sz w:val="32"/>
          <w:szCs w:val="32"/>
          <w:lang w:val="en-US" w:eastAsia="zh-CN" w:bidi="ar"/>
        </w:rPr>
        <w:t>通过巩固拓展防沙治沙成果，提升区域生态质量，区域森林覆盖率连续5年稳步提升，累计增绿38万亩，沙区林草植被保护、水土流失遏制成效显著。</w:t>
      </w:r>
    </w:p>
    <w:p w14:paraId="5027583C">
      <w:pPr>
        <w:ind w:firstLine="480"/>
        <w:rPr>
          <w:rFonts w:hint="eastAsia" w:ascii="Times New Roman" w:hAnsi="Times New Roman" w:eastAsia="仿宋_GB2312" w:cs="Times New Roman"/>
          <w:color w:val="auto"/>
          <w:kern w:val="2"/>
          <w:sz w:val="30"/>
          <w:szCs w:val="22"/>
          <w:lang w:val="en-US" w:eastAsia="zh-CN" w:bidi="ar"/>
        </w:rPr>
      </w:pPr>
      <w:r>
        <w:rPr>
          <w:rFonts w:hint="eastAsia" w:cs="Times New Roman"/>
          <w:b/>
          <w:bCs w:val="0"/>
          <w:color w:val="auto"/>
          <w:kern w:val="2"/>
          <w:sz w:val="32"/>
          <w:szCs w:val="32"/>
          <w:lang w:val="en-US" w:eastAsia="zh-CN" w:bidi="ar"/>
        </w:rPr>
        <w:t>强化林草资源保护管理</w:t>
      </w:r>
      <w:r>
        <w:rPr>
          <w:rFonts w:hint="eastAsia"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b/>
          <w:bCs w:val="0"/>
          <w:color w:val="auto"/>
          <w:kern w:val="2"/>
          <w:sz w:val="32"/>
          <w:szCs w:val="32"/>
          <w:lang w:val="en-US" w:eastAsia="zh-CN" w:bidi="ar"/>
        </w:rPr>
        <w:t>推进</w:t>
      </w:r>
      <w:r>
        <w:rPr>
          <w:rFonts w:hint="eastAsia" w:cs="Times New Roman"/>
          <w:b/>
          <w:bCs w:val="0"/>
          <w:color w:val="auto"/>
          <w:kern w:val="2"/>
          <w:sz w:val="32"/>
          <w:szCs w:val="32"/>
          <w:lang w:val="en-US" w:eastAsia="zh-CN" w:bidi="ar"/>
        </w:rPr>
        <w:t>林草资源保护修复</w:t>
      </w:r>
      <w:r>
        <w:rPr>
          <w:rFonts w:hint="eastAsia" w:ascii="Times New Roman" w:hAnsi="Times New Roman" w:eastAsia="仿宋_GB2312" w:cs="Times New Roman"/>
          <w:color w:val="auto"/>
          <w:kern w:val="2"/>
          <w:sz w:val="32"/>
          <w:szCs w:val="32"/>
          <w:lang w:val="en-US" w:eastAsia="zh-CN" w:bidi="ar"/>
        </w:rPr>
        <w:t>。先后制定</w:t>
      </w:r>
      <w:r>
        <w:rPr>
          <w:rFonts w:hint="eastAsia"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防沙治沙与生态修复中长期规划</w:t>
      </w:r>
      <w:r>
        <w:rPr>
          <w:rFonts w:hint="eastAsia"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2021—2035</w:t>
      </w:r>
      <w:r>
        <w:rPr>
          <w:rFonts w:hint="eastAsia"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》《第五师双河市人工防护林管理办法（试行）》</w:t>
      </w:r>
      <w:r>
        <w:rPr>
          <w:rFonts w:hint="eastAsia" w:cs="Times New Roman"/>
          <w:b w:val="0"/>
          <w:bCs w:val="0"/>
          <w:color w:val="auto"/>
          <w:kern w:val="2"/>
          <w:sz w:val="32"/>
          <w:szCs w:val="32"/>
          <w:lang w:val="en-US" w:eastAsia="zh-CN" w:bidi="ar"/>
        </w:rPr>
        <w:t>，</w:t>
      </w:r>
      <w:r>
        <w:rPr>
          <w:rFonts w:hint="eastAsia" w:ascii="Times New Roman" w:hAnsi="Times New Roman" w:eastAsia="仿宋_GB2312" w:cs="Times New Roman"/>
          <w:b w:val="0"/>
          <w:bCs w:val="0"/>
          <w:color w:val="auto"/>
          <w:kern w:val="2"/>
          <w:sz w:val="32"/>
          <w:szCs w:val="32"/>
          <w:lang w:val="en-US" w:eastAsia="zh-CN" w:bidi="ar"/>
        </w:rPr>
        <w:t>加大</w:t>
      </w:r>
      <w:r>
        <w:rPr>
          <w:rFonts w:hint="eastAsia" w:cs="Times New Roman"/>
          <w:b w:val="0"/>
          <w:bCs w:val="0"/>
          <w:color w:val="auto"/>
          <w:kern w:val="2"/>
          <w:sz w:val="32"/>
          <w:szCs w:val="32"/>
          <w:lang w:val="en-US" w:eastAsia="zh-CN" w:bidi="ar"/>
        </w:rPr>
        <w:t>林草</w:t>
      </w:r>
      <w:r>
        <w:rPr>
          <w:rFonts w:hint="eastAsia" w:ascii="Times New Roman" w:hAnsi="Times New Roman" w:eastAsia="仿宋_GB2312" w:cs="Times New Roman"/>
          <w:b w:val="0"/>
          <w:bCs w:val="0"/>
          <w:color w:val="auto"/>
          <w:kern w:val="2"/>
          <w:sz w:val="32"/>
          <w:szCs w:val="32"/>
          <w:lang w:val="en-US" w:eastAsia="zh-CN" w:bidi="ar"/>
        </w:rPr>
        <w:t>资源保护管理力度。</w:t>
      </w:r>
      <w:r>
        <w:rPr>
          <w:rFonts w:hint="eastAsia"/>
          <w:b/>
          <w:bCs/>
          <w:color w:val="auto"/>
          <w:sz w:val="32"/>
          <w:szCs w:val="32"/>
        </w:rPr>
        <w:t>落实生态环境损害赔偿制度</w:t>
      </w:r>
      <w:r>
        <w:rPr>
          <w:rFonts w:hint="eastAsia"/>
          <w:color w:val="auto"/>
          <w:sz w:val="32"/>
          <w:szCs w:val="32"/>
          <w:lang w:eastAsia="zh-CN"/>
        </w:rPr>
        <w:t>。</w:t>
      </w:r>
      <w:r>
        <w:rPr>
          <w:rFonts w:hint="eastAsia"/>
          <w:color w:val="auto"/>
          <w:sz w:val="32"/>
          <w:szCs w:val="32"/>
        </w:rPr>
        <w:t>组织师市生态环境损害赔偿制度改革领导小组成员单位定期筛查案件线索，</w:t>
      </w:r>
      <w:r>
        <w:rPr>
          <w:color w:val="auto"/>
          <w:sz w:val="32"/>
          <w:szCs w:val="32"/>
        </w:rPr>
        <w:t>加强司法联动</w:t>
      </w:r>
      <w:r>
        <w:rPr>
          <w:rFonts w:hint="eastAsia"/>
          <w:color w:val="auto"/>
          <w:sz w:val="32"/>
          <w:szCs w:val="32"/>
        </w:rPr>
        <w:t>，有效推动了“环境有价、损害担责”理念落地。</w:t>
      </w:r>
      <w:r>
        <w:rPr>
          <w:rFonts w:hint="eastAsia" w:ascii="Times New Roman" w:hAnsi="Times New Roman" w:eastAsia="仿宋_GB2312" w:cs="Times New Roman"/>
          <w:b/>
          <w:bCs w:val="0"/>
          <w:color w:val="auto"/>
          <w:kern w:val="2"/>
          <w:sz w:val="32"/>
          <w:szCs w:val="32"/>
          <w:lang w:val="en-US" w:eastAsia="zh-CN" w:bidi="ar"/>
        </w:rPr>
        <w:t>加强自然保护地监管。</w:t>
      </w:r>
      <w:r>
        <w:rPr>
          <w:rFonts w:hint="eastAsia"/>
          <w:color w:val="auto"/>
          <w:sz w:val="32"/>
          <w:szCs w:val="32"/>
          <w:highlight w:val="none"/>
        </w:rPr>
        <w:t>按照</w:t>
      </w:r>
      <w:r>
        <w:rPr>
          <w:rFonts w:hint="eastAsia"/>
          <w:color w:val="auto"/>
          <w:sz w:val="32"/>
          <w:szCs w:val="32"/>
          <w:highlight w:val="none"/>
          <w:lang w:val="en-US" w:eastAsia="zh-CN"/>
        </w:rPr>
        <w:t>历年</w:t>
      </w:r>
      <w:r>
        <w:rPr>
          <w:rFonts w:hint="eastAsia"/>
          <w:color w:val="auto"/>
          <w:sz w:val="32"/>
          <w:szCs w:val="32"/>
          <w:highlight w:val="none"/>
        </w:rPr>
        <w:t>自然保护地强化监督工作方案要求，持续开展“绿盾”自然保护地强化监督工作</w:t>
      </w:r>
      <w:r>
        <w:rPr>
          <w:rFonts w:hint="eastAsia"/>
          <w:color w:val="auto"/>
          <w:sz w:val="32"/>
          <w:szCs w:val="32"/>
          <w:lang w:val="en-US" w:eastAsia="zh-CN"/>
        </w:rPr>
        <w:t>，加强自然保护地范围历史遗留矿山的修复</w:t>
      </w:r>
      <w:r>
        <w:rPr>
          <w:rFonts w:hint="eastAsia"/>
          <w:color w:val="auto"/>
          <w:sz w:val="32"/>
          <w:szCs w:val="32"/>
          <w:highlight w:val="none"/>
          <w:lang w:eastAsia="zh-CN"/>
        </w:rPr>
        <w:t>，</w:t>
      </w:r>
      <w:r>
        <w:rPr>
          <w:rFonts w:hint="eastAsia"/>
          <w:color w:val="auto"/>
          <w:sz w:val="32"/>
          <w:szCs w:val="32"/>
          <w:highlight w:val="none"/>
          <w:lang w:val="en-US" w:eastAsia="zh-CN"/>
        </w:rPr>
        <w:t>不断推进</w:t>
      </w:r>
      <w:r>
        <w:rPr>
          <w:rFonts w:hint="eastAsia"/>
          <w:color w:val="auto"/>
          <w:sz w:val="32"/>
          <w:szCs w:val="32"/>
          <w:lang w:val="en-US" w:eastAsia="zh-CN"/>
        </w:rPr>
        <w:t>自然保护地整合优化，有序进行保护景区开发建设</w:t>
      </w:r>
      <w:r>
        <w:rPr>
          <w:rFonts w:hint="eastAsia"/>
          <w:color w:val="auto"/>
          <w:sz w:val="32"/>
          <w:szCs w:val="32"/>
          <w:highlight w:val="none"/>
        </w:rPr>
        <w:t>。</w:t>
      </w:r>
    </w:p>
    <w:p w14:paraId="166C0F6C">
      <w:pPr>
        <w:pStyle w:val="4"/>
        <w:bidi w:val="0"/>
        <w:rPr>
          <w:color w:val="auto"/>
        </w:rPr>
      </w:pPr>
      <w:bookmarkStart w:id="9" w:name="_Toc1414"/>
      <w:r>
        <w:rPr>
          <w:rFonts w:hint="eastAsia"/>
          <w:color w:val="auto"/>
          <w:lang w:val="en-US" w:eastAsia="zh-CN"/>
        </w:rPr>
        <w:t>坚持“双碳”引领</w:t>
      </w:r>
      <w:r>
        <w:rPr>
          <w:rFonts w:hint="eastAsia"/>
          <w:color w:val="auto"/>
        </w:rPr>
        <w:t>，</w:t>
      </w:r>
      <w:r>
        <w:rPr>
          <w:rFonts w:hint="eastAsia"/>
          <w:color w:val="auto"/>
          <w:lang w:val="en-US" w:eastAsia="zh-CN"/>
        </w:rPr>
        <w:t>推动绿色低碳发展</w:t>
      </w:r>
      <w:bookmarkEnd w:id="9"/>
    </w:p>
    <w:p w14:paraId="54154B7B">
      <w:pPr>
        <w:bidi w:val="0"/>
        <w:rPr>
          <w:rFonts w:hint="default" w:eastAsia="仿宋_GB2312"/>
          <w:color w:val="auto"/>
          <w:sz w:val="32"/>
          <w:szCs w:val="32"/>
          <w:lang w:val="en-US" w:eastAsia="zh-CN"/>
        </w:rPr>
      </w:pPr>
      <w:r>
        <w:rPr>
          <w:rFonts w:hint="eastAsia" w:ascii="Times New Roman" w:hAnsi="Times New Roman" w:eastAsia="仿宋_GB2312" w:cs="Times New Roman"/>
          <w:b/>
          <w:bCs w:val="0"/>
          <w:color w:val="auto"/>
          <w:kern w:val="2"/>
          <w:sz w:val="32"/>
          <w:szCs w:val="32"/>
          <w:lang w:val="en-US" w:eastAsia="zh-CN" w:bidi="ar"/>
        </w:rPr>
        <w:t>推动产业绿色转型。</w:t>
      </w:r>
      <w:r>
        <w:rPr>
          <w:rFonts w:hint="eastAsia" w:cs="Times New Roman"/>
          <w:b/>
          <w:bCs w:val="0"/>
          <w:color w:val="auto"/>
          <w:kern w:val="2"/>
          <w:sz w:val="32"/>
          <w:szCs w:val="32"/>
          <w:lang w:val="en-US" w:eastAsia="zh-CN" w:bidi="ar"/>
        </w:rPr>
        <w:t>推动产业结构优化升级</w:t>
      </w:r>
      <w:r>
        <w:rPr>
          <w:rFonts w:hint="eastAsia" w:ascii="Times New Roman" w:hAnsi="Times New Roman" w:eastAsia="仿宋_GB2312" w:cs="Times New Roman"/>
          <w:b/>
          <w:bCs w:val="0"/>
          <w:color w:val="auto"/>
          <w:kern w:val="2"/>
          <w:sz w:val="32"/>
          <w:szCs w:val="32"/>
          <w:lang w:val="en-US" w:eastAsia="zh-CN" w:bidi="ar"/>
        </w:rPr>
        <w:t>。</w:t>
      </w:r>
      <w:r>
        <w:rPr>
          <w:rFonts w:hint="eastAsia"/>
          <w:color w:val="auto"/>
          <w:sz w:val="32"/>
          <w:szCs w:val="32"/>
          <w:lang w:val="en-US" w:eastAsia="zh-CN"/>
        </w:rPr>
        <w:t>鼓励企业使用清洁能源和高效节能技术，提高资源利用效率，严把“两高一低”项目环境准入关，依据《国家污染防治技术指导目录（2025年）》要求，加快淘汰落后产能，严禁限制类产能落地</w:t>
      </w:r>
      <w:r>
        <w:rPr>
          <w:rFonts w:hint="eastAsia"/>
          <w:color w:val="auto"/>
          <w:sz w:val="32"/>
          <w:szCs w:val="32"/>
        </w:rPr>
        <w:t>。</w:t>
      </w:r>
      <w:r>
        <w:rPr>
          <w:rFonts w:hint="eastAsia" w:cs="Times New Roman"/>
          <w:b/>
          <w:bCs w:val="0"/>
          <w:color w:val="auto"/>
          <w:kern w:val="2"/>
          <w:sz w:val="32"/>
          <w:szCs w:val="32"/>
          <w:lang w:val="en-US" w:eastAsia="zh-CN" w:bidi="ar"/>
        </w:rPr>
        <w:t>加强工业源管理</w:t>
      </w:r>
      <w:r>
        <w:rPr>
          <w:rFonts w:hint="eastAsia" w:ascii="Times New Roman" w:hAnsi="Times New Roman" w:eastAsia="仿宋_GB2312" w:cs="Times New Roman"/>
          <w:b/>
          <w:bCs w:val="0"/>
          <w:color w:val="auto"/>
          <w:kern w:val="2"/>
          <w:sz w:val="32"/>
          <w:szCs w:val="32"/>
          <w:lang w:val="en-US" w:eastAsia="zh-CN" w:bidi="ar"/>
        </w:rPr>
        <w:t>。</w:t>
      </w:r>
      <w:r>
        <w:rPr>
          <w:rFonts w:hint="eastAsia"/>
          <w:color w:val="auto"/>
          <w:sz w:val="32"/>
          <w:szCs w:val="32"/>
          <w:lang w:val="en-US" w:eastAsia="zh-CN"/>
        </w:rPr>
        <w:t>推动重点行业和企业实施清洁生产审核，减少污染物排放</w:t>
      </w:r>
      <w:r>
        <w:rPr>
          <w:rFonts w:hint="eastAsia"/>
          <w:color w:val="auto"/>
          <w:sz w:val="32"/>
          <w:szCs w:val="32"/>
        </w:rPr>
        <w:t>。</w:t>
      </w:r>
      <w:r>
        <w:rPr>
          <w:rFonts w:hint="eastAsia"/>
          <w:color w:val="auto"/>
          <w:sz w:val="32"/>
          <w:szCs w:val="32"/>
          <w:lang w:val="en-US" w:eastAsia="zh-CN"/>
        </w:rPr>
        <w:t>加大执法监管力度。</w:t>
      </w:r>
    </w:p>
    <w:p w14:paraId="7AA2C27C">
      <w:pPr>
        <w:bidi w:val="0"/>
        <w:rPr>
          <w:rFonts w:hint="default"/>
          <w:color w:val="auto"/>
          <w:lang w:val="en-US"/>
        </w:rPr>
      </w:pPr>
      <w:r>
        <w:rPr>
          <w:rFonts w:hint="eastAsia" w:ascii="Times New Roman" w:hAnsi="Times New Roman" w:eastAsia="仿宋_GB2312" w:cs="Times New Roman"/>
          <w:b/>
          <w:bCs w:val="0"/>
          <w:color w:val="auto"/>
          <w:kern w:val="2"/>
          <w:sz w:val="32"/>
          <w:szCs w:val="32"/>
          <w:lang w:val="en-US" w:eastAsia="zh-CN" w:bidi="ar"/>
        </w:rPr>
        <w:t>积极应对气候变化。深入推进碳达峰碳中和行动。</w:t>
      </w:r>
      <w:r>
        <w:rPr>
          <w:rFonts w:hint="eastAsia" w:cs="Times New Roman"/>
          <w:b w:val="0"/>
          <w:bCs/>
          <w:color w:val="auto"/>
          <w:kern w:val="2"/>
          <w:sz w:val="32"/>
          <w:szCs w:val="32"/>
          <w:lang w:val="en-US" w:eastAsia="zh-CN" w:bidi="ar"/>
        </w:rPr>
        <w:t>完成师市温室气体排放清单的编制及两家重点企业温室气体排放核查。将楚星能源发展有限公司、新疆普耀新型建材有限公司纳入全国碳交易市场管理，督促楚星能源发展有限公司按年度完成碳排放配额的确认及清缴履约工作。</w:t>
      </w:r>
    </w:p>
    <w:p w14:paraId="2B781264">
      <w:pPr>
        <w:pStyle w:val="4"/>
        <w:bidi w:val="0"/>
        <w:rPr>
          <w:color w:val="auto"/>
        </w:rPr>
      </w:pPr>
      <w:bookmarkStart w:id="10" w:name="_Toc12795"/>
      <w:r>
        <w:rPr>
          <w:rFonts w:hint="eastAsia"/>
          <w:color w:val="auto"/>
          <w:lang w:val="en-US" w:eastAsia="zh-CN"/>
        </w:rPr>
        <w:t>强化风险防控能力，严守环境安全底线</w:t>
      </w:r>
      <w:bookmarkEnd w:id="10"/>
    </w:p>
    <w:p w14:paraId="6B9BEE4C">
      <w:pPr>
        <w:bidi w:val="0"/>
        <w:rPr>
          <w:rFonts w:hint="default" w:ascii="Times New Roman" w:hAnsi="Times New Roman" w:eastAsia="仿宋_GB2312" w:cs="Times New Roman"/>
          <w:b/>
          <w:bCs w:val="0"/>
          <w:color w:val="auto"/>
          <w:kern w:val="2"/>
          <w:sz w:val="32"/>
          <w:szCs w:val="32"/>
          <w:lang w:val="en-US" w:eastAsia="zh-CN" w:bidi="ar"/>
        </w:rPr>
      </w:pPr>
      <w:r>
        <w:rPr>
          <w:rFonts w:hint="eastAsia" w:ascii="Times New Roman" w:hAnsi="Times New Roman" w:eastAsia="仿宋_GB2312" w:cs="Times New Roman"/>
          <w:b/>
          <w:bCs w:val="0"/>
          <w:color w:val="auto"/>
          <w:kern w:val="2"/>
          <w:sz w:val="32"/>
          <w:szCs w:val="32"/>
          <w:lang w:val="en-US" w:eastAsia="zh-CN" w:bidi="ar"/>
        </w:rPr>
        <w:t>环境监测监控网络建设。</w:t>
      </w:r>
      <w:r>
        <w:rPr>
          <w:rFonts w:hint="eastAsia" w:cs="Times New Roman"/>
          <w:b/>
          <w:bCs w:val="0"/>
          <w:color w:val="auto"/>
          <w:kern w:val="2"/>
          <w:sz w:val="32"/>
          <w:szCs w:val="32"/>
          <w:lang w:val="en-US" w:eastAsia="zh-CN" w:bidi="ar"/>
        </w:rPr>
        <w:t>高质量构建以自动监测为主的</w:t>
      </w:r>
      <w:r>
        <w:rPr>
          <w:rFonts w:hint="eastAsia" w:ascii="Times New Roman" w:hAnsi="Times New Roman" w:eastAsia="仿宋_GB2312" w:cs="Times New Roman"/>
          <w:b/>
          <w:bCs w:val="0"/>
          <w:color w:val="auto"/>
          <w:kern w:val="2"/>
          <w:sz w:val="32"/>
          <w:szCs w:val="32"/>
          <w:lang w:val="en-US" w:eastAsia="zh-CN" w:bidi="ar"/>
        </w:rPr>
        <w:t>环境</w:t>
      </w:r>
      <w:r>
        <w:rPr>
          <w:rFonts w:hint="eastAsia" w:cs="Times New Roman"/>
          <w:b/>
          <w:bCs w:val="0"/>
          <w:color w:val="auto"/>
          <w:kern w:val="2"/>
          <w:sz w:val="32"/>
          <w:szCs w:val="32"/>
          <w:lang w:val="en-US" w:eastAsia="zh-CN" w:bidi="ar"/>
        </w:rPr>
        <w:t>监测</w:t>
      </w:r>
      <w:r>
        <w:rPr>
          <w:rFonts w:hint="eastAsia" w:ascii="Times New Roman" w:hAnsi="Times New Roman" w:eastAsia="仿宋_GB2312" w:cs="Times New Roman"/>
          <w:b/>
          <w:bCs w:val="0"/>
          <w:color w:val="auto"/>
          <w:kern w:val="2"/>
          <w:sz w:val="32"/>
          <w:szCs w:val="32"/>
          <w:lang w:val="en-US" w:eastAsia="zh-CN" w:bidi="ar"/>
        </w:rPr>
        <w:t>网络</w:t>
      </w:r>
      <w:r>
        <w:rPr>
          <w:rFonts w:hint="eastAsia" w:cs="Times New Roman"/>
          <w:b/>
          <w:bCs w:val="0"/>
          <w:color w:val="auto"/>
          <w:kern w:val="2"/>
          <w:sz w:val="32"/>
          <w:szCs w:val="32"/>
          <w:lang w:val="en-US" w:eastAsia="zh-CN" w:bidi="ar"/>
        </w:rPr>
        <w:t>体系</w:t>
      </w:r>
      <w:r>
        <w:rPr>
          <w:rFonts w:hint="eastAsia" w:ascii="Times New Roman" w:hAnsi="Times New Roman" w:eastAsia="仿宋_GB2312" w:cs="Times New Roman"/>
          <w:b/>
          <w:bCs w:val="0"/>
          <w:color w:val="auto"/>
          <w:kern w:val="2"/>
          <w:sz w:val="32"/>
          <w:szCs w:val="32"/>
          <w:lang w:val="en-US" w:eastAsia="zh-CN" w:bidi="ar"/>
        </w:rPr>
        <w:t>。</w:t>
      </w:r>
      <w:r>
        <w:rPr>
          <w:rFonts w:hint="eastAsia" w:cs="Times New Roman"/>
          <w:b w:val="0"/>
          <w:bCs/>
          <w:color w:val="auto"/>
          <w:kern w:val="2"/>
          <w:sz w:val="32"/>
          <w:szCs w:val="32"/>
          <w:lang w:val="en-US" w:eastAsia="zh-CN" w:bidi="ar"/>
        </w:rPr>
        <w:t>新建10个微型空气质量监测站，1个环境空气自动监测站，优化了现有网络布局，实现师市环境空气质量网格化实时监测。新建7个声环境自动站，进一步强化噪声管控，实现了师市声环境质量自动监测。</w:t>
      </w:r>
      <w:r>
        <w:rPr>
          <w:rFonts w:hint="eastAsia" w:cs="Times New Roman"/>
          <w:b/>
          <w:bCs w:val="0"/>
          <w:color w:val="auto"/>
          <w:kern w:val="2"/>
          <w:sz w:val="32"/>
          <w:szCs w:val="32"/>
          <w:lang w:val="en-US" w:eastAsia="zh-CN" w:bidi="ar"/>
        </w:rPr>
        <w:t>强化生态环境监测监督管理</w:t>
      </w:r>
      <w:r>
        <w:rPr>
          <w:rFonts w:hint="eastAsia" w:cs="Times New Roman"/>
          <w:b w:val="0"/>
          <w:bCs/>
          <w:color w:val="auto"/>
          <w:kern w:val="2"/>
          <w:sz w:val="32"/>
          <w:szCs w:val="32"/>
          <w:lang w:val="en-US" w:eastAsia="zh-CN" w:bidi="ar"/>
        </w:rPr>
        <w:t>。利用重点排污单位自动监控与基础数据库系统平台，对师市21家排污企业26个排口进行实时监控，2023年重点排污单位自动监测数据即时传输率91.14%，补全传输率98.31%。2025年重点排污单位自动监测数据即时传输率98.84%，补全传输率98.94%。即时传输率提高7.7个百分点，补全传输率提高0.63个百分点。</w:t>
      </w:r>
      <w:r>
        <w:rPr>
          <w:rFonts w:hint="eastAsia" w:cs="Times New Roman"/>
          <w:b/>
          <w:bCs w:val="0"/>
          <w:color w:val="auto"/>
          <w:kern w:val="2"/>
          <w:sz w:val="32"/>
          <w:szCs w:val="32"/>
          <w:lang w:val="en-US" w:eastAsia="zh-CN" w:bidi="ar"/>
        </w:rPr>
        <w:t>坚持监测数据先行。</w:t>
      </w:r>
      <w:r>
        <w:rPr>
          <w:rFonts w:hint="eastAsia" w:cs="Times New Roman"/>
          <w:b w:val="0"/>
          <w:bCs/>
          <w:color w:val="auto"/>
          <w:kern w:val="2"/>
          <w:sz w:val="32"/>
          <w:szCs w:val="32"/>
          <w:lang w:val="en-US" w:eastAsia="zh-CN" w:bidi="ar"/>
        </w:rPr>
        <w:t>通过“数据可视化－问题定位－精准治理”的闭环，开展污染源、噪声、饮用水水源地等监测，发挥生态环境保护“眼睛”的作用。</w:t>
      </w:r>
    </w:p>
    <w:p w14:paraId="0E37353C">
      <w:pPr>
        <w:bidi w:val="0"/>
        <w:rPr>
          <w:rFonts w:hint="eastAsia" w:ascii="Times New Roman" w:hAnsi="Times New Roman" w:eastAsia="仿宋_GB2312" w:cs="Times New Roman"/>
          <w:b/>
          <w:bCs w:val="0"/>
          <w:color w:val="auto"/>
          <w:kern w:val="2"/>
          <w:sz w:val="30"/>
          <w:szCs w:val="22"/>
          <w:lang w:val="en-US" w:eastAsia="zh-CN" w:bidi="ar"/>
        </w:rPr>
      </w:pPr>
      <w:r>
        <w:rPr>
          <w:rFonts w:hint="eastAsia" w:ascii="Times New Roman" w:hAnsi="Times New Roman" w:eastAsia="仿宋_GB2312" w:cs="Times New Roman"/>
          <w:b/>
          <w:bCs/>
          <w:color w:val="auto"/>
          <w:kern w:val="2"/>
          <w:sz w:val="32"/>
          <w:szCs w:val="32"/>
          <w:lang w:val="en-US" w:eastAsia="zh-CN" w:bidi="ar"/>
        </w:rPr>
        <w:t>环境应急管理体系建设。完善环境应急预案</w:t>
      </w:r>
      <w:r>
        <w:rPr>
          <w:rFonts w:hint="eastAsia" w:ascii="Times New Roman" w:hAnsi="Times New Roman" w:eastAsia="仿宋_GB2312" w:cs="Times New Roman"/>
          <w:color w:val="auto"/>
          <w:kern w:val="2"/>
          <w:sz w:val="32"/>
          <w:szCs w:val="32"/>
          <w:lang w:val="en-US" w:eastAsia="zh-CN" w:bidi="ar"/>
        </w:rPr>
        <w:t>。</w:t>
      </w:r>
      <w:r>
        <w:rPr>
          <w:rFonts w:hint="eastAsia"/>
          <w:color w:val="auto"/>
          <w:sz w:val="32"/>
          <w:szCs w:val="32"/>
        </w:rPr>
        <w:t>修订完善《第五师双河市重污染天气应急预案》，建立涉气企业分级分类管控体系，将</w:t>
      </w:r>
      <w:r>
        <w:rPr>
          <w:rFonts w:hint="eastAsia"/>
          <w:color w:val="auto"/>
          <w:sz w:val="32"/>
          <w:szCs w:val="32"/>
          <w:lang w:val="en-US" w:eastAsia="zh-CN"/>
        </w:rPr>
        <w:t>43</w:t>
      </w:r>
      <w:r>
        <w:rPr>
          <w:rFonts w:hint="eastAsia"/>
          <w:color w:val="auto"/>
          <w:sz w:val="32"/>
          <w:szCs w:val="32"/>
        </w:rPr>
        <w:t>家企业纳入应急减排清单，指导家重点企业制定“一企一策”深度治理方案。</w:t>
      </w:r>
      <w:r>
        <w:rPr>
          <w:rFonts w:hint="eastAsia" w:ascii="Times New Roman" w:hAnsi="Times New Roman" w:eastAsia="仿宋_GB2312" w:cs="Times New Roman"/>
          <w:b/>
          <w:bCs w:val="0"/>
          <w:color w:val="auto"/>
          <w:kern w:val="2"/>
          <w:sz w:val="32"/>
          <w:szCs w:val="32"/>
          <w:lang w:val="en-US" w:eastAsia="zh-CN" w:bidi="ar"/>
        </w:rPr>
        <w:t>环境风险隐患排查整治。</w:t>
      </w:r>
      <w:r>
        <w:rPr>
          <w:rFonts w:hint="eastAsia"/>
          <w:color w:val="auto"/>
          <w:sz w:val="32"/>
          <w:szCs w:val="32"/>
        </w:rPr>
        <w:t>充分发挥兵团风险防控与应急管理平台“一张图”的功能，在“兵团风险防控与应急管理平台”录入101家风险源企业信息，录入率100%。</w:t>
      </w:r>
    </w:p>
    <w:p w14:paraId="646200FB">
      <w:pPr>
        <w:pStyle w:val="3"/>
        <w:bidi w:val="0"/>
        <w:ind w:left="0" w:leftChars="0" w:firstLine="0" w:firstLineChars="0"/>
        <w:rPr>
          <w:color w:val="auto"/>
        </w:rPr>
      </w:pPr>
      <w:bookmarkStart w:id="11" w:name="_Toc17186"/>
      <w:bookmarkStart w:id="12" w:name="_Toc5745"/>
      <w:bookmarkStart w:id="13" w:name="_Toc2209"/>
      <w:r>
        <w:rPr>
          <w:rFonts w:hint="eastAsia"/>
          <w:color w:val="auto"/>
        </w:rPr>
        <w:t>“十五五”</w:t>
      </w:r>
      <w:r>
        <w:rPr>
          <w:rFonts w:hint="eastAsia"/>
          <w:color w:val="auto"/>
          <w:lang w:val="en-US" w:eastAsia="zh-CN"/>
        </w:rPr>
        <w:t>美丽五师建设任务依然艰巨</w:t>
      </w:r>
      <w:bookmarkEnd w:id="11"/>
      <w:bookmarkEnd w:id="12"/>
      <w:bookmarkEnd w:id="13"/>
    </w:p>
    <w:p w14:paraId="12CEAA42">
      <w:pPr>
        <w:bidi w:val="0"/>
        <w:rPr>
          <w:rFonts w:hint="eastAsia"/>
          <w:color w:val="auto"/>
          <w:lang w:val="en-US" w:eastAsia="zh-CN"/>
        </w:rPr>
      </w:pPr>
      <w:r>
        <w:rPr>
          <w:rFonts w:hint="eastAsia"/>
          <w:b/>
          <w:bCs/>
          <w:color w:val="auto"/>
          <w:lang w:val="en-US" w:eastAsia="zh-CN"/>
        </w:rPr>
        <w:t>绿色低碳转型仍面临较大压力。</w:t>
      </w:r>
      <w:r>
        <w:rPr>
          <w:rFonts w:hint="eastAsia"/>
          <w:color w:val="auto"/>
          <w:lang w:val="en-US" w:eastAsia="zh-CN"/>
        </w:rPr>
        <w:t>近年来，师市在培育新能源、电极箔、算力数据产业方面取得积极成效，传统产业升级改造亦稳步推进。但师市仍存在农副食品加工、建材等传统产业工艺设备老旧，如燃煤热风炉、硫尘一体化污染防治技术属于淘汰类设施，财政配套资金不足，企业自筹资金完成升级改造动力不足。新能源快速增长与电网调峰、消纳能力不匹配；减排潜力有限等问题。节能减排与低碳发展依然任重道远。</w:t>
      </w:r>
    </w:p>
    <w:p w14:paraId="743492D3">
      <w:pPr>
        <w:bidi w:val="0"/>
        <w:rPr>
          <w:rFonts w:hint="eastAsia"/>
          <w:color w:val="auto"/>
          <w:lang w:val="en-US" w:eastAsia="zh-CN"/>
        </w:rPr>
      </w:pPr>
      <w:r>
        <w:rPr>
          <w:rFonts w:hint="eastAsia"/>
          <w:b/>
          <w:bCs/>
          <w:color w:val="auto"/>
          <w:lang w:val="en-US" w:eastAsia="zh-CN"/>
        </w:rPr>
        <w:t>生态环境质量持续改善仍面临较大压力。</w:t>
      </w:r>
      <w:r>
        <w:rPr>
          <w:rFonts w:hint="eastAsia"/>
          <w:color w:val="auto"/>
          <w:lang w:val="en-US" w:eastAsia="zh-CN"/>
        </w:rPr>
        <w:t>当前，环境空气质量改善成效尚不稳固，在北方输入性污染（如沙尘天气）、极端气象条件变化、本地污染源及师市地理位置及地形条件限制等多重因素叠加影响下，空气质量仍存在阶段性波动。水环境质量总体保持较好水平，但随着气候变化影响加剧，水资源供需矛盾突出，部分水域保障生态流量（水量）压力较大。同时，受农业面源污染及内源释放等复合因素影响，部分河流、湖库水质呈现季节性波动，区域水环境系统韧性有待进一步增强。</w:t>
      </w:r>
    </w:p>
    <w:p w14:paraId="421BF85F">
      <w:pPr>
        <w:rPr>
          <w:rFonts w:hint="eastAsia"/>
          <w:color w:val="auto"/>
          <w:lang w:val="en-US" w:eastAsia="zh-CN"/>
        </w:rPr>
      </w:pPr>
      <w:r>
        <w:rPr>
          <w:rFonts w:hint="eastAsia"/>
          <w:b/>
          <w:bCs/>
          <w:color w:val="auto"/>
          <w:lang w:val="en-US" w:eastAsia="zh-CN"/>
        </w:rPr>
        <w:t>生态环境基础设施建设相对滞后。</w:t>
      </w:r>
      <w:r>
        <w:rPr>
          <w:rFonts w:hint="eastAsia"/>
          <w:color w:val="auto"/>
          <w:lang w:val="en-US" w:eastAsia="zh-CN"/>
        </w:rPr>
        <w:t>近年来，师市污水收集处理虽然取得了一定成效，但部分团场污水收集处理能力不足问题仍然比较突出。主要表现在污水处理厂生产设备缺失、生产工艺落后、处理污水不达标、污水管网老旧破损等。5座垃圾填埋场仅1座正常运行，无建筑垃圾填埋场，垃圾倾倒事件时有发生。</w:t>
      </w:r>
    </w:p>
    <w:p w14:paraId="7CFFC6EE">
      <w:pPr>
        <w:rPr>
          <w:rFonts w:hint="eastAsia"/>
          <w:color w:val="auto"/>
          <w:lang w:val="en-US" w:eastAsia="zh-CN"/>
        </w:rPr>
      </w:pPr>
      <w:r>
        <w:rPr>
          <w:rFonts w:hint="eastAsia"/>
          <w:b/>
          <w:bCs/>
          <w:color w:val="auto"/>
          <w:lang w:val="en-US" w:eastAsia="zh-CN"/>
        </w:rPr>
        <w:t>现代环境监管能力仍有待加强。</w:t>
      </w:r>
      <w:r>
        <w:rPr>
          <w:rFonts w:hint="eastAsia"/>
          <w:color w:val="auto"/>
          <w:lang w:val="en-US" w:eastAsia="zh-CN"/>
        </w:rPr>
        <w:t>数据融合存在“孤岛”，重点排污单位自动监控系统、排污许可证管理平台等多系统独立运行，数据共享不及时，未能实现监测数据、执法数据、许可数据的深度联动，制约“许可－监测－执法”协同机制效能发挥。智能监管应用不足，缺乏专业化智能算法模型支撑，对工业源排放异常等行为的识别仍依赖人工研判，效率低下；移动源、面源监管仍以传统巡查为主，难以实现污染热点精准定位与动态追踪。</w:t>
      </w:r>
    </w:p>
    <w:p w14:paraId="2332291B">
      <w:pPr>
        <w:pStyle w:val="3"/>
        <w:bidi w:val="0"/>
        <w:ind w:left="0" w:leftChars="0" w:firstLine="0" w:firstLineChars="0"/>
        <w:rPr>
          <w:color w:val="auto"/>
        </w:rPr>
      </w:pPr>
      <w:bookmarkStart w:id="14" w:name="_Toc15042"/>
      <w:bookmarkStart w:id="15" w:name="_Toc11328"/>
      <w:bookmarkStart w:id="16" w:name="_Toc16199"/>
      <w:r>
        <w:rPr>
          <w:rFonts w:hint="eastAsia"/>
          <w:color w:val="auto"/>
          <w:lang w:val="en-US" w:eastAsia="zh-CN"/>
        </w:rPr>
        <w:t>生态环境改善战略机遇叠加</w:t>
      </w:r>
      <w:bookmarkEnd w:id="14"/>
      <w:bookmarkEnd w:id="15"/>
      <w:bookmarkEnd w:id="16"/>
    </w:p>
    <w:p w14:paraId="3F3432A5">
      <w:pPr>
        <w:rPr>
          <w:rFonts w:hint="eastAsia"/>
          <w:color w:val="auto"/>
          <w:lang w:val="en-US" w:eastAsia="zh-CN"/>
        </w:rPr>
      </w:pPr>
      <w:r>
        <w:rPr>
          <w:rFonts w:hint="eastAsia"/>
          <w:color w:val="auto"/>
          <w:lang w:val="en-US" w:eastAsia="zh-CN"/>
        </w:rPr>
        <w:t>“十五五”时期是全面建设美丽中国、推动经济社会发展全面绿色转型的关键五年，也是全面开启美丽兵团建设新征程的重要阶段。师市作为兵团向西开放桥头堡和“北疆城市带”前沿城市，应当紧密对标美丽兵团建设的总体部署与方针要求，着力打造美丽五师，切实把握这一重要历史机遇。</w:t>
      </w:r>
    </w:p>
    <w:p w14:paraId="7654A02D">
      <w:pPr>
        <w:rPr>
          <w:rFonts w:hint="eastAsia"/>
          <w:color w:val="auto"/>
          <w:lang w:val="en-US" w:eastAsia="zh-CN"/>
        </w:rPr>
      </w:pPr>
      <w:r>
        <w:rPr>
          <w:rFonts w:hint="eastAsia"/>
          <w:b/>
          <w:bCs/>
          <w:color w:val="auto"/>
          <w:lang w:val="en-US" w:eastAsia="zh-CN"/>
        </w:rPr>
        <w:t>新时代党的治疆方略正为新疆带来前所未有的发展机遇。</w:t>
      </w:r>
      <w:r>
        <w:rPr>
          <w:rFonts w:hint="eastAsia"/>
          <w:color w:val="auto"/>
          <w:lang w:val="en-US" w:eastAsia="zh-CN"/>
        </w:rPr>
        <w:t>2025年9月，习近平总书记在在新疆维吾尔自治区成立70周年庆祝大会上的讲话中指出，新疆各族干部群众要坚持以习近平新时代中国特色社会主义思想为指导，全面贯彻落实党的二十大和二十届二中、三中全会精神，深刻领悟“两个确立”的决定性意义，增强“四个意识”、坚定“四个自信”、做到“两个维护”，完整准确全面贯彻新时代党的治疆方略，紧紧扭住新疆工作总目标，牢牢把握铸牢中华民族共同体意识主线，始终坚持依法治疆、团结稳疆、文化润疆、富民兴疆、长期建疆，持续推进事关新疆长治久安的根本性、基础性、长远性工作，奋力谱写中国式现代化新疆篇章。要践行绿水青山就是金山银山理念，让大美新疆天更蓝、山更绿、水更清。党中央始终高度重视新疆工作，为师市推进生态保护和高质量发展注入了强劲动力。</w:t>
      </w:r>
    </w:p>
    <w:p w14:paraId="7CAE515A">
      <w:pPr>
        <w:rPr>
          <w:rFonts w:hint="eastAsia"/>
          <w:color w:val="auto"/>
          <w:lang w:val="en-US" w:eastAsia="zh-CN"/>
        </w:rPr>
      </w:pPr>
      <w:r>
        <w:rPr>
          <w:rFonts w:hint="eastAsia"/>
          <w:b/>
          <w:bCs/>
          <w:color w:val="auto"/>
          <w:lang w:val="en-US" w:eastAsia="zh-CN"/>
        </w:rPr>
        <w:t>绿色低碳发展迎来崭新机遇。</w:t>
      </w:r>
      <w:r>
        <w:rPr>
          <w:rFonts w:hint="eastAsia"/>
          <w:color w:val="auto"/>
          <w:lang w:val="en-US" w:eastAsia="zh-CN"/>
        </w:rPr>
        <w:t>“十五五”时期是实现碳达峰目标的关键阶段和重要窗口，标志着经济社会将迈入全面绿色低碳转型的新发展阶段。师市需紧密围绕“双碳”目标方向，强化减污降碳协同增效，全面落实西部大开发、“一带一路”等国家重大战略部署，深入实施“新质农业筑基、口岸工业强链、古道文旅兴城、绿色智慧赋能”发展战略，加快构建“3+3+3”现代化产业体系，全力打造“四基两区”，奋力推动师市经济社会高质量发展，全面推动经济社会绿色转型，实现高质量发展与生态环境持续改善的良性循环。同时，着力构建将绿水青山转化为金山银山的制度与政策体系，统筹推进降碳、减污、扩绿、增长，全面开启五师</w:t>
      </w:r>
      <w:r>
        <w:rPr>
          <w:rFonts w:hint="eastAsia" w:ascii="Times New Roman" w:hAnsi="Times New Roman" w:eastAsia="仿宋_GB2312" w:cs="Times New Roman"/>
          <w:color w:val="auto"/>
          <w:sz w:val="32"/>
          <w:szCs w:val="32"/>
          <w:lang w:val="en-US" w:eastAsia="zh-CN"/>
        </w:rPr>
        <w:t>“三屏双廊、一核多圈、三带三区”</w:t>
      </w:r>
      <w:r>
        <w:rPr>
          <w:rFonts w:hint="eastAsia"/>
          <w:color w:val="auto"/>
          <w:lang w:val="en-US" w:eastAsia="zh-CN"/>
        </w:rPr>
        <w:t>建设新路径。</w:t>
      </w:r>
    </w:p>
    <w:p w14:paraId="6A5AEBAC">
      <w:pPr>
        <w:rPr>
          <w:rFonts w:hint="eastAsia"/>
          <w:color w:val="auto"/>
          <w:lang w:val="en-US" w:eastAsia="zh-CN"/>
        </w:rPr>
      </w:pPr>
      <w:r>
        <w:rPr>
          <w:rFonts w:hint="eastAsia"/>
          <w:b/>
          <w:bCs/>
          <w:color w:val="auto"/>
          <w:lang w:val="en-US" w:eastAsia="zh-CN"/>
        </w:rPr>
        <w:t>美丽五师建设已全面开启新征程。</w:t>
      </w:r>
      <w:r>
        <w:rPr>
          <w:rFonts w:hint="eastAsia"/>
          <w:color w:val="auto"/>
          <w:lang w:val="en-US" w:eastAsia="zh-CN"/>
        </w:rPr>
        <w:t>当前，美丽中国建设纳入全面深化改革总目标，推动生态环境保护从打好污染防治攻坚战，迈向系统推进美丽中国建设的新阶段。“十五五”时期是美丽中国建设承上启下、纵深推进的关键阶段。师市将紧密对接国家战略部署，立足自身资源禀赋与功能定位，着力打造“北疆边境通道的重要节点城市和向西开放沿边开放的高地”，全面推进美丽五师建设。</w:t>
      </w:r>
    </w:p>
    <w:p w14:paraId="75E91649">
      <w:pPr>
        <w:ind w:firstLine="480"/>
        <w:rPr>
          <w:color w:val="auto"/>
        </w:rPr>
      </w:pPr>
    </w:p>
    <w:p w14:paraId="771B1D88">
      <w:pPr>
        <w:pStyle w:val="2"/>
        <w:bidi w:val="0"/>
        <w:ind w:left="0" w:leftChars="0" w:firstLine="0" w:firstLineChars="0"/>
        <w:rPr>
          <w:color w:val="auto"/>
        </w:rPr>
      </w:pPr>
      <w:bookmarkStart w:id="17" w:name="_Toc9985"/>
      <w:bookmarkStart w:id="18" w:name="_Toc8665"/>
      <w:bookmarkStart w:id="19" w:name="_Toc15974"/>
      <w:r>
        <w:rPr>
          <w:rFonts w:hint="eastAsia"/>
          <w:color w:val="auto"/>
          <w:lang w:val="en-US" w:eastAsia="zh-CN"/>
        </w:rPr>
        <w:t>总体要求</w:t>
      </w:r>
      <w:bookmarkEnd w:id="17"/>
      <w:bookmarkEnd w:id="18"/>
      <w:bookmarkEnd w:id="19"/>
    </w:p>
    <w:p w14:paraId="0F24DB4F">
      <w:pPr>
        <w:pStyle w:val="3"/>
        <w:bidi w:val="0"/>
        <w:ind w:left="0" w:leftChars="0" w:firstLine="0" w:firstLineChars="0"/>
        <w:rPr>
          <w:rFonts w:hint="eastAsia"/>
          <w:color w:val="auto"/>
          <w:lang w:val="en-US" w:eastAsia="zh-CN"/>
        </w:rPr>
      </w:pPr>
      <w:bookmarkStart w:id="20" w:name="_Toc10840"/>
      <w:bookmarkStart w:id="21" w:name="_Toc30304"/>
      <w:bookmarkStart w:id="22" w:name="_Toc21990"/>
      <w:r>
        <w:rPr>
          <w:rFonts w:hint="eastAsia"/>
          <w:color w:val="auto"/>
          <w:lang w:val="en-US" w:eastAsia="zh-CN"/>
        </w:rPr>
        <w:t>指导思想</w:t>
      </w:r>
      <w:bookmarkEnd w:id="20"/>
      <w:bookmarkEnd w:id="21"/>
      <w:bookmarkEnd w:id="22"/>
    </w:p>
    <w:p w14:paraId="0D36C577">
      <w:pPr>
        <w:rPr>
          <w:rFonts w:hint="eastAsia"/>
          <w:color w:val="auto"/>
          <w:lang w:val="en-US" w:eastAsia="zh-CN"/>
        </w:rPr>
      </w:pPr>
      <w:r>
        <w:rPr>
          <w:rFonts w:hint="eastAsia"/>
          <w:color w:val="auto"/>
          <w:lang w:val="en-US" w:eastAsia="zh-CN"/>
        </w:rPr>
        <w:t>坚持以习近平新时代中国特色社会主义思想特别是习近平生态文明思想为指导，全面贯彻落实党的二十大和二十届历次全会精神，深入贯彻全国生态环境保护大会精神，贯彻落实党中央、国务院决策部署，按照全面推进美丽师市建设的目标任务，坚持环保为民，统筹产业结构调整、污染治理、生态保护、应对气候变化，协同推进降碳、减污、扩绿、增长，切实维护生态安全，当好生态卫士，以高水平生态环境保护支撑高质量发展，奋力建设美丽五师，为加快实现人与自然和谐共生的美丽中国、美丽兵团贡献五师力量。</w:t>
      </w:r>
    </w:p>
    <w:p w14:paraId="6B94A490">
      <w:pPr>
        <w:pStyle w:val="3"/>
        <w:bidi w:val="0"/>
        <w:ind w:left="0" w:leftChars="0" w:firstLine="0" w:firstLineChars="0"/>
        <w:rPr>
          <w:rFonts w:hint="eastAsia"/>
          <w:color w:val="auto"/>
          <w:lang w:val="en-US" w:eastAsia="zh-CN"/>
        </w:rPr>
      </w:pPr>
      <w:bookmarkStart w:id="23" w:name="_Toc20927"/>
      <w:bookmarkStart w:id="24" w:name="_Toc26624"/>
      <w:bookmarkStart w:id="25" w:name="_Toc16452"/>
      <w:r>
        <w:rPr>
          <w:rFonts w:hint="eastAsia"/>
          <w:color w:val="auto"/>
          <w:lang w:val="en-US" w:eastAsia="zh-CN"/>
        </w:rPr>
        <w:t>基本原则</w:t>
      </w:r>
      <w:bookmarkEnd w:id="23"/>
      <w:bookmarkEnd w:id="24"/>
      <w:bookmarkEnd w:id="25"/>
    </w:p>
    <w:p w14:paraId="47DE639E">
      <w:pPr>
        <w:rPr>
          <w:rFonts w:hint="eastAsia"/>
          <w:color w:val="auto"/>
          <w:lang w:val="en-US" w:eastAsia="zh-CN"/>
        </w:rPr>
      </w:pPr>
      <w:r>
        <w:rPr>
          <w:rFonts w:hint="eastAsia"/>
          <w:color w:val="auto"/>
          <w:lang w:val="en-US" w:eastAsia="zh-CN"/>
        </w:rPr>
        <w:t>生态优先，绿色发展。立足区域实际，解决生态环境突出问题，持续提升生态环境系统的持续性、稳定性和多样性，筑牢绿色发展根基。积极探索以生态优先、绿色发展为导向的高质量发展新路径，将绿色发展理念贯穿于发展的各领域、全过程，统筹推进经济高质量发展和生态环境高水平保护，增加产业“含绿量”，提升发展“含金量”。</w:t>
      </w:r>
    </w:p>
    <w:p w14:paraId="59739571">
      <w:pPr>
        <w:rPr>
          <w:rFonts w:hint="eastAsia"/>
          <w:color w:val="auto"/>
          <w:lang w:val="en-US" w:eastAsia="zh-CN"/>
        </w:rPr>
      </w:pPr>
      <w:r>
        <w:rPr>
          <w:rFonts w:hint="eastAsia"/>
          <w:color w:val="auto"/>
          <w:lang w:val="en-US" w:eastAsia="zh-CN"/>
        </w:rPr>
        <w:t>问题导向、精准治污。聚焦生态环境重点问题和短板，以提升生态环境质量目标为核心，从生态系统整体性出发，推动生态环境源头治理，突出精准治污、科学治污、依法治污，运用科学思维、科学方法、科技手段，精细管理、分类施策、因地制宜，提高环境治理针对性和有效性。</w:t>
      </w:r>
    </w:p>
    <w:p w14:paraId="19BF5DFC">
      <w:pPr>
        <w:rPr>
          <w:rFonts w:hint="eastAsia"/>
          <w:color w:val="auto"/>
          <w:lang w:val="en-US" w:eastAsia="zh-CN"/>
        </w:rPr>
      </w:pPr>
      <w:r>
        <w:rPr>
          <w:rFonts w:hint="eastAsia"/>
          <w:color w:val="auto"/>
          <w:lang w:val="en-US" w:eastAsia="zh-CN"/>
        </w:rPr>
        <w:t>以人为本，可观可感。坚持人与自然和谐共生理念，以人民为中心，以满足人民日益增长的优美生态环境需要为根本目的，积极回应群众关切，着力补短板、强弱项，满足多元人群差异化需求，提升人民群众生态环境获得感、幸福感，既塑造可观的“外在美”，又提升可感的“内在美”，落实好各项生态文明建设工作。</w:t>
      </w:r>
    </w:p>
    <w:p w14:paraId="004CF346">
      <w:pPr>
        <w:rPr>
          <w:rFonts w:hint="eastAsia"/>
          <w:color w:val="auto"/>
          <w:lang w:val="en-US" w:eastAsia="zh-CN"/>
        </w:rPr>
      </w:pPr>
      <w:r>
        <w:rPr>
          <w:rFonts w:hint="eastAsia"/>
          <w:color w:val="auto"/>
          <w:lang w:val="en-US" w:eastAsia="zh-CN"/>
        </w:rPr>
        <w:t>创新体制、协同推进。全面贯彻新发展理念，实施创新驱动发展战略，增强自主创新能力，不断完善生态环境保护体制机制，加快构建现代环境治理体系，健全生态环境监管体系，形成与治理任务、治理需求相适应的治理能力和治理水平，协同推进减污降碳、污染防治与生态建设。</w:t>
      </w:r>
    </w:p>
    <w:p w14:paraId="40CB2614">
      <w:pPr>
        <w:rPr>
          <w:rFonts w:hint="eastAsia"/>
          <w:color w:val="auto"/>
          <w:lang w:val="en-US" w:eastAsia="zh-CN"/>
        </w:rPr>
      </w:pPr>
      <w:r>
        <w:rPr>
          <w:rFonts w:hint="eastAsia"/>
          <w:color w:val="auto"/>
          <w:lang w:val="en-US" w:eastAsia="zh-CN"/>
        </w:rPr>
        <w:t>全民参与，共建共享。坚持生态惠民、生态为民、生态利民，探索“共谋、共建、共享、共治”新路径、新载体，建立健全政府、社会和公众协同推进机制。增强价值认同，凝聚整体合力，形成政府、企业和社会多元主体参与及多方互动的“共治共享”的生态环境治理模式，确保生态文明建设水平稳步、高质量提升。</w:t>
      </w:r>
    </w:p>
    <w:p w14:paraId="4EC95863">
      <w:pPr>
        <w:pStyle w:val="3"/>
        <w:bidi w:val="0"/>
        <w:ind w:left="0" w:leftChars="0" w:firstLine="0" w:firstLineChars="0"/>
        <w:rPr>
          <w:color w:val="auto"/>
        </w:rPr>
      </w:pPr>
      <w:bookmarkStart w:id="26" w:name="_Toc23110"/>
      <w:bookmarkStart w:id="27" w:name="_Toc5604"/>
      <w:bookmarkStart w:id="28" w:name="_Toc12862"/>
      <w:r>
        <w:rPr>
          <w:rFonts w:hint="eastAsia"/>
          <w:color w:val="auto"/>
          <w:lang w:val="en-US" w:eastAsia="zh-CN"/>
        </w:rPr>
        <w:t>规划</w:t>
      </w:r>
      <w:r>
        <w:rPr>
          <w:rFonts w:hint="eastAsia"/>
          <w:color w:val="auto"/>
        </w:rPr>
        <w:t>目标</w:t>
      </w:r>
      <w:bookmarkEnd w:id="26"/>
      <w:bookmarkEnd w:id="27"/>
      <w:bookmarkEnd w:id="28"/>
    </w:p>
    <w:p w14:paraId="3557DCBB">
      <w:pPr>
        <w:ind w:firstLine="480"/>
        <w:rPr>
          <w:color w:val="auto"/>
        </w:rPr>
      </w:pPr>
      <w:r>
        <w:rPr>
          <w:rFonts w:hint="eastAsia"/>
          <w:color w:val="auto"/>
        </w:rPr>
        <w:t>全面落实精准科学依法治污，更加注重源头治理，强化减污降碳协同、多污染物协同减排和区域协同治理，统筹做好大气、水、土壤、固废等污染防治工作，巩固拓展攻坚成效，推进</w:t>
      </w:r>
      <w:r>
        <w:rPr>
          <w:rFonts w:hint="eastAsia"/>
          <w:color w:val="auto"/>
          <w:lang w:val="en-US" w:eastAsia="zh-CN"/>
        </w:rPr>
        <w:t>美丽城市、</w:t>
      </w:r>
      <w:r>
        <w:rPr>
          <w:rFonts w:hint="eastAsia"/>
          <w:color w:val="auto"/>
        </w:rPr>
        <w:t>美丽蓝天、美丽河湖建设，努力打造青山常在、绿水长流、空气常新的美丽</w:t>
      </w:r>
      <w:r>
        <w:rPr>
          <w:rFonts w:hint="eastAsia"/>
          <w:color w:val="auto"/>
          <w:lang w:val="en-US" w:eastAsia="zh-CN"/>
        </w:rPr>
        <w:t>五</w:t>
      </w:r>
      <w:r>
        <w:rPr>
          <w:rFonts w:hint="eastAsia"/>
          <w:color w:val="auto"/>
        </w:rPr>
        <w:t>师。到2030年，生态环境全面改善，美丽</w:t>
      </w:r>
      <w:r>
        <w:rPr>
          <w:rFonts w:hint="eastAsia"/>
          <w:color w:val="auto"/>
          <w:lang w:val="en-US" w:eastAsia="zh-CN"/>
        </w:rPr>
        <w:t>五</w:t>
      </w:r>
      <w:r>
        <w:rPr>
          <w:rFonts w:hint="eastAsia"/>
          <w:color w:val="auto"/>
        </w:rPr>
        <w:t>师建设取得标志性成果。经济社会发展全面绿色转型成效显著，绿色生产生活方式基本形成，适应美丽</w:t>
      </w:r>
      <w:r>
        <w:rPr>
          <w:rFonts w:hint="eastAsia"/>
          <w:color w:val="auto"/>
          <w:lang w:val="en-US" w:eastAsia="zh-CN"/>
        </w:rPr>
        <w:t>五</w:t>
      </w:r>
      <w:r>
        <w:rPr>
          <w:rFonts w:hint="eastAsia"/>
          <w:color w:val="auto"/>
        </w:rPr>
        <w:t>师建设的现代环境治理体系不断完善。</w:t>
      </w:r>
    </w:p>
    <w:p w14:paraId="2852349F">
      <w:pPr>
        <w:ind w:firstLine="480"/>
        <w:rPr>
          <w:color w:val="auto"/>
        </w:rPr>
      </w:pPr>
      <w:r>
        <w:rPr>
          <w:rFonts w:hint="eastAsia"/>
          <w:color w:val="auto"/>
          <w:lang w:val="en-US" w:eastAsia="zh-CN"/>
        </w:rPr>
        <w:t>美丽师市建设</w:t>
      </w:r>
      <w:r>
        <w:rPr>
          <w:rFonts w:hint="eastAsia"/>
          <w:color w:val="auto"/>
        </w:rPr>
        <w:t>“十五五”生态环境保护规划指标体系充分衔接《新疆生产建设兵团“十五五”生态环境保护规划（2025-2030年）》，基于</w:t>
      </w:r>
      <w:r>
        <w:rPr>
          <w:rFonts w:hint="eastAsia"/>
          <w:color w:val="auto"/>
          <w:lang w:val="en-US" w:eastAsia="zh-CN"/>
        </w:rPr>
        <w:t>师市</w:t>
      </w:r>
      <w:r>
        <w:rPr>
          <w:rFonts w:hint="eastAsia"/>
          <w:color w:val="auto"/>
        </w:rPr>
        <w:t>“十五五”经济发展、自然生态、人文生活等特征，衔接美丽师市建设、高质量发展等目标要求，坚持平衡协调、实事求是、科学合理，强化生态环境质量导向，约束、预期和引导性指标相结合。</w:t>
      </w:r>
    </w:p>
    <w:p w14:paraId="174F79EB">
      <w:pPr>
        <w:ind w:firstLine="480"/>
        <w:rPr>
          <w:rFonts w:hint="eastAsia"/>
          <w:color w:val="auto"/>
        </w:rPr>
      </w:pPr>
      <w:r>
        <w:rPr>
          <w:rFonts w:hint="eastAsia"/>
          <w:color w:val="auto"/>
        </w:rPr>
        <w:t>设定规划指标体系包括环境质量改善（6项）、减污降碳协同（6项）、生态系统保护监管（2项）、生态安全屏障（4项）、</w:t>
      </w:r>
      <w:r>
        <w:rPr>
          <w:rFonts w:hint="eastAsia"/>
          <w:color w:val="auto"/>
          <w:lang w:eastAsia="zh-CN"/>
        </w:rPr>
        <w:t>“</w:t>
      </w:r>
      <w:r>
        <w:rPr>
          <w:rFonts w:hint="eastAsia"/>
          <w:color w:val="auto"/>
        </w:rPr>
        <w:t>美丽系列</w:t>
      </w:r>
      <w:r>
        <w:rPr>
          <w:rFonts w:hint="eastAsia"/>
          <w:color w:val="auto"/>
          <w:lang w:eastAsia="zh-CN"/>
        </w:rPr>
        <w:t>”</w:t>
      </w:r>
      <w:r>
        <w:rPr>
          <w:rFonts w:hint="eastAsia"/>
          <w:color w:val="auto"/>
        </w:rPr>
        <w:t>建设（1项）5大类19项指标。</w:t>
      </w:r>
    </w:p>
    <w:p w14:paraId="28DA9883">
      <w:pPr>
        <w:pStyle w:val="12"/>
        <w:rPr>
          <w:color w:val="auto"/>
        </w:rPr>
      </w:pPr>
      <w:r>
        <w:rPr>
          <w:rFonts w:hint="eastAsia"/>
          <w:color w:val="auto"/>
        </w:rPr>
        <w:t>表</w:t>
      </w:r>
      <w:r>
        <w:rPr>
          <w:color w:val="auto"/>
        </w:rPr>
        <w:fldChar w:fldCharType="begin"/>
      </w:r>
      <w:r>
        <w:rPr>
          <w:color w:val="auto"/>
        </w:rPr>
        <w:instrText xml:space="preserve"> </w:instrText>
      </w:r>
      <w:r>
        <w:rPr>
          <w:rFonts w:hint="eastAsia"/>
          <w:color w:val="auto"/>
        </w:rPr>
        <w:instrText xml:space="preserve">STYLEREF 2 \s</w:instrText>
      </w:r>
      <w:r>
        <w:rPr>
          <w:color w:val="auto"/>
        </w:rPr>
        <w:instrText xml:space="preserve"> </w:instrText>
      </w:r>
      <w:r>
        <w:rPr>
          <w:color w:val="auto"/>
        </w:rPr>
        <w:fldChar w:fldCharType="separate"/>
      </w:r>
      <w:r>
        <w:rPr>
          <w:color w:val="auto"/>
        </w:rPr>
        <w:t>2.1</w:t>
      </w:r>
      <w:r>
        <w:rPr>
          <w:color w:val="auto"/>
        </w:rPr>
        <w:fldChar w:fldCharType="end"/>
      </w:r>
      <w:r>
        <w:rPr>
          <w:color w:val="auto"/>
        </w:rPr>
        <w:noBreakHyphen/>
      </w:r>
      <w:r>
        <w:rPr>
          <w:color w:val="auto"/>
        </w:rPr>
        <w:fldChar w:fldCharType="begin"/>
      </w:r>
      <w:r>
        <w:rPr>
          <w:color w:val="auto"/>
        </w:rPr>
        <w:instrText xml:space="preserve"> </w:instrText>
      </w:r>
      <w:r>
        <w:rPr>
          <w:rFonts w:hint="eastAsia"/>
          <w:color w:val="auto"/>
        </w:rPr>
        <w:instrText xml:space="preserve">SEQ 表 \* ARABIC \s 2</w:instrText>
      </w:r>
      <w:r>
        <w:rPr>
          <w:color w:val="auto"/>
        </w:rPr>
        <w:instrText xml:space="preserve"> </w:instrText>
      </w:r>
      <w:r>
        <w:rPr>
          <w:color w:val="auto"/>
        </w:rPr>
        <w:fldChar w:fldCharType="separate"/>
      </w:r>
      <w:r>
        <w:rPr>
          <w:color w:val="auto"/>
        </w:rPr>
        <w:t>1</w:t>
      </w:r>
      <w:r>
        <w:rPr>
          <w:color w:val="auto"/>
        </w:rPr>
        <w:fldChar w:fldCharType="end"/>
      </w:r>
      <w:r>
        <w:rPr>
          <w:rFonts w:hint="eastAsia"/>
          <w:color w:val="auto"/>
        </w:rPr>
        <w:t>“十五五”生态环境保护规划指标体系</w:t>
      </w:r>
    </w:p>
    <w:tbl>
      <w:tblPr>
        <w:tblStyle w:val="35"/>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857"/>
        <w:gridCol w:w="764"/>
        <w:gridCol w:w="3135"/>
        <w:gridCol w:w="1363"/>
        <w:gridCol w:w="1230"/>
        <w:gridCol w:w="937"/>
      </w:tblGrid>
      <w:tr w14:paraId="290B8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978" w:type="pct"/>
            <w:gridSpan w:val="2"/>
            <w:tcBorders>
              <w:tl2br w:val="nil"/>
              <w:tr2bl w:val="nil"/>
            </w:tcBorders>
            <w:vAlign w:val="center"/>
          </w:tcPr>
          <w:p w14:paraId="1100F85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黑体" w:cs="Times New Roman"/>
                <w:color w:val="auto"/>
                <w:sz w:val="24"/>
                <w:szCs w:val="24"/>
                <w:highlight w:val="none"/>
              </w:rPr>
            </w:pPr>
            <w:r>
              <w:rPr>
                <w:rFonts w:hint="default" w:eastAsia="黑体" w:cs="Times New Roman"/>
                <w:color w:val="auto"/>
                <w:kern w:val="0"/>
                <w:sz w:val="24"/>
                <w:szCs w:val="24"/>
                <w:highlight w:val="none"/>
              </w:rPr>
              <w:t>序号</w:t>
            </w:r>
          </w:p>
        </w:tc>
        <w:tc>
          <w:tcPr>
            <w:tcW w:w="1891" w:type="pct"/>
            <w:tcBorders>
              <w:tl2br w:val="nil"/>
              <w:tr2bl w:val="nil"/>
            </w:tcBorders>
            <w:vAlign w:val="center"/>
          </w:tcPr>
          <w:p w14:paraId="6D42DC1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黑体" w:cs="Times New Roman"/>
                <w:color w:val="auto"/>
                <w:sz w:val="24"/>
                <w:szCs w:val="24"/>
                <w:highlight w:val="none"/>
              </w:rPr>
            </w:pPr>
            <w:r>
              <w:rPr>
                <w:rFonts w:hint="default" w:eastAsia="黑体" w:cs="Times New Roman"/>
                <w:color w:val="auto"/>
                <w:kern w:val="0"/>
                <w:sz w:val="24"/>
                <w:szCs w:val="24"/>
                <w:highlight w:val="none"/>
              </w:rPr>
              <w:t>指标</w:t>
            </w:r>
          </w:p>
        </w:tc>
        <w:tc>
          <w:tcPr>
            <w:tcW w:w="822" w:type="pct"/>
            <w:tcBorders>
              <w:tl2br w:val="nil"/>
              <w:tr2bl w:val="nil"/>
            </w:tcBorders>
            <w:vAlign w:val="center"/>
          </w:tcPr>
          <w:p w14:paraId="3902660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黑体" w:cs="Times New Roman"/>
                <w:color w:val="auto"/>
                <w:kern w:val="0"/>
                <w:sz w:val="24"/>
                <w:szCs w:val="24"/>
                <w:highlight w:val="none"/>
              </w:rPr>
            </w:pPr>
            <w:r>
              <w:rPr>
                <w:rFonts w:hint="eastAsia" w:eastAsia="黑体" w:cs="Times New Roman"/>
                <w:color w:val="auto"/>
                <w:kern w:val="0"/>
                <w:sz w:val="24"/>
                <w:szCs w:val="24"/>
                <w:highlight w:val="none"/>
              </w:rPr>
              <w:t>202</w:t>
            </w:r>
            <w:r>
              <w:rPr>
                <w:rFonts w:hint="eastAsia" w:eastAsia="黑体" w:cs="Times New Roman"/>
                <w:color w:val="auto"/>
                <w:kern w:val="0"/>
                <w:sz w:val="24"/>
                <w:szCs w:val="24"/>
                <w:highlight w:val="none"/>
                <w:lang w:val="en-US" w:eastAsia="zh-CN"/>
              </w:rPr>
              <w:t>5</w:t>
            </w:r>
            <w:r>
              <w:rPr>
                <w:rFonts w:hint="eastAsia" w:eastAsia="黑体" w:cs="Times New Roman"/>
                <w:color w:val="auto"/>
                <w:kern w:val="0"/>
                <w:sz w:val="24"/>
                <w:szCs w:val="24"/>
                <w:highlight w:val="none"/>
              </w:rPr>
              <w:t>年数据</w:t>
            </w:r>
          </w:p>
        </w:tc>
        <w:tc>
          <w:tcPr>
            <w:tcW w:w="742" w:type="pct"/>
            <w:tcBorders>
              <w:tl2br w:val="nil"/>
              <w:tr2bl w:val="nil"/>
            </w:tcBorders>
            <w:vAlign w:val="center"/>
          </w:tcPr>
          <w:p w14:paraId="2C11D8C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黑体" w:cs="Times New Roman"/>
                <w:color w:val="auto"/>
                <w:kern w:val="0"/>
                <w:sz w:val="24"/>
                <w:szCs w:val="24"/>
                <w:highlight w:val="none"/>
              </w:rPr>
            </w:pPr>
            <w:r>
              <w:rPr>
                <w:rFonts w:hint="default" w:eastAsia="黑体" w:cs="Times New Roman"/>
                <w:color w:val="auto"/>
                <w:kern w:val="0"/>
                <w:sz w:val="24"/>
                <w:szCs w:val="24"/>
                <w:highlight w:val="none"/>
              </w:rPr>
              <w:t>预计指标</w:t>
            </w:r>
          </w:p>
        </w:tc>
        <w:tc>
          <w:tcPr>
            <w:tcW w:w="565" w:type="pct"/>
            <w:tcBorders>
              <w:tl2br w:val="nil"/>
              <w:tr2bl w:val="nil"/>
            </w:tcBorders>
            <w:vAlign w:val="center"/>
          </w:tcPr>
          <w:p w14:paraId="43B59B1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黑体" w:cs="Times New Roman"/>
                <w:color w:val="auto"/>
                <w:sz w:val="24"/>
                <w:szCs w:val="24"/>
                <w:highlight w:val="none"/>
              </w:rPr>
            </w:pPr>
            <w:r>
              <w:rPr>
                <w:rFonts w:hint="default" w:eastAsia="黑体" w:cs="Times New Roman"/>
                <w:color w:val="auto"/>
                <w:kern w:val="0"/>
                <w:sz w:val="24"/>
                <w:szCs w:val="24"/>
                <w:highlight w:val="none"/>
              </w:rPr>
              <w:t>属性</w:t>
            </w:r>
          </w:p>
        </w:tc>
      </w:tr>
      <w:tr w14:paraId="6B1C47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7" w:type="pct"/>
            <w:vMerge w:val="restart"/>
            <w:tcBorders>
              <w:tl2br w:val="nil"/>
              <w:tr2bl w:val="nil"/>
            </w:tcBorders>
            <w:vAlign w:val="center"/>
          </w:tcPr>
          <w:p w14:paraId="3ACF7B8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环境质量改善</w:t>
            </w:r>
          </w:p>
        </w:tc>
        <w:tc>
          <w:tcPr>
            <w:tcW w:w="461" w:type="pct"/>
            <w:tcBorders>
              <w:tl2br w:val="nil"/>
              <w:tr2bl w:val="nil"/>
            </w:tcBorders>
            <w:vAlign w:val="center"/>
          </w:tcPr>
          <w:p w14:paraId="44C37D6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w:t>
            </w:r>
          </w:p>
        </w:tc>
        <w:tc>
          <w:tcPr>
            <w:tcW w:w="1891" w:type="pct"/>
            <w:tcBorders>
              <w:tl2br w:val="nil"/>
              <w:tr2bl w:val="nil"/>
            </w:tcBorders>
            <w:vAlign w:val="center"/>
          </w:tcPr>
          <w:p w14:paraId="3E045C9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细颗粒物（PM</w:t>
            </w:r>
            <w:r>
              <w:rPr>
                <w:rFonts w:hint="default" w:eastAsia="仿宋_GB2312" w:cs="Times New Roman"/>
                <w:color w:val="auto"/>
                <w:sz w:val="24"/>
                <w:szCs w:val="24"/>
                <w:highlight w:val="none"/>
                <w:vertAlign w:val="subscript"/>
              </w:rPr>
              <w:t>2.5</w:t>
            </w:r>
            <w:r>
              <w:rPr>
                <w:rFonts w:hint="default" w:eastAsia="仿宋_GB2312" w:cs="Times New Roman"/>
                <w:color w:val="auto"/>
                <w:sz w:val="24"/>
                <w:szCs w:val="24"/>
                <w:highlight w:val="none"/>
              </w:rPr>
              <w:t>）浓度（微克/立方米）</w:t>
            </w:r>
          </w:p>
        </w:tc>
        <w:tc>
          <w:tcPr>
            <w:tcW w:w="822" w:type="pct"/>
            <w:tcBorders>
              <w:tl2br w:val="nil"/>
              <w:tr2bl w:val="nil"/>
            </w:tcBorders>
            <w:vAlign w:val="center"/>
          </w:tcPr>
          <w:p w14:paraId="4861551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22.3</w:t>
            </w:r>
          </w:p>
        </w:tc>
        <w:tc>
          <w:tcPr>
            <w:tcW w:w="742" w:type="pct"/>
            <w:tcBorders>
              <w:tl2br w:val="nil"/>
              <w:tr2bl w:val="nil"/>
            </w:tcBorders>
            <w:vAlign w:val="center"/>
          </w:tcPr>
          <w:p w14:paraId="59092DD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lang w:eastAsia="zh-CN"/>
              </w:rPr>
            </w:pPr>
            <w:r>
              <w:rPr>
                <w:rFonts w:hint="default" w:eastAsia="仿宋_GB2312" w:cs="Times New Roman"/>
                <w:color w:val="auto"/>
                <w:sz w:val="24"/>
                <w:szCs w:val="24"/>
                <w:highlight w:val="none"/>
              </w:rPr>
              <w:t>2</w:t>
            </w:r>
            <w:r>
              <w:rPr>
                <w:rFonts w:hint="eastAsia" w:cs="Times New Roman"/>
                <w:color w:val="auto"/>
                <w:sz w:val="24"/>
                <w:szCs w:val="24"/>
                <w:highlight w:val="none"/>
                <w:lang w:val="en-US" w:eastAsia="zh-CN"/>
              </w:rPr>
              <w:t>4</w:t>
            </w:r>
          </w:p>
        </w:tc>
        <w:tc>
          <w:tcPr>
            <w:tcW w:w="565" w:type="pct"/>
            <w:tcBorders>
              <w:tl2br w:val="nil"/>
              <w:tr2bl w:val="nil"/>
            </w:tcBorders>
            <w:vAlign w:val="center"/>
          </w:tcPr>
          <w:p w14:paraId="5030619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lang w:eastAsia="zh-CN"/>
              </w:rPr>
            </w:pPr>
            <w:r>
              <w:rPr>
                <w:rFonts w:hint="eastAsia" w:cs="Times New Roman"/>
                <w:color w:val="auto"/>
                <w:kern w:val="0"/>
                <w:sz w:val="24"/>
                <w:szCs w:val="24"/>
                <w:highlight w:val="none"/>
                <w:lang w:val="en-US" w:eastAsia="zh-CN"/>
              </w:rPr>
              <w:t>约束性</w:t>
            </w:r>
          </w:p>
        </w:tc>
      </w:tr>
      <w:tr w14:paraId="2649D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0FA6281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745BFD7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eastAsia" w:eastAsia="仿宋_GB2312" w:cs="Times New Roman"/>
                <w:color w:val="auto"/>
                <w:kern w:val="0"/>
                <w:sz w:val="24"/>
                <w:szCs w:val="24"/>
                <w:highlight w:val="none"/>
              </w:rPr>
              <w:t>2</w:t>
            </w:r>
          </w:p>
        </w:tc>
        <w:tc>
          <w:tcPr>
            <w:tcW w:w="1891" w:type="pct"/>
            <w:tcBorders>
              <w:tl2br w:val="nil"/>
              <w:tr2bl w:val="nil"/>
            </w:tcBorders>
            <w:vAlign w:val="center"/>
          </w:tcPr>
          <w:p w14:paraId="081706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lang w:eastAsia="zh-CN"/>
              </w:rPr>
            </w:pPr>
            <w:r>
              <w:rPr>
                <w:rFonts w:hint="eastAsia" w:cs="Times New Roman"/>
                <w:color w:val="auto"/>
                <w:sz w:val="24"/>
                <w:szCs w:val="24"/>
                <w:highlight w:val="none"/>
                <w:lang w:val="en-US" w:eastAsia="zh-CN"/>
              </w:rPr>
              <w:t>重</w:t>
            </w:r>
            <w:r>
              <w:rPr>
                <w:rFonts w:hint="default" w:eastAsia="仿宋_GB2312" w:cs="Times New Roman"/>
                <w:color w:val="auto"/>
                <w:sz w:val="24"/>
                <w:szCs w:val="24"/>
                <w:highlight w:val="none"/>
              </w:rPr>
              <w:t>度及以上污染天数</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天</w:t>
            </w:r>
            <w:r>
              <w:rPr>
                <w:rFonts w:hint="eastAsia" w:cs="Times New Roman"/>
                <w:color w:val="auto"/>
                <w:sz w:val="24"/>
                <w:szCs w:val="24"/>
                <w:highlight w:val="none"/>
                <w:lang w:eastAsia="zh-CN"/>
              </w:rPr>
              <w:t>）</w:t>
            </w:r>
          </w:p>
        </w:tc>
        <w:tc>
          <w:tcPr>
            <w:tcW w:w="822" w:type="pct"/>
            <w:tcBorders>
              <w:tl2br w:val="nil"/>
              <w:tr2bl w:val="nil"/>
            </w:tcBorders>
            <w:vAlign w:val="center"/>
          </w:tcPr>
          <w:p w14:paraId="766097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lang w:eastAsia="zh-CN"/>
              </w:rPr>
            </w:pPr>
            <w:r>
              <w:rPr>
                <w:rFonts w:hint="eastAsia" w:cs="Times New Roman"/>
                <w:color w:val="auto"/>
                <w:sz w:val="24"/>
                <w:szCs w:val="24"/>
                <w:highlight w:val="none"/>
                <w:lang w:val="en-US" w:eastAsia="zh-CN"/>
              </w:rPr>
              <w:t>0</w:t>
            </w:r>
          </w:p>
        </w:tc>
        <w:tc>
          <w:tcPr>
            <w:tcW w:w="742" w:type="pct"/>
            <w:tcBorders>
              <w:tl2br w:val="nil"/>
              <w:tr2bl w:val="nil"/>
            </w:tcBorders>
          </w:tcPr>
          <w:p w14:paraId="72A08B7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14128A2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eastAsia" w:cs="Times New Roman"/>
                <w:color w:val="auto"/>
                <w:kern w:val="0"/>
                <w:sz w:val="24"/>
                <w:szCs w:val="24"/>
                <w:highlight w:val="none"/>
                <w:lang w:val="en-US" w:eastAsia="zh-CN"/>
              </w:rPr>
              <w:t>约束性</w:t>
            </w:r>
          </w:p>
        </w:tc>
      </w:tr>
      <w:tr w14:paraId="06F064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7986DA1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456A203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3</w:t>
            </w:r>
          </w:p>
        </w:tc>
        <w:tc>
          <w:tcPr>
            <w:tcW w:w="1891" w:type="pct"/>
            <w:tcBorders>
              <w:tl2br w:val="nil"/>
              <w:tr2bl w:val="nil"/>
            </w:tcBorders>
            <w:vAlign w:val="center"/>
          </w:tcPr>
          <w:p w14:paraId="1361BE5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优良水体比例（%）</w:t>
            </w:r>
          </w:p>
        </w:tc>
        <w:tc>
          <w:tcPr>
            <w:tcW w:w="822" w:type="pct"/>
            <w:tcBorders>
              <w:tl2br w:val="nil"/>
              <w:tr2bl w:val="nil"/>
            </w:tcBorders>
            <w:vAlign w:val="center"/>
          </w:tcPr>
          <w:p w14:paraId="27CEB39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rPr>
            </w:pPr>
            <w:r>
              <w:rPr>
                <w:rFonts w:hint="eastAsia" w:eastAsia="仿宋_GB2312" w:cs="Times New Roman"/>
                <w:color w:val="auto"/>
                <w:sz w:val="24"/>
                <w:szCs w:val="24"/>
                <w:highlight w:val="none"/>
              </w:rPr>
              <w:t>100</w:t>
            </w:r>
          </w:p>
        </w:tc>
        <w:tc>
          <w:tcPr>
            <w:tcW w:w="742" w:type="pct"/>
            <w:tcBorders>
              <w:tl2br w:val="nil"/>
              <w:tr2bl w:val="nil"/>
            </w:tcBorders>
          </w:tcPr>
          <w:p w14:paraId="3FCD82D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4A219F7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76CE9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noWrap/>
            <w:vAlign w:val="center"/>
          </w:tcPr>
          <w:p w14:paraId="4F480BF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1A00196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4</w:t>
            </w:r>
          </w:p>
        </w:tc>
        <w:tc>
          <w:tcPr>
            <w:tcW w:w="1891" w:type="pct"/>
            <w:tcBorders>
              <w:tl2br w:val="nil"/>
              <w:tr2bl w:val="nil"/>
            </w:tcBorders>
            <w:vAlign w:val="center"/>
          </w:tcPr>
          <w:p w14:paraId="10DBB5B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地下水国控点位Ⅰ-Ⅳ类比例（%）</w:t>
            </w:r>
          </w:p>
        </w:tc>
        <w:tc>
          <w:tcPr>
            <w:tcW w:w="822" w:type="pct"/>
            <w:tcBorders>
              <w:tl2br w:val="nil"/>
              <w:tr2bl w:val="nil"/>
            </w:tcBorders>
            <w:vAlign w:val="center"/>
          </w:tcPr>
          <w:p w14:paraId="57D664B9">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rPr>
            </w:pPr>
            <w:r>
              <w:rPr>
                <w:rFonts w:hint="eastAsia" w:eastAsia="仿宋_GB2312" w:cs="Times New Roman"/>
                <w:color w:val="auto"/>
                <w:sz w:val="24"/>
                <w:szCs w:val="24"/>
                <w:highlight w:val="none"/>
              </w:rPr>
              <w:t>100</w:t>
            </w:r>
          </w:p>
        </w:tc>
        <w:tc>
          <w:tcPr>
            <w:tcW w:w="742" w:type="pct"/>
            <w:tcBorders>
              <w:tl2br w:val="nil"/>
              <w:tr2bl w:val="nil"/>
            </w:tcBorders>
          </w:tcPr>
          <w:p w14:paraId="56E2FF1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5D613F8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7C3EC4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517" w:type="pct"/>
            <w:vMerge w:val="continue"/>
            <w:tcBorders>
              <w:tl2br w:val="nil"/>
              <w:tr2bl w:val="nil"/>
            </w:tcBorders>
            <w:noWrap/>
            <w:vAlign w:val="center"/>
          </w:tcPr>
          <w:p w14:paraId="6EB1AF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31B6D10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5</w:t>
            </w:r>
          </w:p>
        </w:tc>
        <w:tc>
          <w:tcPr>
            <w:tcW w:w="1891" w:type="pct"/>
            <w:tcBorders>
              <w:tl2br w:val="nil"/>
              <w:tr2bl w:val="nil"/>
            </w:tcBorders>
            <w:vAlign w:val="center"/>
          </w:tcPr>
          <w:p w14:paraId="4D7D700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连队生活污水治理管控率（%）</w:t>
            </w:r>
          </w:p>
        </w:tc>
        <w:tc>
          <w:tcPr>
            <w:tcW w:w="822" w:type="pct"/>
            <w:tcBorders>
              <w:tl2br w:val="nil"/>
              <w:tr2bl w:val="nil"/>
            </w:tcBorders>
            <w:vAlign w:val="center"/>
          </w:tcPr>
          <w:p w14:paraId="603F93C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lang w:val="en-US" w:eastAsia="zh-CN"/>
              </w:rPr>
            </w:pPr>
            <w:r>
              <w:rPr>
                <w:rFonts w:hint="eastAsia" w:cs="Times New Roman"/>
                <w:color w:val="auto"/>
                <w:sz w:val="24"/>
                <w:szCs w:val="24"/>
                <w:highlight w:val="none"/>
                <w:lang w:val="en-US" w:eastAsia="zh-CN"/>
              </w:rPr>
              <w:t>85.1</w:t>
            </w:r>
          </w:p>
        </w:tc>
        <w:tc>
          <w:tcPr>
            <w:tcW w:w="742" w:type="pct"/>
            <w:tcBorders>
              <w:tl2br w:val="nil"/>
              <w:tr2bl w:val="nil"/>
            </w:tcBorders>
            <w:vAlign w:val="center"/>
          </w:tcPr>
          <w:p w14:paraId="021463C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63457FA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10EA86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517" w:type="pct"/>
            <w:vMerge w:val="continue"/>
            <w:tcBorders>
              <w:tl2br w:val="nil"/>
              <w:tr2bl w:val="nil"/>
            </w:tcBorders>
            <w:noWrap/>
            <w:vAlign w:val="center"/>
          </w:tcPr>
          <w:p w14:paraId="0F0227C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60BD786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6</w:t>
            </w:r>
          </w:p>
        </w:tc>
        <w:tc>
          <w:tcPr>
            <w:tcW w:w="1891" w:type="pct"/>
            <w:tcBorders>
              <w:tl2br w:val="nil"/>
              <w:tr2bl w:val="nil"/>
            </w:tcBorders>
            <w:vAlign w:val="center"/>
          </w:tcPr>
          <w:p w14:paraId="5FBFEEB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声环境功能区夜间达标率（%）</w:t>
            </w:r>
          </w:p>
        </w:tc>
        <w:tc>
          <w:tcPr>
            <w:tcW w:w="822" w:type="pct"/>
            <w:tcBorders>
              <w:tl2br w:val="nil"/>
              <w:tr2bl w:val="nil"/>
            </w:tcBorders>
            <w:vAlign w:val="center"/>
          </w:tcPr>
          <w:p w14:paraId="6135B54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lang w:eastAsia="zh-CN"/>
              </w:rPr>
            </w:pPr>
            <w:r>
              <w:rPr>
                <w:rFonts w:hint="eastAsia" w:eastAsia="仿宋_GB2312" w:cs="Times New Roman"/>
                <w:color w:val="auto"/>
                <w:sz w:val="24"/>
                <w:szCs w:val="24"/>
                <w:highlight w:val="none"/>
              </w:rPr>
              <w:t>91.</w:t>
            </w:r>
            <w:r>
              <w:rPr>
                <w:rFonts w:hint="eastAsia" w:cs="Times New Roman"/>
                <w:color w:val="auto"/>
                <w:sz w:val="24"/>
                <w:szCs w:val="24"/>
                <w:highlight w:val="none"/>
                <w:lang w:val="en-US" w:eastAsia="zh-CN"/>
              </w:rPr>
              <w:t>2</w:t>
            </w:r>
          </w:p>
        </w:tc>
        <w:tc>
          <w:tcPr>
            <w:tcW w:w="742" w:type="pct"/>
            <w:tcBorders>
              <w:tl2br w:val="nil"/>
              <w:tr2bl w:val="nil"/>
            </w:tcBorders>
            <w:vAlign w:val="center"/>
          </w:tcPr>
          <w:p w14:paraId="6478339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7261118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预期性</w:t>
            </w:r>
          </w:p>
        </w:tc>
      </w:tr>
      <w:tr w14:paraId="3D6E30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restart"/>
            <w:tcBorders>
              <w:tl2br w:val="nil"/>
              <w:tr2bl w:val="nil"/>
            </w:tcBorders>
            <w:vAlign w:val="center"/>
          </w:tcPr>
          <w:p w14:paraId="1028F71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减污降碳协同</w:t>
            </w:r>
          </w:p>
        </w:tc>
        <w:tc>
          <w:tcPr>
            <w:tcW w:w="461" w:type="pct"/>
            <w:tcBorders>
              <w:tl2br w:val="nil"/>
              <w:tr2bl w:val="nil"/>
            </w:tcBorders>
            <w:vAlign w:val="center"/>
          </w:tcPr>
          <w:p w14:paraId="0E9CB37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7</w:t>
            </w:r>
          </w:p>
        </w:tc>
        <w:tc>
          <w:tcPr>
            <w:tcW w:w="1891" w:type="pct"/>
            <w:tcBorders>
              <w:tl2br w:val="nil"/>
              <w:tr2bl w:val="nil"/>
            </w:tcBorders>
            <w:vAlign w:val="center"/>
          </w:tcPr>
          <w:p w14:paraId="2C9D518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单位地区生产总值二氧化碳排放降低（%）</w:t>
            </w:r>
          </w:p>
        </w:tc>
        <w:tc>
          <w:tcPr>
            <w:tcW w:w="822" w:type="pct"/>
            <w:tcBorders>
              <w:tl2br w:val="nil"/>
              <w:tr2bl w:val="nil"/>
            </w:tcBorders>
            <w:vAlign w:val="center"/>
          </w:tcPr>
          <w:p w14:paraId="2A4D0FC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w:t>
            </w:r>
          </w:p>
        </w:tc>
        <w:tc>
          <w:tcPr>
            <w:tcW w:w="742" w:type="pct"/>
            <w:tcBorders>
              <w:tl2br w:val="nil"/>
              <w:tr2bl w:val="nil"/>
            </w:tcBorders>
            <w:vAlign w:val="center"/>
          </w:tcPr>
          <w:p w14:paraId="6962B1B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0A4969D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3E6C9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473BFF3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63BB20B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8</w:t>
            </w:r>
          </w:p>
        </w:tc>
        <w:tc>
          <w:tcPr>
            <w:tcW w:w="1891" w:type="pct"/>
            <w:tcBorders>
              <w:tl2br w:val="nil"/>
              <w:tr2bl w:val="nil"/>
            </w:tcBorders>
            <w:vAlign w:val="center"/>
          </w:tcPr>
          <w:p w14:paraId="1CE32C1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碳市场覆盖行业单位产出碳排放较2025年下降率（%）</w:t>
            </w:r>
          </w:p>
        </w:tc>
        <w:tc>
          <w:tcPr>
            <w:tcW w:w="822" w:type="pct"/>
            <w:tcBorders>
              <w:tl2br w:val="nil"/>
              <w:tr2bl w:val="nil"/>
            </w:tcBorders>
            <w:vAlign w:val="center"/>
          </w:tcPr>
          <w:p w14:paraId="521ED10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w:t>
            </w:r>
          </w:p>
        </w:tc>
        <w:tc>
          <w:tcPr>
            <w:tcW w:w="742" w:type="pct"/>
            <w:tcBorders>
              <w:tl2br w:val="nil"/>
              <w:tr2bl w:val="nil"/>
            </w:tcBorders>
            <w:vAlign w:val="center"/>
          </w:tcPr>
          <w:p w14:paraId="0347057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56A977F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003F9D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6630CFD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79A16E5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9</w:t>
            </w:r>
          </w:p>
        </w:tc>
        <w:tc>
          <w:tcPr>
            <w:tcW w:w="1891" w:type="pct"/>
            <w:tcBorders>
              <w:tl2br w:val="nil"/>
              <w:tr2bl w:val="nil"/>
            </w:tcBorders>
            <w:vAlign w:val="center"/>
          </w:tcPr>
          <w:p w14:paraId="41133BF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氮氧化物重点工程减排量</w:t>
            </w:r>
            <w:r>
              <w:rPr>
                <w:rFonts w:hint="eastAsia" w:eastAsia="仿宋_GB2312" w:cs="Times New Roman"/>
                <w:color w:val="auto"/>
                <w:sz w:val="24"/>
                <w:szCs w:val="24"/>
                <w:highlight w:val="none"/>
              </w:rPr>
              <w:t>（吨）</w:t>
            </w:r>
          </w:p>
        </w:tc>
        <w:tc>
          <w:tcPr>
            <w:tcW w:w="822" w:type="pct"/>
            <w:tcBorders>
              <w:tl2br w:val="nil"/>
              <w:tr2bl w:val="nil"/>
            </w:tcBorders>
            <w:vAlign w:val="center"/>
          </w:tcPr>
          <w:p w14:paraId="19F0B2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lang w:bidi="ar"/>
              </w:rPr>
              <w:t>128</w:t>
            </w:r>
          </w:p>
        </w:tc>
        <w:tc>
          <w:tcPr>
            <w:tcW w:w="742" w:type="pct"/>
            <w:tcBorders>
              <w:tl2br w:val="nil"/>
              <w:tr2bl w:val="nil"/>
            </w:tcBorders>
            <w:vAlign w:val="center"/>
          </w:tcPr>
          <w:p w14:paraId="41F01F5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33EF593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0D7A94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2386584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73F4754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10</w:t>
            </w:r>
          </w:p>
        </w:tc>
        <w:tc>
          <w:tcPr>
            <w:tcW w:w="1891" w:type="pct"/>
            <w:tcBorders>
              <w:tl2br w:val="nil"/>
              <w:tr2bl w:val="nil"/>
            </w:tcBorders>
            <w:vAlign w:val="center"/>
          </w:tcPr>
          <w:p w14:paraId="0445025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挥发性有机物重点工程减排量</w:t>
            </w:r>
            <w:r>
              <w:rPr>
                <w:rFonts w:hint="eastAsia" w:eastAsia="仿宋_GB2312" w:cs="Times New Roman"/>
                <w:color w:val="auto"/>
                <w:sz w:val="24"/>
                <w:szCs w:val="24"/>
                <w:highlight w:val="none"/>
              </w:rPr>
              <w:t>（吨）</w:t>
            </w:r>
          </w:p>
        </w:tc>
        <w:tc>
          <w:tcPr>
            <w:tcW w:w="822" w:type="pct"/>
            <w:tcBorders>
              <w:tl2br w:val="nil"/>
              <w:tr2bl w:val="nil"/>
            </w:tcBorders>
            <w:vAlign w:val="center"/>
          </w:tcPr>
          <w:p w14:paraId="66775E5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lang w:bidi="ar"/>
              </w:rPr>
              <w:t>0.1275</w:t>
            </w:r>
          </w:p>
        </w:tc>
        <w:tc>
          <w:tcPr>
            <w:tcW w:w="742" w:type="pct"/>
            <w:tcBorders>
              <w:tl2br w:val="nil"/>
              <w:tr2bl w:val="nil"/>
            </w:tcBorders>
          </w:tcPr>
          <w:p w14:paraId="0C6B9CF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17720D7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78F355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32905A1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66DC605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sz w:val="24"/>
                <w:szCs w:val="24"/>
                <w:highlight w:val="none"/>
              </w:rPr>
              <w:t>11</w:t>
            </w:r>
          </w:p>
        </w:tc>
        <w:tc>
          <w:tcPr>
            <w:tcW w:w="1891" w:type="pct"/>
            <w:tcBorders>
              <w:tl2br w:val="nil"/>
              <w:tr2bl w:val="nil"/>
            </w:tcBorders>
            <w:vAlign w:val="center"/>
          </w:tcPr>
          <w:p w14:paraId="2F68065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化学需氧量重点工程减排量</w:t>
            </w:r>
            <w:r>
              <w:rPr>
                <w:rFonts w:hint="eastAsia" w:eastAsia="仿宋_GB2312" w:cs="Times New Roman"/>
                <w:color w:val="auto"/>
                <w:sz w:val="24"/>
                <w:szCs w:val="24"/>
                <w:highlight w:val="none"/>
              </w:rPr>
              <w:t>（吨）</w:t>
            </w:r>
          </w:p>
        </w:tc>
        <w:tc>
          <w:tcPr>
            <w:tcW w:w="822" w:type="pct"/>
            <w:tcBorders>
              <w:tl2br w:val="nil"/>
              <w:tr2bl w:val="nil"/>
            </w:tcBorders>
            <w:vAlign w:val="center"/>
          </w:tcPr>
          <w:p w14:paraId="44C7848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lang w:bidi="ar"/>
              </w:rPr>
              <w:t>174</w:t>
            </w:r>
          </w:p>
        </w:tc>
        <w:tc>
          <w:tcPr>
            <w:tcW w:w="742" w:type="pct"/>
            <w:tcBorders>
              <w:tl2br w:val="nil"/>
              <w:tr2bl w:val="nil"/>
            </w:tcBorders>
          </w:tcPr>
          <w:p w14:paraId="3533275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olor w:val="auto"/>
                <w:sz w:val="24"/>
                <w:szCs w:val="24"/>
                <w:highlight w:val="none"/>
              </w:rPr>
              <w:t>完成兵团下达指标</w:t>
            </w:r>
          </w:p>
        </w:tc>
        <w:tc>
          <w:tcPr>
            <w:tcW w:w="565" w:type="pct"/>
            <w:tcBorders>
              <w:tl2br w:val="nil"/>
              <w:tr2bl w:val="nil"/>
            </w:tcBorders>
            <w:vAlign w:val="center"/>
          </w:tcPr>
          <w:p w14:paraId="06795D0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约束性</w:t>
            </w:r>
          </w:p>
        </w:tc>
      </w:tr>
      <w:tr w14:paraId="4BBB9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517" w:type="pct"/>
            <w:vMerge w:val="continue"/>
            <w:tcBorders>
              <w:tl2br w:val="nil"/>
              <w:tr2bl w:val="nil"/>
            </w:tcBorders>
            <w:vAlign w:val="center"/>
          </w:tcPr>
          <w:p w14:paraId="2A20F5B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4D7E38A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12</w:t>
            </w:r>
          </w:p>
        </w:tc>
        <w:tc>
          <w:tcPr>
            <w:tcW w:w="1891" w:type="pct"/>
            <w:tcBorders>
              <w:tl2br w:val="nil"/>
              <w:tr2bl w:val="nil"/>
            </w:tcBorders>
            <w:vAlign w:val="center"/>
          </w:tcPr>
          <w:p w14:paraId="7E51399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总磷重点工程减排量</w:t>
            </w:r>
            <w:r>
              <w:rPr>
                <w:rFonts w:hint="eastAsia" w:eastAsia="仿宋_GB2312" w:cs="Times New Roman"/>
                <w:color w:val="auto"/>
                <w:sz w:val="24"/>
                <w:szCs w:val="24"/>
                <w:highlight w:val="none"/>
              </w:rPr>
              <w:t>（吨）</w:t>
            </w:r>
          </w:p>
        </w:tc>
        <w:tc>
          <w:tcPr>
            <w:tcW w:w="822" w:type="pct"/>
            <w:tcBorders>
              <w:tl2br w:val="nil"/>
              <w:tr2bl w:val="nil"/>
            </w:tcBorders>
            <w:vAlign w:val="center"/>
          </w:tcPr>
          <w:p w14:paraId="0D1B092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w:t>
            </w:r>
          </w:p>
        </w:tc>
        <w:tc>
          <w:tcPr>
            <w:tcW w:w="742" w:type="pct"/>
            <w:tcBorders>
              <w:tl2br w:val="nil"/>
              <w:tr2bl w:val="nil"/>
            </w:tcBorders>
            <w:vAlign w:val="center"/>
          </w:tcPr>
          <w:p w14:paraId="613C13E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58D3ADB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约束性</w:t>
            </w:r>
          </w:p>
        </w:tc>
      </w:tr>
      <w:tr w14:paraId="10269F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517" w:type="pct"/>
            <w:vMerge w:val="restart"/>
            <w:tcBorders>
              <w:tl2br w:val="nil"/>
              <w:tr2bl w:val="nil"/>
            </w:tcBorders>
            <w:vAlign w:val="center"/>
          </w:tcPr>
          <w:p w14:paraId="7752C18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生态系统保护监管</w:t>
            </w:r>
          </w:p>
        </w:tc>
        <w:tc>
          <w:tcPr>
            <w:tcW w:w="461" w:type="pct"/>
            <w:tcBorders>
              <w:tl2br w:val="nil"/>
              <w:tr2bl w:val="nil"/>
            </w:tcBorders>
            <w:vAlign w:val="center"/>
          </w:tcPr>
          <w:p w14:paraId="3CD8564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13</w:t>
            </w:r>
          </w:p>
        </w:tc>
        <w:tc>
          <w:tcPr>
            <w:tcW w:w="1891" w:type="pct"/>
            <w:tcBorders>
              <w:tl2br w:val="nil"/>
              <w:tr2bl w:val="nil"/>
            </w:tcBorders>
            <w:vAlign w:val="center"/>
          </w:tcPr>
          <w:p w14:paraId="5271C43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生态保护红线面积（万平方公里）</w:t>
            </w:r>
          </w:p>
        </w:tc>
        <w:tc>
          <w:tcPr>
            <w:tcW w:w="822" w:type="pct"/>
            <w:tcBorders>
              <w:tl2br w:val="nil"/>
              <w:tr2bl w:val="nil"/>
            </w:tcBorders>
            <w:vAlign w:val="center"/>
          </w:tcPr>
          <w:p w14:paraId="7181728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w:t>
            </w:r>
          </w:p>
        </w:tc>
        <w:tc>
          <w:tcPr>
            <w:tcW w:w="742" w:type="pct"/>
            <w:tcBorders>
              <w:tl2br w:val="nil"/>
              <w:tr2bl w:val="nil"/>
            </w:tcBorders>
            <w:vAlign w:val="center"/>
          </w:tcPr>
          <w:p w14:paraId="0E14A61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不减少</w:t>
            </w:r>
          </w:p>
        </w:tc>
        <w:tc>
          <w:tcPr>
            <w:tcW w:w="565" w:type="pct"/>
            <w:tcBorders>
              <w:tl2br w:val="nil"/>
              <w:tr2bl w:val="nil"/>
            </w:tcBorders>
            <w:vAlign w:val="center"/>
          </w:tcPr>
          <w:p w14:paraId="4934F84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0EB56F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517" w:type="pct"/>
            <w:vMerge w:val="continue"/>
            <w:tcBorders>
              <w:tl2br w:val="nil"/>
              <w:tr2bl w:val="nil"/>
            </w:tcBorders>
            <w:vAlign w:val="center"/>
          </w:tcPr>
          <w:p w14:paraId="34BE0EC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7A4ACD4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14</w:t>
            </w:r>
          </w:p>
        </w:tc>
        <w:tc>
          <w:tcPr>
            <w:tcW w:w="1891" w:type="pct"/>
            <w:tcBorders>
              <w:tl2br w:val="nil"/>
              <w:tr2bl w:val="nil"/>
            </w:tcBorders>
            <w:vAlign w:val="center"/>
          </w:tcPr>
          <w:p w14:paraId="22B0F6F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eastAsia="仿宋_GB2312" w:cs="Times New Roman"/>
                <w:color w:val="auto"/>
                <w:sz w:val="24"/>
                <w:szCs w:val="24"/>
                <w:highlight w:val="none"/>
              </w:rPr>
            </w:pPr>
            <w:r>
              <w:rPr>
                <w:rFonts w:hint="default" w:eastAsia="仿宋_GB2312" w:cs="Times New Roman"/>
                <w:color w:val="auto"/>
                <w:kern w:val="0"/>
                <w:sz w:val="24"/>
                <w:szCs w:val="24"/>
                <w:highlight w:val="none"/>
              </w:rPr>
              <w:t>生态质量指数</w:t>
            </w:r>
            <w:r>
              <w:rPr>
                <w:rFonts w:hint="eastAsia" w:eastAsia="仿宋_GB2312" w:cs="Times New Roman"/>
                <w:color w:val="auto"/>
                <w:kern w:val="0"/>
                <w:sz w:val="24"/>
                <w:szCs w:val="24"/>
                <w:highlight w:val="none"/>
              </w:rPr>
              <w:t>（</w:t>
            </w:r>
            <w:r>
              <w:rPr>
                <w:rStyle w:val="82"/>
                <w:color w:val="auto"/>
                <w:sz w:val="24"/>
                <w:szCs w:val="24"/>
                <w:highlight w:val="none"/>
              </w:rPr>
              <w:t>EQI</w:t>
            </w:r>
            <w:r>
              <w:rPr>
                <w:rFonts w:hint="eastAsia" w:eastAsia="仿宋_GB2312" w:cs="Times New Roman"/>
                <w:color w:val="auto"/>
                <w:kern w:val="0"/>
                <w:sz w:val="24"/>
                <w:szCs w:val="24"/>
                <w:highlight w:val="none"/>
              </w:rPr>
              <w:t>）</w:t>
            </w:r>
          </w:p>
        </w:tc>
        <w:tc>
          <w:tcPr>
            <w:tcW w:w="822" w:type="pct"/>
            <w:tcBorders>
              <w:tl2br w:val="nil"/>
              <w:tr2bl w:val="nil"/>
            </w:tcBorders>
            <w:vAlign w:val="center"/>
          </w:tcPr>
          <w:p w14:paraId="79FFAFD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w:t>
            </w:r>
          </w:p>
        </w:tc>
        <w:tc>
          <w:tcPr>
            <w:tcW w:w="742" w:type="pct"/>
            <w:tcBorders>
              <w:tl2br w:val="nil"/>
              <w:tr2bl w:val="nil"/>
            </w:tcBorders>
            <w:vAlign w:val="center"/>
          </w:tcPr>
          <w:p w14:paraId="610A58F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保持稳定</w:t>
            </w:r>
          </w:p>
        </w:tc>
        <w:tc>
          <w:tcPr>
            <w:tcW w:w="565" w:type="pct"/>
            <w:tcBorders>
              <w:tl2br w:val="nil"/>
              <w:tr2bl w:val="nil"/>
            </w:tcBorders>
            <w:vAlign w:val="center"/>
          </w:tcPr>
          <w:p w14:paraId="650512F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1D2088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restart"/>
            <w:tcBorders>
              <w:tl2br w:val="nil"/>
              <w:tr2bl w:val="nil"/>
            </w:tcBorders>
            <w:vAlign w:val="center"/>
          </w:tcPr>
          <w:p w14:paraId="61922F5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生态安全屏障</w:t>
            </w:r>
          </w:p>
        </w:tc>
        <w:tc>
          <w:tcPr>
            <w:tcW w:w="461" w:type="pct"/>
            <w:tcBorders>
              <w:tl2br w:val="nil"/>
              <w:tr2bl w:val="nil"/>
            </w:tcBorders>
            <w:vAlign w:val="center"/>
          </w:tcPr>
          <w:p w14:paraId="402F925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15</w:t>
            </w:r>
          </w:p>
        </w:tc>
        <w:tc>
          <w:tcPr>
            <w:tcW w:w="1891" w:type="pct"/>
            <w:tcBorders>
              <w:tl2br w:val="nil"/>
              <w:tr2bl w:val="nil"/>
            </w:tcBorders>
            <w:vAlign w:val="center"/>
          </w:tcPr>
          <w:p w14:paraId="7C0F17F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建设用地安全利用</w:t>
            </w:r>
          </w:p>
        </w:tc>
        <w:tc>
          <w:tcPr>
            <w:tcW w:w="822" w:type="pct"/>
            <w:tcBorders>
              <w:tl2br w:val="nil"/>
              <w:tr2bl w:val="nil"/>
            </w:tcBorders>
            <w:vAlign w:val="center"/>
          </w:tcPr>
          <w:p w14:paraId="6A16FCD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有效保障</w:t>
            </w:r>
          </w:p>
        </w:tc>
        <w:tc>
          <w:tcPr>
            <w:tcW w:w="742" w:type="pct"/>
            <w:tcBorders>
              <w:tl2br w:val="nil"/>
              <w:tr2bl w:val="nil"/>
            </w:tcBorders>
            <w:vAlign w:val="center"/>
          </w:tcPr>
          <w:p w14:paraId="0EEF11F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有效保障</w:t>
            </w:r>
          </w:p>
        </w:tc>
        <w:tc>
          <w:tcPr>
            <w:tcW w:w="565" w:type="pct"/>
            <w:tcBorders>
              <w:tl2br w:val="nil"/>
              <w:tr2bl w:val="nil"/>
            </w:tcBorders>
            <w:vAlign w:val="center"/>
          </w:tcPr>
          <w:p w14:paraId="048FD66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约束性</w:t>
            </w:r>
          </w:p>
        </w:tc>
      </w:tr>
      <w:tr w14:paraId="1FDA0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04265B3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4E85EE7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default" w:eastAsia="仿宋_GB2312" w:cs="Times New Roman"/>
                <w:color w:val="auto"/>
                <w:kern w:val="0"/>
                <w:sz w:val="24"/>
                <w:szCs w:val="24"/>
                <w:highlight w:val="none"/>
              </w:rPr>
              <w:t>16</w:t>
            </w:r>
          </w:p>
        </w:tc>
        <w:tc>
          <w:tcPr>
            <w:tcW w:w="1891" w:type="pct"/>
            <w:tcBorders>
              <w:tl2br w:val="nil"/>
              <w:tr2bl w:val="nil"/>
            </w:tcBorders>
            <w:vAlign w:val="center"/>
          </w:tcPr>
          <w:p w14:paraId="031A793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受污染耕地安全利用率（%）</w:t>
            </w:r>
          </w:p>
        </w:tc>
        <w:tc>
          <w:tcPr>
            <w:tcW w:w="822" w:type="pct"/>
            <w:tcBorders>
              <w:tl2br w:val="nil"/>
              <w:tr2bl w:val="nil"/>
            </w:tcBorders>
            <w:vAlign w:val="center"/>
          </w:tcPr>
          <w:p w14:paraId="29A903F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cs="Times New Roman"/>
                <w:color w:val="auto"/>
                <w:sz w:val="24"/>
                <w:szCs w:val="24"/>
                <w:highlight w:val="none"/>
                <w:lang w:val="en-US" w:eastAsia="zh-CN"/>
              </w:rPr>
              <w:t>未发现</w:t>
            </w:r>
            <w:r>
              <w:rPr>
                <w:rFonts w:hint="eastAsia" w:eastAsia="仿宋_GB2312" w:cs="Times New Roman"/>
                <w:color w:val="auto"/>
                <w:sz w:val="24"/>
                <w:szCs w:val="24"/>
                <w:highlight w:val="none"/>
              </w:rPr>
              <w:t>受污染耕地</w:t>
            </w:r>
          </w:p>
        </w:tc>
        <w:tc>
          <w:tcPr>
            <w:tcW w:w="742" w:type="pct"/>
            <w:tcBorders>
              <w:tl2br w:val="nil"/>
              <w:tr2bl w:val="nil"/>
            </w:tcBorders>
            <w:vAlign w:val="center"/>
          </w:tcPr>
          <w:p w14:paraId="540A7539">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98%</w:t>
            </w:r>
          </w:p>
        </w:tc>
        <w:tc>
          <w:tcPr>
            <w:tcW w:w="565" w:type="pct"/>
            <w:tcBorders>
              <w:tl2br w:val="nil"/>
              <w:tr2bl w:val="nil"/>
            </w:tcBorders>
            <w:vAlign w:val="center"/>
          </w:tcPr>
          <w:p w14:paraId="303FEFA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约束性</w:t>
            </w:r>
          </w:p>
        </w:tc>
      </w:tr>
      <w:tr w14:paraId="4A9170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vAlign w:val="center"/>
          </w:tcPr>
          <w:p w14:paraId="0B0DFB0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326462B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17</w:t>
            </w:r>
          </w:p>
        </w:tc>
        <w:tc>
          <w:tcPr>
            <w:tcW w:w="1891" w:type="pct"/>
            <w:tcBorders>
              <w:tl2br w:val="nil"/>
              <w:tr2bl w:val="nil"/>
            </w:tcBorders>
            <w:vAlign w:val="center"/>
          </w:tcPr>
          <w:p w14:paraId="502B9CC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新污染物环境风险管控率（%）</w:t>
            </w:r>
          </w:p>
        </w:tc>
        <w:tc>
          <w:tcPr>
            <w:tcW w:w="822" w:type="pct"/>
            <w:tcBorders>
              <w:tl2br w:val="nil"/>
              <w:tr2bl w:val="nil"/>
            </w:tcBorders>
            <w:vAlign w:val="center"/>
          </w:tcPr>
          <w:p w14:paraId="342B8FF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w:t>
            </w:r>
          </w:p>
        </w:tc>
        <w:tc>
          <w:tcPr>
            <w:tcW w:w="742" w:type="pct"/>
            <w:tcBorders>
              <w:tl2br w:val="nil"/>
              <w:tr2bl w:val="nil"/>
            </w:tcBorders>
            <w:vAlign w:val="center"/>
          </w:tcPr>
          <w:p w14:paraId="063F87C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4E48668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66A6C2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517" w:type="pct"/>
            <w:vMerge w:val="continue"/>
            <w:tcBorders>
              <w:tl2br w:val="nil"/>
              <w:tr2bl w:val="nil"/>
            </w:tcBorders>
            <w:noWrap/>
            <w:vAlign w:val="center"/>
          </w:tcPr>
          <w:p w14:paraId="48895E3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p>
        </w:tc>
        <w:tc>
          <w:tcPr>
            <w:tcW w:w="461" w:type="pct"/>
            <w:tcBorders>
              <w:tl2br w:val="nil"/>
              <w:tr2bl w:val="nil"/>
            </w:tcBorders>
            <w:vAlign w:val="center"/>
          </w:tcPr>
          <w:p w14:paraId="58F0451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18</w:t>
            </w:r>
          </w:p>
        </w:tc>
        <w:tc>
          <w:tcPr>
            <w:tcW w:w="1891" w:type="pct"/>
            <w:tcBorders>
              <w:tl2br w:val="nil"/>
              <w:tr2bl w:val="nil"/>
            </w:tcBorders>
            <w:vAlign w:val="center"/>
          </w:tcPr>
          <w:p w14:paraId="1497466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放射源辐射事故年发生率（起/万枚）</w:t>
            </w:r>
          </w:p>
        </w:tc>
        <w:tc>
          <w:tcPr>
            <w:tcW w:w="822" w:type="pct"/>
            <w:tcBorders>
              <w:tl2br w:val="nil"/>
              <w:tr2bl w:val="nil"/>
            </w:tcBorders>
            <w:vAlign w:val="center"/>
          </w:tcPr>
          <w:p w14:paraId="0A75402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eastAsia" w:eastAsia="仿宋_GB2312" w:cs="Times New Roman"/>
                <w:color w:val="auto"/>
                <w:sz w:val="24"/>
                <w:szCs w:val="24"/>
                <w:highlight w:val="none"/>
              </w:rPr>
              <w:t>0</w:t>
            </w:r>
          </w:p>
        </w:tc>
        <w:tc>
          <w:tcPr>
            <w:tcW w:w="742" w:type="pct"/>
            <w:tcBorders>
              <w:tl2br w:val="nil"/>
              <w:tr2bl w:val="nil"/>
            </w:tcBorders>
            <w:vAlign w:val="center"/>
          </w:tcPr>
          <w:p w14:paraId="4F2AE45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≤1</w:t>
            </w:r>
          </w:p>
        </w:tc>
        <w:tc>
          <w:tcPr>
            <w:tcW w:w="565" w:type="pct"/>
            <w:tcBorders>
              <w:tl2br w:val="nil"/>
              <w:tr2bl w:val="nil"/>
            </w:tcBorders>
            <w:vAlign w:val="center"/>
          </w:tcPr>
          <w:p w14:paraId="3B87DFF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r w14:paraId="311A5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517" w:type="pct"/>
            <w:tcBorders>
              <w:tl2br w:val="nil"/>
              <w:tr2bl w:val="nil"/>
            </w:tcBorders>
            <w:vAlign w:val="center"/>
          </w:tcPr>
          <w:p w14:paraId="267A80BD">
            <w:pPr>
              <w:keepNext w:val="0"/>
              <w:keepLines w:val="0"/>
              <w:widowControl/>
              <w:suppressLineNumbers w:val="0"/>
              <w:spacing w:before="0" w:beforeAutospacing="0" w:after="0" w:afterAutospacing="0" w:line="240" w:lineRule="auto"/>
              <w:ind w:left="0" w:right="0" w:firstLine="0" w:firstLineChars="0"/>
              <w:jc w:val="center"/>
              <w:rPr>
                <w:rFonts w:hint="default" w:eastAsia="仿宋_GB2312" w:cs="Times New Roman"/>
                <w:color w:val="auto"/>
                <w:sz w:val="24"/>
                <w:szCs w:val="24"/>
                <w:highlight w:val="none"/>
              </w:rPr>
            </w:pPr>
            <w:r>
              <w:rPr>
                <w:rFonts w:hint="eastAsia" w:cs="Times New Roman"/>
                <w:color w:val="auto"/>
                <w:sz w:val="24"/>
                <w:szCs w:val="24"/>
                <w:highlight w:val="none"/>
                <w:lang w:eastAsia="zh-CN"/>
              </w:rPr>
              <w:t>“</w:t>
            </w:r>
            <w:r>
              <w:rPr>
                <w:rFonts w:hint="default" w:eastAsia="仿宋_GB2312" w:cs="Times New Roman"/>
                <w:color w:val="auto"/>
                <w:sz w:val="24"/>
                <w:szCs w:val="24"/>
                <w:highlight w:val="none"/>
              </w:rPr>
              <w:t>美丽系列</w:t>
            </w:r>
            <w:r>
              <w:rPr>
                <w:rFonts w:hint="eastAsia" w:cs="Times New Roman"/>
                <w:color w:val="auto"/>
                <w:sz w:val="24"/>
                <w:szCs w:val="24"/>
                <w:highlight w:val="none"/>
                <w:lang w:eastAsia="zh-CN"/>
              </w:rPr>
              <w:t>”</w:t>
            </w:r>
            <w:r>
              <w:rPr>
                <w:rFonts w:hint="default" w:eastAsia="仿宋_GB2312" w:cs="Times New Roman"/>
                <w:color w:val="auto"/>
                <w:sz w:val="24"/>
                <w:szCs w:val="24"/>
                <w:highlight w:val="none"/>
              </w:rPr>
              <w:t>建设</w:t>
            </w:r>
          </w:p>
        </w:tc>
        <w:tc>
          <w:tcPr>
            <w:tcW w:w="461" w:type="pct"/>
            <w:tcBorders>
              <w:tl2br w:val="nil"/>
              <w:tr2bl w:val="nil"/>
            </w:tcBorders>
            <w:vAlign w:val="center"/>
          </w:tcPr>
          <w:p w14:paraId="44A9932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19</w:t>
            </w:r>
          </w:p>
        </w:tc>
        <w:tc>
          <w:tcPr>
            <w:tcW w:w="1891" w:type="pct"/>
            <w:tcBorders>
              <w:tl2br w:val="nil"/>
              <w:tr2bl w:val="nil"/>
            </w:tcBorders>
            <w:vAlign w:val="center"/>
          </w:tcPr>
          <w:p w14:paraId="387FE7E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sz w:val="24"/>
                <w:szCs w:val="24"/>
                <w:highlight w:val="none"/>
              </w:rPr>
              <w:t>美丽连队整团建成率（%）</w:t>
            </w:r>
          </w:p>
        </w:tc>
        <w:tc>
          <w:tcPr>
            <w:tcW w:w="822" w:type="pct"/>
            <w:tcBorders>
              <w:tl2br w:val="nil"/>
              <w:tr2bl w:val="nil"/>
            </w:tcBorders>
            <w:vAlign w:val="center"/>
          </w:tcPr>
          <w:p w14:paraId="1DEFAE5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lang w:val="en-US" w:eastAsia="zh-CN"/>
              </w:rPr>
            </w:pPr>
            <w:r>
              <w:rPr>
                <w:rFonts w:hint="eastAsia" w:cs="Times New Roman"/>
                <w:color w:val="auto"/>
                <w:sz w:val="24"/>
                <w:szCs w:val="24"/>
                <w:highlight w:val="none"/>
                <w:lang w:val="en-US" w:eastAsia="zh-CN"/>
              </w:rPr>
              <w:t>22.2</w:t>
            </w:r>
          </w:p>
        </w:tc>
        <w:tc>
          <w:tcPr>
            <w:tcW w:w="742" w:type="pct"/>
            <w:tcBorders>
              <w:tl2br w:val="nil"/>
              <w:tr2bl w:val="nil"/>
            </w:tcBorders>
            <w:vAlign w:val="center"/>
          </w:tcPr>
          <w:p w14:paraId="0EFFB59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kern w:val="0"/>
                <w:sz w:val="24"/>
                <w:szCs w:val="24"/>
                <w:highlight w:val="none"/>
              </w:rPr>
            </w:pPr>
            <w:r>
              <w:rPr>
                <w:rFonts w:hint="eastAsia" w:eastAsia="仿宋_GB2312" w:cs="Times New Roman"/>
                <w:color w:val="auto"/>
                <w:sz w:val="24"/>
                <w:szCs w:val="24"/>
                <w:highlight w:val="none"/>
              </w:rPr>
              <w:t>完成兵团下达指标</w:t>
            </w:r>
          </w:p>
        </w:tc>
        <w:tc>
          <w:tcPr>
            <w:tcW w:w="565" w:type="pct"/>
            <w:tcBorders>
              <w:tl2br w:val="nil"/>
              <w:tr2bl w:val="nil"/>
            </w:tcBorders>
            <w:vAlign w:val="center"/>
          </w:tcPr>
          <w:p w14:paraId="02E5487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eastAsia="仿宋_GB2312" w:cs="Times New Roman"/>
                <w:color w:val="auto"/>
                <w:sz w:val="24"/>
                <w:szCs w:val="24"/>
                <w:highlight w:val="none"/>
              </w:rPr>
            </w:pPr>
            <w:r>
              <w:rPr>
                <w:rFonts w:hint="default" w:eastAsia="仿宋_GB2312" w:cs="Times New Roman"/>
                <w:color w:val="auto"/>
                <w:kern w:val="0"/>
                <w:sz w:val="24"/>
                <w:szCs w:val="24"/>
                <w:highlight w:val="none"/>
              </w:rPr>
              <w:t>预期性</w:t>
            </w:r>
          </w:p>
        </w:tc>
      </w:tr>
    </w:tbl>
    <w:p w14:paraId="4CE883BA">
      <w:pPr>
        <w:ind w:firstLine="0" w:firstLineChars="0"/>
        <w:rPr>
          <w:color w:val="auto"/>
        </w:rPr>
      </w:pPr>
    </w:p>
    <w:p w14:paraId="0C82B67A">
      <w:pPr>
        <w:pStyle w:val="2"/>
        <w:bidi w:val="0"/>
        <w:ind w:left="0" w:leftChars="0" w:firstLine="0" w:firstLineChars="0"/>
        <w:rPr>
          <w:color w:val="auto"/>
        </w:rPr>
      </w:pPr>
      <w:bookmarkStart w:id="29" w:name="_Toc19306"/>
      <w:bookmarkStart w:id="30" w:name="_Toc7696"/>
      <w:bookmarkStart w:id="31" w:name="_Toc29396"/>
      <w:r>
        <w:rPr>
          <w:rFonts w:hint="eastAsia"/>
          <w:color w:val="auto"/>
        </w:rPr>
        <w:t>坚持分级分类，建设美丽五师</w:t>
      </w:r>
      <w:bookmarkEnd w:id="29"/>
      <w:bookmarkEnd w:id="30"/>
      <w:bookmarkEnd w:id="31"/>
    </w:p>
    <w:p w14:paraId="0B9C3438">
      <w:pPr>
        <w:pStyle w:val="3"/>
        <w:bidi w:val="0"/>
        <w:ind w:left="0" w:leftChars="0" w:firstLine="0" w:firstLineChars="0"/>
        <w:rPr>
          <w:color w:val="auto"/>
        </w:rPr>
      </w:pPr>
      <w:bookmarkStart w:id="32" w:name="_Toc16791"/>
      <w:bookmarkStart w:id="33" w:name="_Toc6225"/>
      <w:bookmarkStart w:id="34" w:name="_Toc6920"/>
      <w:r>
        <w:rPr>
          <w:rFonts w:hint="eastAsia"/>
          <w:color w:val="auto"/>
        </w:rPr>
        <w:t>全面推动美丽城市建设</w:t>
      </w:r>
      <w:bookmarkEnd w:id="32"/>
      <w:bookmarkEnd w:id="33"/>
      <w:bookmarkEnd w:id="34"/>
    </w:p>
    <w:p w14:paraId="5247F66E">
      <w:pPr>
        <w:ind w:firstLine="480"/>
        <w:rPr>
          <w:rFonts w:hint="default" w:eastAsia="仿宋_GB2312"/>
          <w:color w:val="auto"/>
          <w:lang w:val="en-US" w:eastAsia="zh-CN"/>
        </w:rPr>
      </w:pPr>
      <w:r>
        <w:rPr>
          <w:rFonts w:hint="eastAsia"/>
          <w:color w:val="auto"/>
        </w:rPr>
        <w:t>深入践行人民城市理念，坚持以“一个优化、六个建设”为引领，推动绿色低碳、环境优美、生态宜居、安全健康、智慧高效的美丽城市建设，探索好用管用、群众满意的实践模式。探索编制美丽城市建设重大项目投融资方案，以城市为载体探索区域性环保建设项目金融支持模式。</w:t>
      </w:r>
    </w:p>
    <w:p w14:paraId="7BA3AC91">
      <w:pPr>
        <w:pStyle w:val="3"/>
        <w:bidi w:val="0"/>
        <w:ind w:left="0" w:leftChars="0" w:firstLine="0" w:firstLineChars="0"/>
        <w:rPr>
          <w:rFonts w:hint="eastAsia"/>
          <w:color w:val="auto"/>
        </w:rPr>
      </w:pPr>
      <w:bookmarkStart w:id="35" w:name="_Toc25222"/>
      <w:bookmarkStart w:id="36" w:name="_Toc14717"/>
      <w:bookmarkStart w:id="37" w:name="_Toc23888"/>
      <w:r>
        <w:rPr>
          <w:rFonts w:hint="eastAsia"/>
          <w:color w:val="auto"/>
        </w:rPr>
        <w:t>建设美丽连队示范标杆</w:t>
      </w:r>
      <w:bookmarkEnd w:id="35"/>
      <w:bookmarkEnd w:id="36"/>
      <w:bookmarkEnd w:id="37"/>
    </w:p>
    <w:p w14:paraId="756221F4">
      <w:pPr>
        <w:ind w:firstLine="482"/>
        <w:rPr>
          <w:color w:val="auto"/>
          <w:sz w:val="30"/>
          <w:szCs w:val="30"/>
        </w:rPr>
      </w:pPr>
      <w:r>
        <w:rPr>
          <w:rFonts w:hint="eastAsia"/>
          <w:b/>
          <w:bCs/>
          <w:color w:val="auto"/>
          <w:sz w:val="30"/>
          <w:szCs w:val="30"/>
        </w:rPr>
        <w:t>整团推进美丽连队建设。</w:t>
      </w:r>
      <w:r>
        <w:rPr>
          <w:rFonts w:hint="eastAsia"/>
          <w:color w:val="auto"/>
          <w:sz w:val="30"/>
          <w:szCs w:val="30"/>
        </w:rPr>
        <w:t>学习运用“千万工程”经验，开展整团推进美丽连队</w:t>
      </w:r>
      <w:r>
        <w:rPr>
          <w:rFonts w:hint="eastAsia"/>
          <w:color w:val="auto"/>
          <w:sz w:val="30"/>
          <w:szCs w:val="30"/>
          <w:lang w:eastAsia="zh-CN"/>
        </w:rPr>
        <w:t>（</w:t>
      </w:r>
      <w:r>
        <w:rPr>
          <w:rFonts w:hint="eastAsia"/>
          <w:color w:val="auto"/>
          <w:sz w:val="30"/>
          <w:szCs w:val="30"/>
        </w:rPr>
        <w:t>村</w:t>
      </w:r>
      <w:r>
        <w:rPr>
          <w:rFonts w:hint="eastAsia"/>
          <w:color w:val="auto"/>
          <w:sz w:val="30"/>
          <w:szCs w:val="30"/>
          <w:lang w:eastAsia="zh-CN"/>
        </w:rPr>
        <w:t>）</w:t>
      </w:r>
      <w:r>
        <w:rPr>
          <w:rFonts w:hint="eastAsia"/>
          <w:color w:val="auto"/>
          <w:sz w:val="30"/>
          <w:szCs w:val="30"/>
        </w:rPr>
        <w:t>建设行动，打造生态宜居连队样板，创新培育发展新业态新模式，推进生态环境质量、农业绿色低碳发展水平、职工群众生活品质全面提升。探索美丽连队建设典型做法和创新模式，创建美丽连队建设示范标杆。</w:t>
      </w:r>
    </w:p>
    <w:p w14:paraId="10316916">
      <w:pPr>
        <w:ind w:firstLine="482"/>
        <w:rPr>
          <w:color w:val="auto"/>
          <w:sz w:val="30"/>
          <w:szCs w:val="30"/>
        </w:rPr>
      </w:pPr>
      <w:r>
        <w:rPr>
          <w:rFonts w:hint="eastAsia"/>
          <w:b/>
          <w:bCs/>
          <w:color w:val="auto"/>
          <w:sz w:val="30"/>
          <w:szCs w:val="30"/>
        </w:rPr>
        <w:t>持续改善农村人居环境。</w:t>
      </w:r>
      <w:r>
        <w:rPr>
          <w:rFonts w:hint="eastAsia"/>
          <w:color w:val="auto"/>
          <w:sz w:val="30"/>
          <w:szCs w:val="30"/>
        </w:rPr>
        <w:t>以“百连示范工程”为抓手，统筹推动连队生态振兴和人居环境整治，深入打好</w:t>
      </w:r>
      <w:r>
        <w:rPr>
          <w:rFonts w:hint="eastAsia"/>
          <w:color w:val="auto"/>
          <w:sz w:val="30"/>
          <w:szCs w:val="30"/>
          <w:lang w:eastAsia="zh-CN"/>
        </w:rPr>
        <w:t>农业农村污染治理攻坚战</w:t>
      </w:r>
      <w:r>
        <w:rPr>
          <w:rFonts w:hint="eastAsia"/>
          <w:color w:val="auto"/>
          <w:sz w:val="30"/>
          <w:szCs w:val="30"/>
        </w:rPr>
        <w:t>。保持连队生活污水治理（管控）率现有水平</w:t>
      </w:r>
      <w:r>
        <w:rPr>
          <w:rFonts w:hint="eastAsia"/>
          <w:color w:val="auto"/>
          <w:sz w:val="30"/>
          <w:szCs w:val="30"/>
          <w:lang w:val="en-US" w:eastAsia="zh-CN"/>
        </w:rPr>
        <w:t>并稳步提升</w:t>
      </w:r>
      <w:r>
        <w:rPr>
          <w:rFonts w:hint="eastAsia"/>
          <w:color w:val="auto"/>
          <w:sz w:val="30"/>
          <w:szCs w:val="30"/>
        </w:rPr>
        <w:t>。完善连队生活垃圾收运处置体系，明确设施管理维护责任主体和经费来源，保障收运处置体系常态化运行。持续开展连队黑臭水体排查，巩固无黑臭水体成效。持续提升连容连貌，强化连队空间设计和风貌引导，因地制宜打造团场连队公共环境，将当地特色与兵团文化、民族团结、军垦元素深度融合，塑造独具兵团特色的乡村风貌，因地制宜增加连队绿量。</w:t>
      </w:r>
    </w:p>
    <w:p w14:paraId="0EC49A8D">
      <w:pPr>
        <w:ind w:firstLine="482"/>
        <w:rPr>
          <w:color w:val="auto"/>
          <w:sz w:val="30"/>
          <w:szCs w:val="30"/>
        </w:rPr>
      </w:pPr>
      <w:r>
        <w:rPr>
          <w:rFonts w:hint="eastAsia"/>
          <w:b/>
          <w:bCs/>
          <w:color w:val="auto"/>
          <w:sz w:val="30"/>
          <w:szCs w:val="30"/>
        </w:rPr>
        <w:t>推进连队绿色低碳发展。</w:t>
      </w:r>
      <w:r>
        <w:rPr>
          <w:rFonts w:hint="eastAsia"/>
          <w:color w:val="auto"/>
          <w:sz w:val="30"/>
          <w:szCs w:val="30"/>
        </w:rPr>
        <w:t>大力推进连队清洁能源替代，成片推进清洁取暖，逐步推进散煤清洁能源替代，推广生物质能、太阳能等绿色用能模式</w:t>
      </w:r>
      <w:r>
        <w:rPr>
          <w:rFonts w:hint="eastAsia"/>
          <w:color w:val="auto"/>
          <w:sz w:val="30"/>
          <w:szCs w:val="30"/>
          <w:lang w:eastAsia="zh-CN"/>
        </w:rPr>
        <w:t>，</w:t>
      </w:r>
      <w:r>
        <w:rPr>
          <w:rFonts w:hint="eastAsia"/>
          <w:color w:val="auto"/>
          <w:sz w:val="30"/>
          <w:szCs w:val="30"/>
        </w:rPr>
        <w:t>大力推进农业绿色低碳发展。严格农用地土壤污染源头防控，持续推进土壤重金属污染溯源、整治工作。科学布局养殖规模，推进畜禽粪污资源化利用，在散养密集区因地制宜建立畜禽粪污收运利用系统。加强农膜科学使用处置，推广使用加厚高强度地膜和全生物降解地膜，因地制宜建立废旧地膜科学处置体系。多渠道拓宽秸秆综合利用途径，健全秸秆收储运服务体系。加强重点区域农业面源治理。持续深化农业面源污染防治，加强农业废弃物资源化利用，推进畜禽养殖场粪污收运利用体系建设。</w:t>
      </w:r>
    </w:p>
    <w:p w14:paraId="7C670854">
      <w:pPr>
        <w:pStyle w:val="3"/>
        <w:bidi w:val="0"/>
        <w:ind w:left="0" w:leftChars="0" w:firstLine="0" w:firstLineChars="0"/>
        <w:rPr>
          <w:rFonts w:hint="eastAsia"/>
          <w:color w:val="auto"/>
        </w:rPr>
      </w:pPr>
      <w:bookmarkStart w:id="38" w:name="_Toc4833"/>
      <w:bookmarkStart w:id="39" w:name="_Toc2031"/>
      <w:bookmarkStart w:id="40" w:name="_Toc17044"/>
      <w:r>
        <w:rPr>
          <w:rFonts w:hint="eastAsia"/>
          <w:color w:val="auto"/>
        </w:rPr>
        <w:t>建设各类美丽细胞</w:t>
      </w:r>
      <w:bookmarkEnd w:id="38"/>
      <w:bookmarkEnd w:id="39"/>
      <w:bookmarkEnd w:id="40"/>
    </w:p>
    <w:p w14:paraId="17B782D7">
      <w:pPr>
        <w:ind w:firstLine="480"/>
        <w:rPr>
          <w:rFonts w:hint="eastAsia"/>
          <w:color w:val="auto"/>
        </w:rPr>
      </w:pPr>
      <w:r>
        <w:rPr>
          <w:rFonts w:hint="eastAsia"/>
          <w:b/>
          <w:bCs/>
          <w:color w:val="auto"/>
        </w:rPr>
        <w:t>持续推进示范创建工作。</w:t>
      </w:r>
      <w:r>
        <w:rPr>
          <w:rFonts w:hint="eastAsia"/>
          <w:color w:val="auto"/>
        </w:rPr>
        <w:t>持续深入践行“绿水青山就是金山银山”发展理念，巩固和提升</w:t>
      </w:r>
      <w:r>
        <w:rPr>
          <w:rFonts w:hint="eastAsia"/>
          <w:color w:val="auto"/>
          <w:lang w:val="en-US" w:eastAsia="zh-CN"/>
        </w:rPr>
        <w:t>师市</w:t>
      </w:r>
      <w:r>
        <w:rPr>
          <w:rFonts w:hint="eastAsia"/>
          <w:color w:val="auto"/>
        </w:rPr>
        <w:t>生态文明建设成果，充分发挥示范带头作用，推进“美丽五师”建设全面融入基层治理体系。选择有条件的团场持续开展</w:t>
      </w:r>
      <w:r>
        <w:rPr>
          <w:rFonts w:hint="eastAsia"/>
          <w:color w:val="auto"/>
          <w:lang w:eastAsia="zh-CN"/>
        </w:rPr>
        <w:t>“绿水青山就是金山银山”实践创新基地</w:t>
      </w:r>
      <w:r>
        <w:rPr>
          <w:rFonts w:hint="eastAsia"/>
          <w:color w:val="auto"/>
        </w:rPr>
        <w:t>创建，凝练与推广“绿水青山”与“金山银山”双向转化模式，拓宽生态</w:t>
      </w:r>
      <w:r>
        <w:rPr>
          <w:rFonts w:hint="eastAsia"/>
          <w:color w:val="auto"/>
          <w:lang w:val="en-US" w:eastAsia="zh-CN"/>
        </w:rPr>
        <w:t>价值实现</w:t>
      </w:r>
      <w:r>
        <w:rPr>
          <w:rFonts w:hint="eastAsia"/>
          <w:color w:val="auto"/>
        </w:rPr>
        <w:t>路径。</w:t>
      </w:r>
    </w:p>
    <w:p w14:paraId="19695A90">
      <w:pPr>
        <w:ind w:firstLine="480"/>
        <w:rPr>
          <w:color w:val="auto"/>
        </w:rPr>
      </w:pPr>
      <w:r>
        <w:rPr>
          <w:rFonts w:hint="eastAsia"/>
          <w:b/>
          <w:bCs/>
          <w:color w:val="auto"/>
        </w:rPr>
        <w:t>强化美丽细胞引领。</w:t>
      </w:r>
      <w:r>
        <w:rPr>
          <w:rFonts w:hint="eastAsia"/>
          <w:color w:val="auto"/>
        </w:rPr>
        <w:t>鼓励引导</w:t>
      </w:r>
      <w:r>
        <w:rPr>
          <w:rFonts w:hint="eastAsia"/>
          <w:color w:val="auto"/>
          <w:lang w:val="en-US" w:eastAsia="zh-CN"/>
        </w:rPr>
        <w:t>各类园区、厂矿企业、学校、街道、庭院</w:t>
      </w:r>
      <w:r>
        <w:rPr>
          <w:rFonts w:hint="eastAsia"/>
          <w:color w:val="auto"/>
        </w:rPr>
        <w:t>等开展丰富多彩的绿色、清洁、零碳引领行动。深入落实绿色办公、绿色采购、绿色用能，积极创建美丽机关、生态社区、美丽学校、美丽工厂等美丽细胞，为城市生态美化与功能提升提供资金支撑。发挥学校教育主阵地作用，推进无废校园、绿色校园，建设美丽学校。持续推动低碳、宜居、清洁、宁静、和谐的生态社区建设。推广先进绿色生产理念和管理模式，建立以资源节约、环境友好为导向的采购、生产、营销、物流及循环利用体系，建设美丽工厂等。鼓励园区积极探索推进减污降碳协同增效，大力推广使用新能源，促进园区能源系统优化和梯级利用、水资源集约节约高效循环利用、废物综合利用，提升基础设施绿色低碳发展水平，建设美丽园区。发挥家庭社会细胞作用，推进资源节约，建设美丽家庭。</w:t>
      </w:r>
    </w:p>
    <w:p w14:paraId="00978245">
      <w:pPr>
        <w:keepNext w:val="0"/>
        <w:keepLines w:val="0"/>
        <w:widowControl w:val="0"/>
        <w:suppressLineNumbers w:val="0"/>
        <w:spacing w:before="0" w:beforeAutospacing="0" w:after="0" w:afterAutospacing="0" w:line="560" w:lineRule="exact"/>
        <w:ind w:left="0" w:right="0" w:firstLine="0" w:firstLineChars="0"/>
        <w:jc w:val="both"/>
        <w:rPr>
          <w:color w:val="auto"/>
          <w:lang w:val="en-US"/>
        </w:rPr>
      </w:pPr>
    </w:p>
    <w:p w14:paraId="3DC582FC">
      <w:pPr>
        <w:ind w:firstLine="480"/>
        <w:rPr>
          <w:color w:val="auto"/>
        </w:rPr>
      </w:pPr>
    </w:p>
    <w:p w14:paraId="1CC67028">
      <w:pPr>
        <w:pStyle w:val="2"/>
        <w:bidi w:val="0"/>
        <w:ind w:left="0" w:leftChars="0" w:firstLine="0" w:firstLineChars="0"/>
        <w:rPr>
          <w:color w:val="auto"/>
        </w:rPr>
      </w:pPr>
      <w:bookmarkStart w:id="41" w:name="_Toc7329"/>
      <w:bookmarkStart w:id="42" w:name="_Toc23127"/>
      <w:bookmarkStart w:id="43" w:name="_Toc4703"/>
      <w:bookmarkStart w:id="44" w:name="_Toc209031642"/>
      <w:r>
        <w:rPr>
          <w:rFonts w:hint="eastAsia"/>
          <w:color w:val="auto"/>
        </w:rPr>
        <w:t>协同推进减污降碳</w:t>
      </w:r>
      <w:r>
        <w:rPr>
          <w:rFonts w:hint="eastAsia"/>
          <w:color w:val="auto"/>
          <w:lang w:eastAsia="zh-CN"/>
        </w:rPr>
        <w:t>，</w:t>
      </w:r>
      <w:r>
        <w:rPr>
          <w:rFonts w:hint="eastAsia"/>
          <w:color w:val="auto"/>
        </w:rPr>
        <w:t>助力绿色低碳高质量发展</w:t>
      </w:r>
      <w:bookmarkEnd w:id="41"/>
      <w:bookmarkEnd w:id="42"/>
      <w:bookmarkEnd w:id="43"/>
    </w:p>
    <w:p w14:paraId="0D9F15AE">
      <w:pPr>
        <w:pStyle w:val="3"/>
        <w:bidi w:val="0"/>
        <w:ind w:left="0" w:leftChars="0" w:firstLine="0" w:firstLineChars="0"/>
        <w:rPr>
          <w:color w:val="auto"/>
        </w:rPr>
      </w:pPr>
      <w:bookmarkStart w:id="45" w:name="_Toc14093"/>
      <w:bookmarkStart w:id="46" w:name="_Toc20349"/>
      <w:bookmarkStart w:id="47" w:name="_Toc13078"/>
      <w:r>
        <w:rPr>
          <w:rFonts w:hint="eastAsia"/>
          <w:color w:val="auto"/>
        </w:rPr>
        <w:t>优化国土空间开发保护格局</w:t>
      </w:r>
      <w:bookmarkEnd w:id="44"/>
      <w:bookmarkEnd w:id="45"/>
      <w:bookmarkEnd w:id="46"/>
      <w:bookmarkEnd w:id="47"/>
    </w:p>
    <w:p w14:paraId="53BC0B45">
      <w:pPr>
        <w:ind w:firstLine="480"/>
        <w:rPr>
          <w:color w:val="auto"/>
        </w:rPr>
      </w:pPr>
      <w:r>
        <w:rPr>
          <w:rFonts w:hint="eastAsia"/>
          <w:b/>
          <w:bCs/>
          <w:color w:val="auto"/>
        </w:rPr>
        <w:t>落实主体功能区战略。</w:t>
      </w:r>
      <w:r>
        <w:rPr>
          <w:rFonts w:hint="eastAsia"/>
          <w:color w:val="auto"/>
        </w:rPr>
        <w:t>围绕兵团主体功能区战略，按照主体功能定位推进主体功能综合布局，构建“三屏双廊、一核多圈、三带三区”的国土空间总体格局。严守生态保护红线，强化执法监管和保护修复，确保生态保护红线面积不低于92.23万亩；坚决守住耕地红线，确保可长期稳定利用耕地不减少，耕地保有量不低于114.16万亩；严格城镇开发边界管控，推动师市集约化绿色发展。加强国土空间规划实施管理，优化各类空间布局，推动形成科学适度有序的国土空间布局体系。重点生态功能区限制大规模高强度的工业化城市化开发，减少人类活动对生态空间的占用，强化生态保护和修复，提高生态服务功能。</w:t>
      </w:r>
    </w:p>
    <w:p w14:paraId="07709C04">
      <w:pPr>
        <w:ind w:firstLine="480"/>
        <w:rPr>
          <w:color w:val="auto"/>
        </w:rPr>
      </w:pPr>
      <w:r>
        <w:rPr>
          <w:rFonts w:hint="eastAsia"/>
          <w:b/>
          <w:bCs/>
          <w:color w:val="auto"/>
        </w:rPr>
        <w:t>完善生态环境分区管控体系。</w:t>
      </w:r>
      <w:r>
        <w:rPr>
          <w:rFonts w:hint="eastAsia"/>
          <w:color w:val="auto"/>
        </w:rPr>
        <w:t>完善全域覆盖的生态环境分区管控体系，为</w:t>
      </w:r>
      <w:r>
        <w:rPr>
          <w:rFonts w:hint="eastAsia"/>
          <w:color w:val="auto"/>
          <w:lang w:val="en-US" w:eastAsia="zh-CN"/>
        </w:rPr>
        <w:t>师市</w:t>
      </w:r>
      <w:r>
        <w:rPr>
          <w:rFonts w:hint="eastAsia"/>
          <w:color w:val="auto"/>
        </w:rPr>
        <w:t>发展“明底线”“划边框”。发挥生态环境分区管控在底线约束和前端引领方面的作用，推动传统制造业绿色转型，引导战略性新兴产业及未来产业合理布局，有效管控重点管控单元主要污染物排放强度。持续深化</w:t>
      </w:r>
      <w:r>
        <w:rPr>
          <w:rFonts w:hint="eastAsia"/>
          <w:color w:val="auto"/>
          <w:lang w:val="en-US" w:eastAsia="zh-CN"/>
        </w:rPr>
        <w:t>师市</w:t>
      </w:r>
      <w:r>
        <w:rPr>
          <w:rFonts w:hint="eastAsia"/>
          <w:color w:val="auto"/>
        </w:rPr>
        <w:t>生态环境分区管控，定期调整和动态更新，健全制度实施成效评估和成果调整更新工作机制，聚焦突出生态环境问题，完善生态环境分区管控方案，实施分区域、差异化、精准管控的生态环境管理制度，落实生态环境准入清单，强化源头预防。加强生态环境分区管控成果应用，充分衔接国土空间规划。深化生态环境分区管控在综合决策、园区管理、环境准入、执法监管、招商引资以及各类开发建设活动中的应用，加强实施应用、跟踪评估、监督管理等重点工作。以荆楚工业园为试点，探索开展生态环境分区管控与环境影响评价、排污许可、环境监测、执法监管等制度协调联动。探索将地下水、噪声等环境要素管理纳入分区管控体系。选取代表性单元开展重点攻关，实施更精准、更高效的分类管理，丰富拓展应用场景，持续提升管控效能。优化管理平台功能建设，推动与其他业务系统信息共享、业务协同。</w:t>
      </w:r>
    </w:p>
    <w:p w14:paraId="1C7731C2">
      <w:pPr>
        <w:pStyle w:val="3"/>
        <w:bidi w:val="0"/>
        <w:ind w:left="0" w:leftChars="0" w:firstLine="0" w:firstLineChars="0"/>
        <w:rPr>
          <w:color w:val="auto"/>
        </w:rPr>
      </w:pPr>
      <w:bookmarkStart w:id="48" w:name="_Toc209031644"/>
      <w:bookmarkStart w:id="49" w:name="_Toc20016"/>
      <w:bookmarkStart w:id="50" w:name="_Toc27857"/>
      <w:bookmarkStart w:id="51" w:name="_Toc23479"/>
      <w:r>
        <w:rPr>
          <w:rFonts w:hint="eastAsia"/>
          <w:color w:val="auto"/>
        </w:rPr>
        <w:t>统筹推进重点领域绿色低碳发展</w:t>
      </w:r>
      <w:bookmarkEnd w:id="48"/>
      <w:bookmarkEnd w:id="49"/>
      <w:bookmarkEnd w:id="50"/>
      <w:bookmarkEnd w:id="51"/>
    </w:p>
    <w:p w14:paraId="6FEC76E6">
      <w:pPr>
        <w:ind w:firstLine="480"/>
        <w:rPr>
          <w:color w:val="auto"/>
        </w:rPr>
      </w:pPr>
      <w:r>
        <w:rPr>
          <w:rFonts w:hint="eastAsia"/>
          <w:b/>
          <w:bCs/>
          <w:color w:val="auto"/>
        </w:rPr>
        <w:t>持续推动能源绿色低碳转型。</w:t>
      </w:r>
      <w:r>
        <w:rPr>
          <w:rFonts w:hint="eastAsia"/>
          <w:color w:val="auto"/>
        </w:rPr>
        <w:t>坚持先立后破，推动非化石能源安全可靠有序替代化石能源。依托</w:t>
      </w:r>
      <w:r>
        <w:rPr>
          <w:rFonts w:hint="eastAsia"/>
          <w:color w:val="auto"/>
          <w:lang w:val="en-US" w:eastAsia="zh-CN"/>
        </w:rPr>
        <w:t>师市</w:t>
      </w:r>
      <w:r>
        <w:rPr>
          <w:rFonts w:hint="eastAsia"/>
          <w:color w:val="auto"/>
        </w:rPr>
        <w:t>自然资源禀赋，积极有序推进风电、光伏开发和氢能等产业高效发展，加快推进第五师双河经开区低碳转型250MW风光储一体化示范项目、第五师双河市园区450MW低碳转型示范项目。完善新能源消纳举措，优化系统调控，促进新能源在大规模开发的同时实现高质量消纳。加强煤炭集中使用和清洁高效利用，合理控制煤炭消费总量。新建65蒸吨以上燃煤锅炉项目按照超低排放要求落实，实施工业炉窑清洁能源替代，有序推进以电代煤，稳妥推进以气代煤，原则上不再新增燃料类煤气发生炉，新（改、扩）建加热炉、热处理炉、干燥炉、熔化炉原则上采用清洁低碳能源。持续推进冬季清洁取暖，加快城乡接合部、连队民用和农业生产散烧煤的清洁能源替代。</w:t>
      </w:r>
    </w:p>
    <w:p w14:paraId="2AF9BAD4">
      <w:pPr>
        <w:ind w:firstLine="480"/>
        <w:rPr>
          <w:rFonts w:hint="eastAsia"/>
          <w:color w:val="auto"/>
        </w:rPr>
      </w:pPr>
      <w:r>
        <w:rPr>
          <w:rFonts w:hint="eastAsia"/>
          <w:b/>
          <w:bCs/>
          <w:color w:val="auto"/>
        </w:rPr>
        <w:t>持续完善绿色化交通运输体系。</w:t>
      </w:r>
      <w:r>
        <w:rPr>
          <w:rFonts w:hint="eastAsia"/>
          <w:color w:val="auto"/>
        </w:rPr>
        <w:t>以交通运输节能降碳和双河市域运输结构调整为重点，推动多式联运枢纽建设，提升铁路专用线运输能力。加大运输结构调整有关措施政策宣传，鼓励引导企业“散改集”，中长距离运输主要采用铁路运输，短距离运输优先采用新能</w:t>
      </w:r>
      <w:r>
        <w:rPr>
          <w:rFonts w:hint="eastAsia"/>
          <w:color w:val="auto"/>
          <w:lang w:eastAsia="zh-CN"/>
        </w:rPr>
        <w:t>源汽</w:t>
      </w:r>
      <w:r>
        <w:rPr>
          <w:rFonts w:hint="eastAsia"/>
          <w:color w:val="auto"/>
        </w:rPr>
        <w:t>车，持续降低运输业能耗和碳排放强度。加快新能源汽车基础配套设施建设，逐步降低传统燃油汽车在新车产销和汽车保有量中的占比。推动零排放货运，大力发展新能源重卡，在重点区域主要公路运输通道推进建立零排放货运通道试点，完善充电桩等基础设施建设。推动城乡物流配送绿色发展，构建绿色低碳、高效集约的物流配送服务模式。加快推动移动源清洁化发展。推进公共领域用车、载货汽车、工程机械新能源化，强化非道路移动源综合治理。构建“公交+慢行”的低碳出行系统。</w:t>
      </w:r>
    </w:p>
    <w:p w14:paraId="649E2F49">
      <w:pPr>
        <w:ind w:firstLine="480"/>
        <w:rPr>
          <w:rFonts w:hint="eastAsia"/>
          <w:color w:val="auto"/>
        </w:rPr>
      </w:pPr>
      <w:r>
        <w:rPr>
          <w:rFonts w:hint="eastAsia"/>
          <w:b/>
          <w:bCs/>
          <w:color w:val="auto"/>
        </w:rPr>
        <w:t>加快推动建筑领域节能降碳。</w:t>
      </w:r>
      <w:r>
        <w:rPr>
          <w:rFonts w:hint="eastAsia"/>
          <w:color w:val="auto"/>
        </w:rPr>
        <w:t>加快推进老旧小区和公共机构建筑节能降碳改造，推动超低能耗、低碳建筑规模化发展，城镇新建建筑100%执行绿色建筑标准。推动提升新建建筑中星级绿色建筑比例，开展建筑节能改造。推动城镇集中供暖低碳化，因地制宜采用可再生能源、燃气、电力、热电联产等方式加快供暖燃煤锅炉替代。强化建筑运行节能降碳管理，加大高效节能家电等设备推广力度，鼓励居民加快淘汰低效落后用能设备。推动建筑用能低碳转型，有序推动工业厂房、公共建筑、居住建筑等新建建筑光伏一体化建设。</w:t>
      </w:r>
    </w:p>
    <w:p w14:paraId="23D4A90D">
      <w:pPr>
        <w:ind w:firstLine="480"/>
        <w:rPr>
          <w:color w:val="auto"/>
        </w:rPr>
      </w:pPr>
      <w:r>
        <w:rPr>
          <w:rFonts w:hint="eastAsia"/>
          <w:b/>
          <w:bCs/>
          <w:color w:val="auto"/>
        </w:rPr>
        <w:t>开展多层次多领域减污降碳协同创新。</w:t>
      </w:r>
      <w:r>
        <w:rPr>
          <w:rFonts w:hint="eastAsia"/>
          <w:color w:val="auto"/>
        </w:rPr>
        <w:t>围绕碳达峰、碳中和目标，全面推进工业、能源、交通运输、城乡建设、农业等重点领域减污降碳协同增效，探索多领域各具特色的减污降碳协同增效路径。以大气、水、土壤、固体废物等环境要素为重点，开展多污染物与温室气体协同治理，强化目标协同、任务协同、政策协同、监管协同。鼓励园区根据主导产业、污染物、碳排放水平，创建零碳园区及绿色工厂。通过政策激励、提升标准、鼓励先进等手段，推动双河经开区先行开展低碳试点建设。支持企业发展绿色低碳产业和绿色供应链，推动建材等传统产业绿色改造，使用节能降碳技术装备，提升清洁生产水平，支持企业实施清洁能源替代。探索低碳零碳负碳项目建设。推动煤炭高效利用、新能源、智能电网、储能技术等能源绿色低碳转型领域技术创新应用。加大减污降碳协同增效科技支撑力度，支持企业、高校及科研院所等各类创新主体产学研联合，开展能源绿色低碳转型、减污降碳协同技术攻关。打造一批重点行业减污降碳标杆企业，研发一批减污降碳先进技术。研究重点管控单元减污降碳协同增效管控策略，将减污降碳协同增效要求纳入分区管控调整更新成果中。</w:t>
      </w:r>
    </w:p>
    <w:p w14:paraId="583E7A73">
      <w:pPr>
        <w:pStyle w:val="3"/>
        <w:bidi w:val="0"/>
        <w:ind w:left="0" w:leftChars="0" w:firstLine="0" w:firstLineChars="0"/>
        <w:rPr>
          <w:color w:val="auto"/>
        </w:rPr>
      </w:pPr>
      <w:bookmarkStart w:id="52" w:name="_Toc16300"/>
      <w:bookmarkStart w:id="53" w:name="_Toc15701"/>
      <w:bookmarkStart w:id="54" w:name="_Toc22941"/>
      <w:r>
        <w:rPr>
          <w:rFonts w:hint="eastAsia"/>
          <w:color w:val="auto"/>
        </w:rPr>
        <w:t>加快重点行业结构绿色低碳转型</w:t>
      </w:r>
      <w:bookmarkEnd w:id="52"/>
      <w:bookmarkEnd w:id="53"/>
      <w:bookmarkEnd w:id="54"/>
    </w:p>
    <w:p w14:paraId="79A04A1E">
      <w:pPr>
        <w:ind w:firstLine="480"/>
        <w:rPr>
          <w:rFonts w:hint="eastAsia"/>
          <w:color w:val="auto"/>
        </w:rPr>
      </w:pPr>
      <w:r>
        <w:rPr>
          <w:rFonts w:hint="eastAsia"/>
          <w:b/>
          <w:bCs/>
          <w:color w:val="auto"/>
        </w:rPr>
        <w:t>持续优化产业布局。</w:t>
      </w:r>
      <w:r>
        <w:rPr>
          <w:rFonts w:hint="eastAsia"/>
          <w:color w:val="auto"/>
        </w:rPr>
        <w:t>严控重点行业生态环境准入条件，坚决遏制高耗能、高排放、低水平项目盲目上马，严格项目环评审批，严格落实污染物区域削减措施及主要污染物总量控制制度。推进供给侧结构性改革，加快对限制类、淘汰类落后产能及装备的淘汰，进一步提高落后产能能耗、环保、质量、安全、技术等要求，逐步退出限制类涉气行业工艺和装备。推动传统产业集群升级发展，开展产业集群专项整治，依法淘汰关停一批、搬迁入园一批</w:t>
      </w:r>
      <w:r>
        <w:rPr>
          <w:rFonts w:hint="eastAsia"/>
          <w:color w:val="auto"/>
          <w:lang w:eastAsia="zh-CN"/>
        </w:rPr>
        <w:t>，就</w:t>
      </w:r>
      <w:r>
        <w:rPr>
          <w:rFonts w:hint="eastAsia"/>
          <w:color w:val="auto"/>
        </w:rPr>
        <w:t>地改造一批、做优做强一批。积极培育绿色工厂、绿色工业园区、绿色供应链管理企业，积极创建兵团级绿色园区。</w:t>
      </w:r>
    </w:p>
    <w:p w14:paraId="4F884C8A">
      <w:pPr>
        <w:ind w:firstLine="480"/>
        <w:rPr>
          <w:color w:val="auto"/>
        </w:rPr>
      </w:pPr>
      <w:r>
        <w:rPr>
          <w:rFonts w:hint="eastAsia"/>
          <w:b/>
          <w:bCs/>
          <w:color w:val="auto"/>
        </w:rPr>
        <w:t>培育壮大绿色低碳新兴产业及未来产业。</w:t>
      </w:r>
      <w:r>
        <w:rPr>
          <w:rFonts w:hint="eastAsia"/>
          <w:color w:val="auto"/>
        </w:rPr>
        <w:t>以“农产品精深加工业、新能源新材料新装备产业、来料加工业”为主攻方向，优化产业链布局，深化上下游配套协作，提高精深加工比重和能效水平，推动产业结构优化、规模壮大、层次提升。加快绿色科技创新和先进绿色技术推广应用，做强绿色制造业，发展绿色服务业，壮大绿色能源产业，发展绿色低碳产业和供应链，构建绿色低碳循环经济体系。积极培育绿色发展新动能，在绿色低碳产品开发和技术创新等领域培育一批专精特新中小企业，补全完善工业园区内产业的绿色低碳链条，推动绿色园区向近零碳园区升级改造。积极开展技术帮扶与培训，针对</w:t>
      </w:r>
      <w:r>
        <w:rPr>
          <w:rFonts w:hint="eastAsia"/>
          <w:color w:val="auto"/>
          <w:lang w:val="en-US" w:eastAsia="zh-CN"/>
        </w:rPr>
        <w:t>师市</w:t>
      </w:r>
      <w:r>
        <w:rPr>
          <w:rFonts w:hint="eastAsia"/>
          <w:color w:val="auto"/>
        </w:rPr>
        <w:t>重点行业企业在绿色低碳转型过程中遇到的技术难题，组织专家团队开展技术帮扶，提升企业的绿色低碳转型能力和管理水平。</w:t>
      </w:r>
    </w:p>
    <w:p w14:paraId="42110A83">
      <w:pPr>
        <w:pStyle w:val="3"/>
        <w:bidi w:val="0"/>
        <w:ind w:left="0" w:leftChars="0" w:firstLine="0" w:firstLineChars="0"/>
        <w:rPr>
          <w:color w:val="auto"/>
        </w:rPr>
      </w:pPr>
      <w:bookmarkStart w:id="55" w:name="_Toc3046"/>
      <w:bookmarkStart w:id="56" w:name="_Toc23834"/>
      <w:bookmarkStart w:id="57" w:name="_Toc209031645"/>
      <w:bookmarkStart w:id="58" w:name="_Toc1322"/>
      <w:r>
        <w:rPr>
          <w:rFonts w:hint="eastAsia"/>
          <w:color w:val="auto"/>
        </w:rPr>
        <w:t>全面推动资源节约集约利用</w:t>
      </w:r>
      <w:bookmarkEnd w:id="55"/>
      <w:bookmarkEnd w:id="56"/>
      <w:bookmarkEnd w:id="57"/>
      <w:bookmarkEnd w:id="58"/>
    </w:p>
    <w:p w14:paraId="432884D4">
      <w:pPr>
        <w:ind w:firstLine="480"/>
        <w:rPr>
          <w:rFonts w:hint="eastAsia"/>
          <w:color w:val="auto"/>
        </w:rPr>
      </w:pPr>
      <w:r>
        <w:rPr>
          <w:rFonts w:hint="eastAsia"/>
          <w:b/>
          <w:bCs/>
          <w:color w:val="auto"/>
        </w:rPr>
        <w:t>全面推进水资源再生利用。</w:t>
      </w:r>
      <w:r>
        <w:rPr>
          <w:rFonts w:hint="eastAsia"/>
          <w:color w:val="auto"/>
        </w:rPr>
        <w:t>深入实施节水行动，强化用水总量和强度双控，实施污水资源化利用和非常规水配置工程、重点区域地下水超采综合治理工程、重点领域节水工程。</w:t>
      </w:r>
      <w:r>
        <w:rPr>
          <w:rFonts w:hint="eastAsia"/>
          <w:color w:val="auto"/>
          <w:lang w:val="en-US" w:eastAsia="zh-CN"/>
        </w:rPr>
        <w:t>以现有污水处理厂为基础，合理布局再生水基础设施，提升再生水生产能力与中水回用率。</w:t>
      </w:r>
      <w:r>
        <w:rPr>
          <w:rFonts w:hint="eastAsia"/>
          <w:color w:val="auto"/>
        </w:rPr>
        <w:t>强化计划用水管理，重点监控超计划用水户，落实用水统计调查制度。推广应用先进适用节水技术装备，实施企业节水改造，推进企业内部用水梯级、循环利用，提高重复利用率。采用差别水价、树立节水标杆等措施，促进高耗水企业加强废水深度处理和达标再利用。</w:t>
      </w:r>
    </w:p>
    <w:p w14:paraId="047C9EFF">
      <w:pPr>
        <w:ind w:firstLine="480"/>
        <w:rPr>
          <w:rFonts w:hint="eastAsia"/>
          <w:color w:val="auto"/>
        </w:rPr>
      </w:pPr>
      <w:r>
        <w:rPr>
          <w:rFonts w:hint="eastAsia"/>
          <w:b/>
          <w:bCs/>
          <w:color w:val="auto"/>
        </w:rPr>
        <w:t>严格落实土地节约集约制度。</w:t>
      </w:r>
      <w:r>
        <w:rPr>
          <w:rFonts w:hint="eastAsia"/>
          <w:color w:val="auto"/>
        </w:rPr>
        <w:t>严格落实节约集约利用土地制度，统筹耕地保护、产业升级与技术创新，结合</w:t>
      </w:r>
      <w:r>
        <w:rPr>
          <w:rFonts w:hint="eastAsia"/>
          <w:color w:val="auto"/>
          <w:lang w:val="en-US" w:eastAsia="zh-CN"/>
        </w:rPr>
        <w:t>师市</w:t>
      </w:r>
      <w:r>
        <w:rPr>
          <w:rFonts w:hint="eastAsia"/>
          <w:color w:val="auto"/>
        </w:rPr>
        <w:t>资源禀赋和发展需求，构建“空间管控+立体开发+智慧监管”的全链条节地体系，提升土地利用效能，推广节地技术和模式。</w:t>
      </w:r>
    </w:p>
    <w:p w14:paraId="326201A3">
      <w:pPr>
        <w:pStyle w:val="3"/>
        <w:bidi w:val="0"/>
        <w:rPr>
          <w:rFonts w:hint="eastAsia"/>
          <w:color w:val="auto"/>
        </w:rPr>
      </w:pPr>
      <w:bookmarkStart w:id="59" w:name="_Toc6133"/>
      <w:bookmarkStart w:id="60" w:name="_Toc26978"/>
      <w:r>
        <w:rPr>
          <w:rFonts w:hint="eastAsia"/>
          <w:color w:val="auto"/>
        </w:rPr>
        <w:t>强化固体废物综合治理</w:t>
      </w:r>
      <w:bookmarkEnd w:id="59"/>
      <w:bookmarkEnd w:id="60"/>
    </w:p>
    <w:p w14:paraId="00932BA1">
      <w:pPr>
        <w:ind w:firstLine="480"/>
        <w:rPr>
          <w:rFonts w:hint="eastAsia"/>
          <w:color w:val="auto"/>
        </w:rPr>
      </w:pPr>
      <w:r>
        <w:rPr>
          <w:rFonts w:hint="eastAsia"/>
          <w:b/>
          <w:bCs/>
          <w:color w:val="auto"/>
        </w:rPr>
        <w:t>稳步推进“无废城市”建设。</w:t>
      </w:r>
      <w:r>
        <w:rPr>
          <w:rFonts w:hint="eastAsia"/>
          <w:color w:val="auto"/>
        </w:rPr>
        <w:t>以源头减量、资源化利用、无害化处置为主线，推进工业固体废物综合治理和资源化利用，积极建设“无废城市”。强化源头防控，</w:t>
      </w:r>
      <w:r>
        <w:rPr>
          <w:rFonts w:hint="eastAsia"/>
          <w:color w:val="auto"/>
          <w:lang w:val="en-US" w:eastAsia="zh-CN"/>
        </w:rPr>
        <w:t>组织开展打击非法倾倒处置固废专项行动，</w:t>
      </w:r>
      <w:r>
        <w:rPr>
          <w:rFonts w:hint="eastAsia"/>
          <w:color w:val="auto"/>
        </w:rPr>
        <w:t>持续开展固废堆存场所排查整治，推进塑料污染全链条治理，推动实施塑料源头减量与替代，鼓励企业采用低废生产工艺。加快构建废弃物循环利用体系，配套建设资源综合利用基地，强化废弃电子产品环境管理。促进废旧风机叶片、光伏组件、动力电池、快递包装等固体废物循环利用。</w:t>
      </w:r>
    </w:p>
    <w:p w14:paraId="1E4788FE">
      <w:pPr>
        <w:ind w:firstLine="480"/>
        <w:rPr>
          <w:rFonts w:hint="eastAsia"/>
          <w:color w:val="auto"/>
        </w:rPr>
      </w:pPr>
      <w:r>
        <w:rPr>
          <w:rFonts w:hint="eastAsia"/>
          <w:b/>
          <w:bCs/>
          <w:color w:val="auto"/>
          <w:lang w:val="en-US" w:eastAsia="zh-CN"/>
        </w:rPr>
        <w:t>推进建筑垃圾和生活垃圾治理。</w:t>
      </w:r>
      <w:r>
        <w:rPr>
          <w:rFonts w:hint="eastAsia"/>
          <w:color w:val="auto"/>
        </w:rPr>
        <w:t>加</w:t>
      </w:r>
      <w:r>
        <w:rPr>
          <w:rFonts w:hint="eastAsia"/>
          <w:color w:val="auto"/>
          <w:lang w:val="en-US" w:eastAsia="zh-CN"/>
        </w:rPr>
        <w:t>快建筑垃圾利用和处置设施规划建设。排查整治建筑垃圾产生、收集、贮存、运输、利用、处置环节违法违规行为。</w:t>
      </w:r>
      <w:r>
        <w:rPr>
          <w:rFonts w:hint="eastAsia"/>
          <w:b w:val="0"/>
          <w:bCs w:val="0"/>
          <w:color w:val="auto"/>
        </w:rPr>
        <w:t>推动生活垃圾分类</w:t>
      </w:r>
      <w:r>
        <w:rPr>
          <w:rFonts w:hint="eastAsia"/>
          <w:b w:val="0"/>
          <w:bCs w:val="0"/>
          <w:color w:val="auto"/>
          <w:lang w:eastAsia="zh-CN"/>
        </w:rPr>
        <w:t>。</w:t>
      </w:r>
      <w:r>
        <w:rPr>
          <w:rFonts w:hint="eastAsia"/>
          <w:color w:val="auto"/>
        </w:rPr>
        <w:t>加强生活垃圾减量化、资源化和无害化处理。完善团场生活垃圾处理设施建设和提升改造，科学推进连队生活垃圾收运处置体系建设工作</w:t>
      </w:r>
      <w:r>
        <w:rPr>
          <w:rFonts w:hint="eastAsia"/>
          <w:color w:val="auto"/>
          <w:lang w:eastAsia="zh-CN"/>
        </w:rPr>
        <w:t>，</w:t>
      </w:r>
      <w:r>
        <w:rPr>
          <w:rFonts w:hint="eastAsia"/>
          <w:color w:val="auto"/>
        </w:rPr>
        <w:t>进一步强化兵地协同处置生活垃圾能力。</w:t>
      </w:r>
    </w:p>
    <w:p w14:paraId="194BA5C9">
      <w:pPr>
        <w:ind w:firstLine="480"/>
        <w:rPr>
          <w:color w:val="auto"/>
          <w:lang w:val="en-US"/>
        </w:rPr>
      </w:pPr>
      <w:r>
        <w:rPr>
          <w:rFonts w:hint="eastAsia"/>
          <w:b/>
          <w:bCs/>
          <w:color w:val="auto"/>
          <w:lang w:val="en-US" w:eastAsia="zh-CN"/>
        </w:rPr>
        <w:t>推进农业废弃物资源化利用。</w:t>
      </w:r>
      <w:r>
        <w:rPr>
          <w:rFonts w:hint="eastAsia"/>
          <w:color w:val="auto"/>
        </w:rPr>
        <w:t>因地制宜推进农林生物质能源化开发利用，秋收季节加大粮食作物秸秆回收率，提高秸秆饲料化利用率。投入秸秆粉碎还田机械，提高经济作物秸秆粉碎还田肥料化利用率，稳步推进生物质能多元化开发利用，推动秸秆禁烧依法科学管控。加强畜禽粪污资源化利用，因地制宜推进中小养殖场</w:t>
      </w:r>
      <w:r>
        <w:rPr>
          <w:rFonts w:hint="eastAsia"/>
          <w:color w:val="auto"/>
          <w:lang w:eastAsia="zh-CN"/>
        </w:rPr>
        <w:t>（</w:t>
      </w:r>
      <w:r>
        <w:rPr>
          <w:rFonts w:hint="eastAsia"/>
          <w:color w:val="auto"/>
        </w:rPr>
        <w:t>户</w:t>
      </w:r>
      <w:r>
        <w:rPr>
          <w:rFonts w:hint="eastAsia"/>
          <w:color w:val="auto"/>
          <w:lang w:eastAsia="zh-CN"/>
        </w:rPr>
        <w:t>）</w:t>
      </w:r>
      <w:r>
        <w:rPr>
          <w:rFonts w:hint="eastAsia"/>
          <w:color w:val="auto"/>
        </w:rPr>
        <w:t>的粪污收集处理利用。</w:t>
      </w:r>
    </w:p>
    <w:p w14:paraId="785DADCC">
      <w:pPr>
        <w:ind w:firstLine="480"/>
        <w:rPr>
          <w:color w:val="auto"/>
        </w:rPr>
      </w:pPr>
    </w:p>
    <w:p w14:paraId="752D3A7A">
      <w:pPr>
        <w:pStyle w:val="2"/>
        <w:bidi w:val="0"/>
        <w:ind w:left="0" w:leftChars="0" w:firstLine="0" w:firstLineChars="0"/>
        <w:rPr>
          <w:color w:val="auto"/>
        </w:rPr>
      </w:pPr>
      <w:bookmarkStart w:id="61" w:name="_Toc10293"/>
      <w:bookmarkStart w:id="62" w:name="_Toc20398"/>
      <w:r>
        <w:rPr>
          <w:rFonts w:hint="eastAsia"/>
          <w:color w:val="auto"/>
          <w:lang w:val="en-US" w:eastAsia="zh-CN"/>
        </w:rPr>
        <w:t>推动以美丽蓝天为目标的空气质量全面改善</w:t>
      </w:r>
      <w:bookmarkEnd w:id="61"/>
      <w:bookmarkEnd w:id="62"/>
    </w:p>
    <w:p w14:paraId="63294AA3">
      <w:pPr>
        <w:pStyle w:val="3"/>
        <w:bidi w:val="0"/>
        <w:ind w:left="0" w:leftChars="0" w:firstLine="0" w:firstLineChars="0"/>
        <w:rPr>
          <w:color w:val="auto"/>
        </w:rPr>
      </w:pPr>
      <w:bookmarkStart w:id="63" w:name="_Toc1760"/>
      <w:bookmarkStart w:id="64" w:name="_Toc3434"/>
      <w:r>
        <w:rPr>
          <w:rFonts w:hint="eastAsia"/>
          <w:color w:val="auto"/>
          <w:lang w:val="en-US" w:eastAsia="zh-CN"/>
        </w:rPr>
        <w:t>深化大气污染综合治理</w:t>
      </w:r>
      <w:bookmarkEnd w:id="63"/>
      <w:bookmarkEnd w:id="64"/>
    </w:p>
    <w:p w14:paraId="709F4994">
      <w:pPr>
        <w:ind w:firstLine="480"/>
        <w:rPr>
          <w:color w:val="auto"/>
        </w:rPr>
      </w:pPr>
      <w:r>
        <w:rPr>
          <w:rFonts w:hint="eastAsia"/>
          <w:b/>
          <w:bCs/>
          <w:color w:val="auto"/>
        </w:rPr>
        <w:t>完善大气环境管理体系。</w:t>
      </w:r>
      <w:r>
        <w:rPr>
          <w:rFonts w:hint="eastAsia"/>
          <w:color w:val="auto"/>
        </w:rPr>
        <w:t>强化美丽蓝天建设保障措施，开展跟踪核实与绩效管理工作。</w:t>
      </w:r>
      <w:r>
        <w:rPr>
          <w:rFonts w:hint="eastAsia"/>
          <w:color w:val="auto"/>
          <w:lang w:val="en-US" w:eastAsia="zh-CN"/>
        </w:rPr>
        <w:t>持续开展兵地同防共治，深入实施秋冬季细颗粒物、挥发性有机物、重型柴油货车路检路查、夏季臭氧污染专项治理，</w:t>
      </w:r>
      <w:r>
        <w:rPr>
          <w:rFonts w:hint="eastAsia"/>
          <w:color w:val="auto"/>
        </w:rPr>
        <w:t>做好兵地在生态环境规划、监测、执法、应急、污染防治等方面工作的常态化衔接，落实重点区域、重大项目环境影响互商机制和重污染天气应急联动机制。持续推动空气质量达标管理，完成“十五五”空气质量改善阶段目标。推进美丽蓝天建设，开展跟踪核实与绩效管理工作。</w:t>
      </w:r>
    </w:p>
    <w:p w14:paraId="14EB8BB1">
      <w:pPr>
        <w:pStyle w:val="13"/>
        <w:rPr>
          <w:rFonts w:hint="eastAsia" w:eastAsia="仿宋_GB2312"/>
          <w:color w:val="auto"/>
          <w:lang w:eastAsia="zh-CN"/>
        </w:rPr>
      </w:pPr>
      <w:r>
        <w:rPr>
          <w:rFonts w:hint="eastAsia"/>
          <w:b/>
          <w:bCs/>
          <w:color w:val="auto"/>
        </w:rPr>
        <w:t>优化污染天气应对体系。</w:t>
      </w:r>
      <w:r>
        <w:rPr>
          <w:rFonts w:hint="eastAsia"/>
          <w:color w:val="auto"/>
        </w:rPr>
        <w:t>根据《重污染天气应急减排清单编制技术指南》，持续更新重污染天气应急减排清单，做到应纳尽纳。深化重点行业大气环境绩效分级工作，落实环保绩效分级差异化管控，持续监督企业“一厂一策”重污染天气应急响应减排措施有效落实，</w:t>
      </w:r>
      <w:r>
        <w:rPr>
          <w:rFonts w:hint="eastAsia"/>
          <w:color w:val="auto"/>
          <w:lang w:val="en-US" w:eastAsia="zh-CN"/>
        </w:rPr>
        <w:t>激励分级为C、D的重点企业</w:t>
      </w:r>
      <w:r>
        <w:rPr>
          <w:rFonts w:hint="eastAsia"/>
          <w:color w:val="auto"/>
        </w:rPr>
        <w:t>“创</w:t>
      </w:r>
      <w:r>
        <w:rPr>
          <w:rFonts w:hint="eastAsia"/>
          <w:color w:val="auto"/>
          <w:lang w:val="en-US" w:eastAsia="zh-CN"/>
        </w:rPr>
        <w:t>B</w:t>
      </w:r>
      <w:r>
        <w:rPr>
          <w:rFonts w:hint="eastAsia"/>
          <w:color w:val="auto"/>
        </w:rPr>
        <w:t>晋</w:t>
      </w:r>
      <w:r>
        <w:rPr>
          <w:rFonts w:hint="eastAsia"/>
          <w:color w:val="auto"/>
          <w:lang w:val="en-US" w:eastAsia="zh-CN"/>
        </w:rPr>
        <w:t>C</w:t>
      </w:r>
      <w:r>
        <w:rPr>
          <w:rFonts w:hint="eastAsia"/>
          <w:color w:val="auto"/>
        </w:rPr>
        <w:t>”，提升企业环保绩效水平。加强重污染天气应急联动，建立师、园区、企业应急联动快速响应机制，按照相应级别启动重污染天气应急预案，实施区域应急联动。强化冬季大气污染防控，在常规应急减排措施无法实现预期效果时，进一步采取协商减排措施</w:t>
      </w:r>
      <w:r>
        <w:rPr>
          <w:rFonts w:hint="eastAsia"/>
          <w:color w:val="auto"/>
          <w:lang w:eastAsia="zh-CN"/>
        </w:rPr>
        <w:t>。</w:t>
      </w:r>
    </w:p>
    <w:p w14:paraId="7D2BF13B">
      <w:pPr>
        <w:pStyle w:val="3"/>
        <w:bidi w:val="0"/>
        <w:rPr>
          <w:rFonts w:hint="eastAsia"/>
          <w:color w:val="auto"/>
        </w:rPr>
      </w:pPr>
      <w:bookmarkStart w:id="65" w:name="_Toc21168"/>
      <w:bookmarkStart w:id="66" w:name="_Toc31272"/>
      <w:r>
        <w:rPr>
          <w:rFonts w:hint="eastAsia"/>
          <w:color w:val="auto"/>
        </w:rPr>
        <w:t>巩固深化多污染源治理</w:t>
      </w:r>
      <w:bookmarkEnd w:id="65"/>
      <w:bookmarkEnd w:id="66"/>
    </w:p>
    <w:p w14:paraId="284D8EAA">
      <w:pPr>
        <w:ind w:firstLine="480"/>
        <w:rPr>
          <w:rFonts w:hint="eastAsia"/>
          <w:color w:val="auto"/>
        </w:rPr>
      </w:pPr>
      <w:r>
        <w:rPr>
          <w:rFonts w:hint="eastAsia"/>
          <w:b/>
          <w:bCs/>
          <w:color w:val="auto"/>
        </w:rPr>
        <w:t>推动重点行业污染深度治理。</w:t>
      </w:r>
      <w:r>
        <w:rPr>
          <w:rFonts w:hint="eastAsia"/>
          <w:color w:val="auto"/>
        </w:rPr>
        <w:t>强化重点污染企业“一企一策”深度治理，强化挥发性有机物和氮氧化物综合治理，持续开展工业企业专项排查，对不达标企业实行清单式管理。工业炉窑、燃煤锅炉、</w:t>
      </w:r>
      <w:r>
        <w:rPr>
          <w:rFonts w:hint="eastAsia"/>
          <w:color w:val="auto"/>
          <w:lang w:val="en-US" w:eastAsia="zh-CN"/>
        </w:rPr>
        <w:t>塑料企业</w:t>
      </w:r>
      <w:r>
        <w:rPr>
          <w:rFonts w:hint="eastAsia"/>
          <w:color w:val="auto"/>
        </w:rPr>
        <w:t>等重点领域，全面开展低效失效大气污染治理设施排查整治工作，建立排查整治清单，限期分类整治，推动企业污染治理设施升级改造。到2030年底，氮氧化物、挥发性有机物、化学需氧量、总磷重点工程减排量达到兵团下达指标。</w:t>
      </w:r>
    </w:p>
    <w:p w14:paraId="4266CA0D">
      <w:pPr>
        <w:ind w:firstLine="480"/>
        <w:rPr>
          <w:rFonts w:hint="default" w:eastAsia="仿宋_GB2312"/>
          <w:color w:val="auto"/>
          <w:lang w:val="en-US" w:eastAsia="zh-CN"/>
        </w:rPr>
      </w:pPr>
      <w:r>
        <w:rPr>
          <w:rFonts w:hint="eastAsia"/>
          <w:b/>
          <w:bCs/>
          <w:color w:val="auto"/>
        </w:rPr>
        <w:t>深化锅炉炉窑综合整治。</w:t>
      </w:r>
      <w:r>
        <w:rPr>
          <w:rFonts w:hint="eastAsia"/>
          <w:color w:val="auto"/>
          <w:lang w:val="en-US" w:eastAsia="zh-CN"/>
        </w:rPr>
        <w:t>按照“宜气则气、宜电则电”原则，因地制宜采取清洁能源、集中供热替代等措施，继续推进散煤、燃煤锅炉和工业炉窑治理。</w:t>
      </w:r>
      <w:r>
        <w:rPr>
          <w:rFonts w:hint="eastAsia"/>
          <w:b w:val="0"/>
          <w:bCs w:val="0"/>
          <w:color w:val="auto"/>
          <w:lang w:val="en-US" w:eastAsia="zh-CN"/>
        </w:rPr>
        <w:t>禁止</w:t>
      </w:r>
      <w:r>
        <w:rPr>
          <w:rFonts w:hint="eastAsia"/>
          <w:color w:val="auto"/>
        </w:rPr>
        <w:t>城市建成区新建35蒸吨/小时以下燃煤锅炉。推进区域10蒸吨/小时及以下燃煤锅炉淘汰，完成2蒸吨/小时及以下生物质锅炉的淘汰。</w:t>
      </w:r>
    </w:p>
    <w:p w14:paraId="7C623AB2">
      <w:pPr>
        <w:ind w:firstLine="480"/>
        <w:rPr>
          <w:rFonts w:hint="eastAsia"/>
          <w:color w:val="auto"/>
        </w:rPr>
      </w:pPr>
      <w:r>
        <w:rPr>
          <w:rFonts w:hint="eastAsia"/>
          <w:b/>
          <w:bCs/>
          <w:color w:val="auto"/>
        </w:rPr>
        <w:t>开展挥发性有机物综合治理。</w:t>
      </w:r>
      <w:r>
        <w:rPr>
          <w:rFonts w:hint="eastAsia"/>
          <w:color w:val="auto"/>
        </w:rPr>
        <w:t>以</w:t>
      </w:r>
      <w:r>
        <w:rPr>
          <w:rFonts w:hint="eastAsia"/>
          <w:color w:val="auto"/>
          <w:lang w:val="en-US" w:eastAsia="zh-CN"/>
        </w:rPr>
        <w:t>塑料企业</w:t>
      </w:r>
      <w:r>
        <w:rPr>
          <w:rFonts w:hint="eastAsia"/>
          <w:color w:val="auto"/>
        </w:rPr>
        <w:t>和油品储运销等行业为重点，优化含VOCs原辅材料和产品结构，大力推进低</w:t>
      </w:r>
      <w:r>
        <w:rPr>
          <w:rFonts w:hint="eastAsia"/>
          <w:color w:val="auto"/>
          <w:lang w:eastAsia="zh-CN"/>
        </w:rPr>
        <w:t>（</w:t>
      </w:r>
      <w:r>
        <w:rPr>
          <w:rFonts w:hint="eastAsia"/>
          <w:color w:val="auto"/>
        </w:rPr>
        <w:t>无</w:t>
      </w:r>
      <w:r>
        <w:rPr>
          <w:rFonts w:hint="eastAsia"/>
          <w:color w:val="auto"/>
          <w:lang w:eastAsia="zh-CN"/>
        </w:rPr>
        <w:t>）</w:t>
      </w:r>
      <w:r>
        <w:rPr>
          <w:rFonts w:hint="eastAsia"/>
          <w:color w:val="auto"/>
        </w:rPr>
        <w:t>VOCs含量原辅材料源头替代。对含VOCs物料储存、转移和输送、工艺过程、设备与管线组件、敞开液面等关键环节的VOCs治理突出问题开展排查整治。</w:t>
      </w:r>
    </w:p>
    <w:p w14:paraId="5F72C708">
      <w:pPr>
        <w:ind w:firstLine="480"/>
        <w:rPr>
          <w:rFonts w:hint="eastAsia"/>
          <w:color w:val="auto"/>
        </w:rPr>
      </w:pPr>
      <w:r>
        <w:rPr>
          <w:rFonts w:hint="eastAsia"/>
          <w:b/>
          <w:bCs/>
          <w:color w:val="auto"/>
        </w:rPr>
        <w:t>推进移动源污染治理。</w:t>
      </w:r>
      <w:r>
        <w:rPr>
          <w:rFonts w:hint="eastAsia"/>
          <w:b w:val="0"/>
          <w:bCs w:val="0"/>
          <w:color w:val="auto"/>
          <w:lang w:val="en-US" w:eastAsia="zh-CN"/>
        </w:rPr>
        <w:t>提升机动车清洁化水平，强化非道路移动源综合治理，全面实施机动车排放标准6b阶段。</w:t>
      </w:r>
      <w:r>
        <w:rPr>
          <w:rFonts w:hint="eastAsia"/>
          <w:color w:val="auto"/>
        </w:rPr>
        <w:t>加强移动源排放达标监管，健全交通污染监测网络，在重点区域建立黑烟车抓拍系统，建立超标排放车辆信息管理系统，加强对机动车检验和维修机构的监管执法。持续强化柴油货车、非道路移动源机械、储油库和加油站油气回收深度治理。打击车用油品和尿素弄虚作假，规范成品油及尿素市场，推进油品储运销油气回收监管。</w:t>
      </w:r>
    </w:p>
    <w:p w14:paraId="69151F1E">
      <w:pPr>
        <w:ind w:firstLine="480"/>
        <w:rPr>
          <w:rFonts w:hint="default" w:eastAsia="仿宋_GB2312"/>
          <w:color w:val="auto"/>
          <w:lang w:val="en-US" w:eastAsia="zh-CN"/>
        </w:rPr>
      </w:pPr>
      <w:r>
        <w:rPr>
          <w:rFonts w:hint="eastAsia"/>
          <w:b/>
          <w:bCs/>
          <w:color w:val="auto"/>
        </w:rPr>
        <w:t>深化面源污染防控。</w:t>
      </w:r>
      <w:r>
        <w:rPr>
          <w:rFonts w:hint="eastAsia"/>
          <w:color w:val="auto"/>
        </w:rPr>
        <w:t>实施扬尘精细化管控，</w:t>
      </w:r>
      <w:r>
        <w:rPr>
          <w:rFonts w:hint="eastAsia"/>
          <w:color w:val="auto"/>
          <w:lang w:val="en-US" w:eastAsia="zh-CN"/>
        </w:rPr>
        <w:t>完善</w:t>
      </w:r>
      <w:r>
        <w:rPr>
          <w:rFonts w:hint="eastAsia"/>
          <w:color w:val="auto"/>
        </w:rPr>
        <w:t>PM</w:t>
      </w:r>
      <w:r>
        <w:rPr>
          <w:rFonts w:hint="eastAsia"/>
          <w:color w:val="auto"/>
          <w:vertAlign w:val="subscript"/>
        </w:rPr>
        <w:t>2.5</w:t>
      </w:r>
      <w:r>
        <w:rPr>
          <w:rFonts w:hint="eastAsia"/>
          <w:color w:val="auto"/>
        </w:rPr>
        <w:t>、PM</w:t>
      </w:r>
      <w:r>
        <w:rPr>
          <w:rFonts w:hint="eastAsia"/>
          <w:color w:val="auto"/>
          <w:vertAlign w:val="subscript"/>
        </w:rPr>
        <w:t>10</w:t>
      </w:r>
      <w:r>
        <w:rPr>
          <w:rFonts w:hint="eastAsia"/>
          <w:color w:val="auto"/>
          <w:lang w:val="en-US" w:eastAsia="zh-CN"/>
        </w:rPr>
        <w:t>空气质量监测网格化建设</w:t>
      </w:r>
      <w:r>
        <w:rPr>
          <w:rFonts w:hint="eastAsia"/>
          <w:color w:val="auto"/>
        </w:rPr>
        <w:t>等，提升空气质量监测与污染防控精准度。推进施工工地扬尘精细化管控，城市建成区工程建设施工场地严格落实“六个百分之百”，安装在线监测和视频监控设施。加强城市道路清扫保洁和洒水抑尘，推进低尘机械化作业水平，控制道路扬尘污染。深化工地、道路城市等扬尘污染综合治理和现场监督检查，推进建成区主次干道机械化清</w:t>
      </w:r>
      <w:r>
        <w:rPr>
          <w:rFonts w:hint="eastAsia"/>
          <w:color w:val="auto"/>
          <w:lang w:val="en-US" w:eastAsia="zh-CN"/>
        </w:rPr>
        <w:t>扫程度</w:t>
      </w:r>
      <w:r>
        <w:rPr>
          <w:rFonts w:hint="eastAsia"/>
          <w:color w:val="auto"/>
        </w:rPr>
        <w:t>等评估考核。加强城市及周边公共裸地、物料堆场等易产尘区域抑尘管理。持续推进恶臭、餐饮油烟等污染问题，加强工业臭气异味治理。强化部门联动监管，落实建成区产生油烟的餐饮服务单位油烟净化装置安装情况，因地制宜解决群众反映强烈的恶臭异味扰民问题。推进农业大气氨排放控制，强化畜禽养殖场废</w:t>
      </w:r>
      <w:r>
        <w:rPr>
          <w:rFonts w:hint="eastAsia"/>
          <w:color w:val="auto"/>
          <w:lang w:val="en-US" w:eastAsia="zh-CN"/>
        </w:rPr>
        <w:t>气</w:t>
      </w:r>
      <w:r>
        <w:rPr>
          <w:rFonts w:hint="eastAsia"/>
          <w:color w:val="auto"/>
        </w:rPr>
        <w:t>治理。</w:t>
      </w:r>
      <w:r>
        <w:rPr>
          <w:rFonts w:hint="eastAsia"/>
          <w:color w:val="auto"/>
          <w:lang w:val="en-US" w:eastAsia="zh-CN"/>
        </w:rPr>
        <w:t>持续开展噪声污染防治。</w:t>
      </w:r>
    </w:p>
    <w:p w14:paraId="4DC8323C">
      <w:pPr>
        <w:ind w:firstLine="480"/>
        <w:rPr>
          <w:rFonts w:hint="eastAsia"/>
          <w:color w:val="auto"/>
        </w:rPr>
      </w:pPr>
    </w:p>
    <w:p w14:paraId="6815FAC2">
      <w:pPr>
        <w:pStyle w:val="2"/>
        <w:bidi w:val="0"/>
        <w:rPr>
          <w:rFonts w:hint="eastAsia"/>
          <w:color w:val="auto"/>
        </w:rPr>
      </w:pPr>
      <w:bookmarkStart w:id="67" w:name="_Toc22106"/>
      <w:bookmarkStart w:id="68" w:name="_Toc31213"/>
      <w:r>
        <w:rPr>
          <w:color w:val="auto"/>
        </w:rPr>
        <w:t>开展以美丽河湖建设为导向的水生态环境保护</w:t>
      </w:r>
      <w:bookmarkEnd w:id="67"/>
      <w:bookmarkEnd w:id="68"/>
    </w:p>
    <w:p w14:paraId="1F3EE17F">
      <w:pPr>
        <w:pStyle w:val="3"/>
        <w:bidi w:val="0"/>
        <w:ind w:left="0" w:leftChars="0" w:firstLine="0" w:firstLineChars="0"/>
        <w:rPr>
          <w:color w:val="auto"/>
        </w:rPr>
      </w:pPr>
      <w:bookmarkStart w:id="69" w:name="_Toc16691"/>
      <w:bookmarkStart w:id="70" w:name="_Toc31323"/>
      <w:r>
        <w:rPr>
          <w:rFonts w:hint="eastAsia"/>
          <w:color w:val="auto"/>
          <w:lang w:val="en-US" w:eastAsia="zh-CN"/>
        </w:rPr>
        <w:t>深化重点领域水污染防治</w:t>
      </w:r>
      <w:bookmarkEnd w:id="69"/>
      <w:bookmarkEnd w:id="70"/>
    </w:p>
    <w:p w14:paraId="64C14999">
      <w:pPr>
        <w:ind w:firstLine="480"/>
        <w:rPr>
          <w:rFonts w:hint="eastAsia"/>
          <w:color w:val="auto"/>
        </w:rPr>
      </w:pPr>
      <w:r>
        <w:rPr>
          <w:rFonts w:hint="eastAsia"/>
          <w:b/>
          <w:bCs/>
          <w:color w:val="auto"/>
        </w:rPr>
        <w:t>强化重点水体保护治理。</w:t>
      </w:r>
      <w:r>
        <w:rPr>
          <w:rFonts w:hint="eastAsia"/>
          <w:color w:val="auto"/>
        </w:rPr>
        <w:t>与博尔塔拉蒙古自治州协同深入开展博尔塔拉河截污治污。深入推行河湖长制，严格涉河湖建设项目和活动管理，持续加大河（湖）排污口“查、测、溯、治”，完成所有排污口排查，基本完成相关排污口整治。规范入河</w:t>
      </w:r>
      <w:r>
        <w:rPr>
          <w:rFonts w:hint="eastAsia"/>
          <w:color w:val="auto"/>
          <w:lang w:eastAsia="zh-CN"/>
        </w:rPr>
        <w:t>（</w:t>
      </w:r>
      <w:r>
        <w:rPr>
          <w:rFonts w:hint="eastAsia"/>
          <w:color w:val="auto"/>
        </w:rPr>
        <w:t>湖</w:t>
      </w:r>
      <w:r>
        <w:rPr>
          <w:rFonts w:hint="eastAsia"/>
          <w:color w:val="auto"/>
          <w:lang w:eastAsia="zh-CN"/>
        </w:rPr>
        <w:t>）</w:t>
      </w:r>
      <w:r>
        <w:rPr>
          <w:rFonts w:hint="eastAsia"/>
          <w:color w:val="auto"/>
        </w:rPr>
        <w:t>排污口设置审批，动态更新入河（湖）排污口信息台账，健全长效监管机制。到2030年底，建成入河（湖）排污口监测监管体系。</w:t>
      </w:r>
    </w:p>
    <w:p w14:paraId="66316991">
      <w:pPr>
        <w:ind w:firstLine="480"/>
        <w:rPr>
          <w:rFonts w:hint="eastAsia"/>
          <w:color w:val="auto"/>
        </w:rPr>
      </w:pPr>
      <w:r>
        <w:rPr>
          <w:rFonts w:hint="eastAsia"/>
          <w:b/>
          <w:bCs/>
          <w:color w:val="auto"/>
        </w:rPr>
        <w:t>提升污水收集处理及再生水利用效能。</w:t>
      </w:r>
      <w:r>
        <w:rPr>
          <w:rFonts w:hint="eastAsia"/>
          <w:color w:val="auto"/>
        </w:rPr>
        <w:t>完善城镇生活污水处理设施及配套管网，推动城市污水管网全覆盖，开展片区管网系统化整治。建立和完善污水处理设施第三方运营机制，推动信息化系统建设，开展团场生活污水收集管网摸底排查。开展污水处理厂出水水质监测，加快再生水利用工程建设，完善再生水管网，提高再生水利用率，因地制宜推广再生水“冬储夏用”。</w:t>
      </w:r>
    </w:p>
    <w:p w14:paraId="10ABCA9A">
      <w:pPr>
        <w:ind w:firstLine="480"/>
        <w:rPr>
          <w:rFonts w:hint="eastAsia"/>
          <w:color w:val="auto"/>
        </w:rPr>
      </w:pPr>
      <w:r>
        <w:rPr>
          <w:rFonts w:hint="eastAsia"/>
          <w:b/>
          <w:bCs/>
          <w:color w:val="auto"/>
        </w:rPr>
        <w:t>加强重点行业企业水污染防治。</w:t>
      </w:r>
      <w:r>
        <w:rPr>
          <w:rFonts w:hint="eastAsia"/>
          <w:color w:val="auto"/>
        </w:rPr>
        <w:t>逐步推行重点行业企业污水治理与排放水平绩效分级，以荆楚工业园区为重点，</w:t>
      </w:r>
      <w:r>
        <w:rPr>
          <w:rFonts w:hint="eastAsia"/>
          <w:color w:val="auto"/>
          <w:lang w:val="en-US" w:eastAsia="zh-CN"/>
        </w:rPr>
        <w:t>持续</w:t>
      </w:r>
      <w:r>
        <w:rPr>
          <w:rFonts w:hint="eastAsia"/>
          <w:color w:val="auto"/>
        </w:rPr>
        <w:t>开展工业园区污水收集处理排查，实施分阶段整治。切实压实污水处理厂主体责任，持续推进靶向盯控工作，制定专项方案责任到人，监测站、执法支队指派专人包干负责，在线监测日巡查、水质达标排放周调度、企业运营情况季研判，确保企业正规化运营，严防跑冒滴漏造成环境污染事件。</w:t>
      </w:r>
    </w:p>
    <w:p w14:paraId="29883124">
      <w:pPr>
        <w:ind w:firstLine="480"/>
        <w:rPr>
          <w:rFonts w:hint="eastAsia"/>
          <w:color w:val="auto"/>
        </w:rPr>
      </w:pPr>
      <w:r>
        <w:rPr>
          <w:rFonts w:hint="eastAsia"/>
          <w:b/>
          <w:bCs/>
          <w:color w:val="auto"/>
        </w:rPr>
        <w:t>深化畜禽养殖及农业面源污染防治。</w:t>
      </w:r>
      <w:r>
        <w:rPr>
          <w:rFonts w:hint="eastAsia"/>
          <w:color w:val="auto"/>
        </w:rPr>
        <w:t>推动畜禽养殖废弃物实现资源化利用。加强农排渠水污染治理，采取农业灌溉系统改造、生态拦截沟建设等措施，减少农田退水污染负荷，严控农田排水直接进入河道污染河流水质。</w:t>
      </w:r>
    </w:p>
    <w:p w14:paraId="31BFB0D0">
      <w:pPr>
        <w:ind w:firstLine="480"/>
        <w:rPr>
          <w:rFonts w:hint="eastAsia"/>
          <w:color w:val="auto"/>
        </w:rPr>
      </w:pPr>
      <w:r>
        <w:rPr>
          <w:rFonts w:hint="eastAsia"/>
          <w:b/>
          <w:bCs/>
          <w:color w:val="auto"/>
        </w:rPr>
        <w:t>保障饮用水水源水质安全。</w:t>
      </w:r>
      <w:r>
        <w:rPr>
          <w:rFonts w:hint="eastAsia"/>
          <w:color w:val="auto"/>
        </w:rPr>
        <w:t>开展水源地保护区“划、立、治”工作。</w:t>
      </w:r>
      <w:r>
        <w:rPr>
          <w:rFonts w:hint="eastAsia"/>
          <w:color w:val="auto"/>
          <w:lang w:val="en-US" w:eastAsia="zh-CN"/>
        </w:rPr>
        <w:t>动态开展师市</w:t>
      </w:r>
      <w:r>
        <w:rPr>
          <w:rFonts w:hint="eastAsia"/>
          <w:color w:val="auto"/>
        </w:rPr>
        <w:t>水源地规范化建设，提升饮用水水源地环境风险防控和应急应对能力水平。严格落实饮用水水源保护区管理措施，确保饮用水安全。开展</w:t>
      </w:r>
      <w:r>
        <w:rPr>
          <w:rFonts w:hint="eastAsia"/>
          <w:color w:val="auto"/>
          <w:lang w:val="en-US" w:eastAsia="zh-CN"/>
        </w:rPr>
        <w:t>团镇</w:t>
      </w:r>
      <w:r>
        <w:rPr>
          <w:rFonts w:hint="eastAsia"/>
          <w:color w:val="auto"/>
        </w:rPr>
        <w:t>饮用水水源保护区环境风险排查整治，强化连队饮用水水源地水质监测，依法</w:t>
      </w:r>
      <w:r>
        <w:rPr>
          <w:rFonts w:hint="eastAsia"/>
          <w:color w:val="auto"/>
          <w:lang w:val="en-US" w:eastAsia="zh-CN"/>
        </w:rPr>
        <w:t>排查并</w:t>
      </w:r>
      <w:r>
        <w:rPr>
          <w:rFonts w:hint="eastAsia"/>
          <w:color w:val="auto"/>
        </w:rPr>
        <w:t>清理饮用水水源保护区内违法建筑和排污口，确保饮用水安全。完善重要湖库护栏、监控等监管设施建设，减少因垂钓、放牧等人类活动造成的外源性污染。</w:t>
      </w:r>
    </w:p>
    <w:p w14:paraId="4A6D2184">
      <w:pPr>
        <w:pStyle w:val="3"/>
        <w:bidi w:val="0"/>
        <w:rPr>
          <w:rFonts w:hint="eastAsia"/>
          <w:color w:val="auto"/>
        </w:rPr>
      </w:pPr>
      <w:bookmarkStart w:id="71" w:name="_Toc17680"/>
      <w:bookmarkStart w:id="72" w:name="_Toc23889"/>
      <w:r>
        <w:rPr>
          <w:rFonts w:hint="eastAsia"/>
          <w:color w:val="auto"/>
        </w:rPr>
        <w:t>强化水生态保护修复与生态用水监管</w:t>
      </w:r>
      <w:bookmarkEnd w:id="71"/>
      <w:bookmarkEnd w:id="72"/>
    </w:p>
    <w:p w14:paraId="5F114417">
      <w:pPr>
        <w:ind w:firstLine="480"/>
        <w:rPr>
          <w:rFonts w:hint="eastAsia"/>
          <w:color w:val="auto"/>
        </w:rPr>
      </w:pPr>
      <w:r>
        <w:rPr>
          <w:rFonts w:hint="eastAsia"/>
          <w:b/>
          <w:bCs/>
          <w:color w:val="auto"/>
        </w:rPr>
        <w:t>积极推进水生态保护修复。</w:t>
      </w:r>
      <w:r>
        <w:rPr>
          <w:rFonts w:hint="eastAsia"/>
          <w:color w:val="auto"/>
        </w:rPr>
        <w:t>综合划定水环境修复区域，依据国土空间规划、国土空间综合整治与生态修复等规划进行分区管控。加强城市湿地生态和水环境修复工作，实施湿地、退化林地的修复治理工程，逐步恢复生态系统功能。</w:t>
      </w:r>
    </w:p>
    <w:p w14:paraId="163ADB8F">
      <w:pPr>
        <w:ind w:firstLine="480"/>
        <w:rPr>
          <w:rFonts w:hint="eastAsia"/>
          <w:color w:val="auto"/>
        </w:rPr>
      </w:pPr>
      <w:r>
        <w:rPr>
          <w:rFonts w:hint="eastAsia"/>
          <w:b/>
          <w:bCs/>
          <w:color w:val="auto"/>
        </w:rPr>
        <w:t>强化基本生态用水保障。</w:t>
      </w:r>
      <w:r>
        <w:rPr>
          <w:rFonts w:hint="eastAsia"/>
          <w:color w:val="auto"/>
        </w:rPr>
        <w:t>严守水资源开发利用控制、用水效率控制和水功能区限制纳污“三条红线”，合理配置经济社会发展和生态用水，推动用水方式进一步向节约集约转变。加强水资源取用监控，对农业、工业园区等用水大户进行用水量跟踪监控，促进高效用水、节约用水和循环用水。兵地共同推进重点河湖生态流量管理全覆盖，合理确定重要河湖主要控制断面生态流量管控指标。强化生态流量监测信息共享，加强河湖断面监测数据汇集，推动区域、部门间信息共享。强化地下水节约保护管理，持续推进地下水超采综合治理。</w:t>
      </w:r>
    </w:p>
    <w:p w14:paraId="748EAE80">
      <w:pPr>
        <w:ind w:firstLine="480"/>
        <w:rPr>
          <w:rFonts w:hint="eastAsia"/>
          <w:color w:val="auto"/>
        </w:rPr>
      </w:pPr>
    </w:p>
    <w:p w14:paraId="780E2BF0">
      <w:pPr>
        <w:pStyle w:val="2"/>
        <w:bidi w:val="0"/>
        <w:rPr>
          <w:rFonts w:hint="eastAsia"/>
          <w:color w:val="auto"/>
        </w:rPr>
      </w:pPr>
      <w:bookmarkStart w:id="73" w:name="_Toc8728"/>
      <w:bookmarkStart w:id="74" w:name="_Toc13750"/>
      <w:r>
        <w:rPr>
          <w:rFonts w:hint="eastAsia"/>
          <w:color w:val="auto"/>
        </w:rPr>
        <w:t>深化以源头防控为抓手的土壤和地下水环境</w:t>
      </w:r>
      <w:r>
        <w:rPr>
          <w:rFonts w:hint="eastAsia"/>
          <w:color w:val="auto"/>
          <w:lang w:val="en-US" w:eastAsia="zh-CN"/>
        </w:rPr>
        <w:t>质量</w:t>
      </w:r>
      <w:r>
        <w:rPr>
          <w:rFonts w:hint="eastAsia"/>
          <w:color w:val="auto"/>
        </w:rPr>
        <w:t>改善</w:t>
      </w:r>
      <w:bookmarkEnd w:id="73"/>
      <w:bookmarkEnd w:id="74"/>
    </w:p>
    <w:p w14:paraId="5046913B">
      <w:pPr>
        <w:pStyle w:val="3"/>
        <w:bidi w:val="0"/>
        <w:ind w:left="0" w:leftChars="0" w:firstLine="0" w:firstLineChars="0"/>
        <w:rPr>
          <w:color w:val="auto"/>
        </w:rPr>
      </w:pPr>
      <w:bookmarkStart w:id="75" w:name="_Toc31628"/>
      <w:bookmarkStart w:id="76" w:name="_Toc21153"/>
      <w:r>
        <w:rPr>
          <w:rFonts w:hint="eastAsia"/>
          <w:color w:val="auto"/>
          <w:lang w:val="en-US" w:eastAsia="zh-CN"/>
        </w:rPr>
        <w:t>持续推进土壤污染管控</w:t>
      </w:r>
      <w:bookmarkEnd w:id="75"/>
      <w:bookmarkEnd w:id="76"/>
    </w:p>
    <w:p w14:paraId="762FB565">
      <w:pPr>
        <w:ind w:firstLine="480"/>
        <w:rPr>
          <w:rFonts w:hint="eastAsia"/>
          <w:color w:val="auto"/>
        </w:rPr>
      </w:pPr>
      <w:r>
        <w:rPr>
          <w:rFonts w:hint="eastAsia"/>
          <w:b/>
          <w:bCs/>
          <w:color w:val="auto"/>
        </w:rPr>
        <w:t>强化土壤污染源头防控。</w:t>
      </w:r>
      <w:r>
        <w:rPr>
          <w:rFonts w:hint="eastAsia"/>
          <w:color w:val="auto"/>
        </w:rPr>
        <w:t>针对</w:t>
      </w:r>
      <w:r>
        <w:rPr>
          <w:rFonts w:hint="eastAsia"/>
          <w:color w:val="auto"/>
          <w:lang w:val="en-US" w:eastAsia="zh-CN"/>
        </w:rPr>
        <w:t>师市</w:t>
      </w:r>
      <w:r>
        <w:rPr>
          <w:rFonts w:hint="eastAsia"/>
          <w:color w:val="auto"/>
        </w:rPr>
        <w:t>土壤污染重点监管企业持续开展监测，定期更新企业名录防范新增土壤污染，严格建设项目土壤环境影响评价制度，强化重点单位水土污染协同防控，推进防渗漏措施、自行监测、隐患排查整改等法定义务落实并在排污许可中载明，持续推动绿色化改造。依法加强建设用地用途变更和污染地块风险管控的联动监管，调查“一住两公”地块土壤环境状况，开展重点监管单位土壤污染隐患排查和关闭搬迁地块土壤污染状况调查工作，鼓励建设用地优先用于拓展生态空间。依法推行农用地分类管理制度，强化优先保护类耕地保护，扎实推进受污染耕地安全利用和风险管控，鼓励采取种植结构调整等措施，确保受污染耕地全部实现安全利用。到2030年，土壤污染风险得到全面有效管控。</w:t>
      </w:r>
    </w:p>
    <w:p w14:paraId="1F4EECE3">
      <w:pPr>
        <w:ind w:firstLine="480"/>
        <w:rPr>
          <w:rFonts w:hint="eastAsia"/>
          <w:color w:val="auto"/>
        </w:rPr>
      </w:pPr>
      <w:r>
        <w:rPr>
          <w:rFonts w:hint="eastAsia"/>
          <w:b/>
          <w:bCs/>
          <w:color w:val="auto"/>
        </w:rPr>
        <w:t>深化土壤污染隐患排查及整改。</w:t>
      </w:r>
      <w:r>
        <w:rPr>
          <w:rFonts w:hint="eastAsia"/>
          <w:color w:val="auto"/>
        </w:rPr>
        <w:t>按照国家要求，</w:t>
      </w:r>
      <w:r>
        <w:rPr>
          <w:rFonts w:hint="eastAsia"/>
          <w:color w:val="auto"/>
          <w:lang w:val="en-US" w:eastAsia="zh-CN"/>
        </w:rPr>
        <w:t>2026年底前，启动全国地下水污染调查评价，2027年底前启动</w:t>
      </w:r>
      <w:r>
        <w:rPr>
          <w:rFonts w:hint="eastAsia"/>
          <w:color w:val="auto"/>
        </w:rPr>
        <w:t>第二轮土壤污染状况普查，掌握建设用地和农用地土壤污染状况和变化趋势。加强危险废物、重金属等重点行业土壤污染隐患排查及整改，持续开展历史遗留固体废弃物排查治理，推动历史遗留</w:t>
      </w:r>
      <w:r>
        <w:rPr>
          <w:rFonts w:hint="eastAsia"/>
          <w:color w:val="auto"/>
          <w:lang w:val="en-US" w:eastAsia="zh-CN"/>
        </w:rPr>
        <w:t>废弃</w:t>
      </w:r>
      <w:r>
        <w:rPr>
          <w:rFonts w:hint="eastAsia"/>
          <w:color w:val="auto"/>
        </w:rPr>
        <w:t>矿山生态修复工作。推进盐碱地综合改造利用，推广应用耐盐植物种植、土壤改良剂应用等盐碱地生物治碱技术，探索绿色低碳修复与再开发利用模式。开展高标准农田生态化改造，推进耕地有机质提升行动，逐步健全土壤健康管理体系。</w:t>
      </w:r>
    </w:p>
    <w:p w14:paraId="2EBF45E3">
      <w:pPr>
        <w:pStyle w:val="3"/>
        <w:bidi w:val="0"/>
        <w:rPr>
          <w:rFonts w:hint="eastAsia"/>
          <w:color w:val="auto"/>
        </w:rPr>
      </w:pPr>
      <w:bookmarkStart w:id="77" w:name="_Toc24138"/>
      <w:bookmarkStart w:id="78" w:name="_Toc19388"/>
      <w:r>
        <w:rPr>
          <w:rFonts w:hint="eastAsia"/>
          <w:color w:val="auto"/>
        </w:rPr>
        <w:t>强化地下水污染防治</w:t>
      </w:r>
      <w:bookmarkEnd w:id="77"/>
      <w:bookmarkEnd w:id="78"/>
    </w:p>
    <w:p w14:paraId="5AE50F6C">
      <w:pPr>
        <w:ind w:firstLine="480"/>
        <w:rPr>
          <w:rFonts w:hint="eastAsia"/>
          <w:color w:val="auto"/>
        </w:rPr>
      </w:pPr>
      <w:r>
        <w:rPr>
          <w:rFonts w:hint="eastAsia"/>
          <w:b/>
          <w:bCs/>
          <w:color w:val="auto"/>
        </w:rPr>
        <w:t>健全地下水污染防治管理体系。</w:t>
      </w:r>
      <w:r>
        <w:rPr>
          <w:rFonts w:hint="eastAsia"/>
          <w:color w:val="auto"/>
        </w:rPr>
        <w:t>完善地下水污染防治重点排污单位名录，加强防渗、地下水环境监测、执法检查。强化地下水型饮用水水源地环境保护。将地下水污染防治重点区纳入生态环境分区管控体系，落实环境准入、隐患排查、风险管控、修复等差异化环境管理要求。合理开展地下水环境质量监测点位布设，加强重点污染源地下水监测，逐步构建地下水环境质量监测网络。</w:t>
      </w:r>
    </w:p>
    <w:p w14:paraId="7ED14D6F">
      <w:pPr>
        <w:ind w:firstLine="480"/>
        <w:rPr>
          <w:color w:val="auto"/>
        </w:rPr>
      </w:pPr>
      <w:r>
        <w:rPr>
          <w:rFonts w:hint="eastAsia"/>
          <w:b/>
          <w:bCs/>
          <w:color w:val="auto"/>
        </w:rPr>
        <w:t>强化污染源头预防与风险管控。</w:t>
      </w:r>
      <w:r>
        <w:rPr>
          <w:rFonts w:hint="eastAsia"/>
          <w:color w:val="auto"/>
        </w:rPr>
        <w:t>按照国家要求，适时启动地下水污染状况调查</w:t>
      </w:r>
      <w:r>
        <w:rPr>
          <w:rFonts w:hint="eastAsia"/>
          <w:color w:val="auto"/>
          <w:lang w:eastAsia="zh-CN"/>
        </w:rPr>
        <w:t>，</w:t>
      </w:r>
      <w:r>
        <w:rPr>
          <w:rFonts w:hint="eastAsia"/>
          <w:color w:val="auto"/>
        </w:rPr>
        <w:t>构建分级分类的地下水污染源监管措施，强化地下水保护。落实地下水分区管控措施，防范地下水污染风险。持续开展地下水污染防治重点排污单位周边地下水环境监测，加强工业集聚区、危险废物处置场和生活垃圾填埋场等重点区域地下水污染风险管控。</w:t>
      </w:r>
    </w:p>
    <w:p w14:paraId="4EA2430F">
      <w:pPr>
        <w:ind w:firstLine="480"/>
        <w:rPr>
          <w:color w:val="auto"/>
        </w:rPr>
      </w:pPr>
    </w:p>
    <w:p w14:paraId="6916FAF4">
      <w:pPr>
        <w:ind w:firstLine="480"/>
        <w:rPr>
          <w:color w:val="auto"/>
        </w:rPr>
      </w:pPr>
    </w:p>
    <w:p w14:paraId="791363A1">
      <w:pPr>
        <w:ind w:firstLine="480"/>
        <w:rPr>
          <w:color w:val="auto"/>
        </w:rPr>
      </w:pPr>
    </w:p>
    <w:p w14:paraId="3EE80869">
      <w:pPr>
        <w:pStyle w:val="2"/>
        <w:bidi w:val="0"/>
        <w:ind w:left="0" w:leftChars="0" w:firstLine="0" w:firstLineChars="0"/>
        <w:rPr>
          <w:color w:val="auto"/>
        </w:rPr>
      </w:pPr>
      <w:bookmarkStart w:id="79" w:name="_Toc23433"/>
      <w:bookmarkStart w:id="80" w:name="_Toc28173"/>
      <w:bookmarkStart w:id="81" w:name="_Toc30061"/>
      <w:r>
        <w:rPr>
          <w:rFonts w:hint="eastAsia"/>
          <w:color w:val="auto"/>
        </w:rPr>
        <w:t>扎实有效应对气候变化</w:t>
      </w:r>
      <w:bookmarkEnd w:id="79"/>
      <w:bookmarkEnd w:id="80"/>
      <w:bookmarkEnd w:id="81"/>
    </w:p>
    <w:p w14:paraId="6619AC50">
      <w:pPr>
        <w:pStyle w:val="3"/>
        <w:bidi w:val="0"/>
        <w:ind w:left="0" w:leftChars="0" w:firstLine="0" w:firstLineChars="0"/>
        <w:rPr>
          <w:color w:val="auto"/>
        </w:rPr>
      </w:pPr>
      <w:bookmarkStart w:id="82" w:name="_Toc3036"/>
      <w:bookmarkStart w:id="83" w:name="_Toc15028"/>
      <w:bookmarkStart w:id="84" w:name="_Toc10414"/>
      <w:r>
        <w:rPr>
          <w:rFonts w:hint="eastAsia"/>
          <w:color w:val="auto"/>
        </w:rPr>
        <w:t>严格管控温室气体排放</w:t>
      </w:r>
      <w:bookmarkEnd w:id="82"/>
      <w:bookmarkEnd w:id="83"/>
      <w:bookmarkEnd w:id="84"/>
    </w:p>
    <w:p w14:paraId="1463DFFE">
      <w:pPr>
        <w:ind w:firstLine="480"/>
        <w:rPr>
          <w:rFonts w:hint="eastAsia"/>
          <w:color w:val="auto"/>
        </w:rPr>
      </w:pPr>
      <w:r>
        <w:rPr>
          <w:rFonts w:hint="eastAsia"/>
          <w:b/>
          <w:bCs/>
          <w:color w:val="auto"/>
        </w:rPr>
        <w:t>全面实施碳排放双控制度。</w:t>
      </w:r>
      <w:r>
        <w:rPr>
          <w:rFonts w:hint="eastAsia"/>
          <w:color w:val="auto"/>
        </w:rPr>
        <w:t>统筹考虑</w:t>
      </w:r>
      <w:r>
        <w:rPr>
          <w:rFonts w:hint="eastAsia"/>
          <w:color w:val="auto"/>
          <w:lang w:val="en-US" w:eastAsia="zh-CN"/>
        </w:rPr>
        <w:t>师市</w:t>
      </w:r>
      <w:r>
        <w:rPr>
          <w:rFonts w:hint="eastAsia"/>
          <w:color w:val="auto"/>
        </w:rPr>
        <w:t>经济发展阶段和减排潜力，推进能耗双控向碳排放双控转变，实施以强度控制为主、总量控制为辅的碳排放双控制度。推进碳排放预算管理、统计核算、评价、单位管理等碳排放制度建设。推动碳排放数字化监管力度，探索重点企业碳排放全流程监管。建立动态目标调整机制，推进碳排放数据跨部门共享共用。到2030年，碳排放总量和强度得到有效控制。</w:t>
      </w:r>
    </w:p>
    <w:p w14:paraId="5694C40D">
      <w:pPr>
        <w:ind w:firstLine="480"/>
        <w:rPr>
          <w:rFonts w:hint="eastAsia"/>
          <w:color w:val="auto"/>
        </w:rPr>
      </w:pPr>
      <w:r>
        <w:rPr>
          <w:rFonts w:hint="eastAsia"/>
          <w:b/>
          <w:bCs/>
          <w:color w:val="auto"/>
        </w:rPr>
        <w:t>推动重点领域温室气体管控。</w:t>
      </w:r>
      <w:r>
        <w:rPr>
          <w:rFonts w:hint="eastAsia"/>
          <w:color w:val="auto"/>
        </w:rPr>
        <w:t>探索构建碳排放管理激励约束机制，对企业减污降碳行为在财政、审批中给予激励。稳步推进温室气体排放管控纳入重点产业园区规划环评，推进重点行业建设项目温室气体排放环境影响评价。按要求推动能源活动、工业生产过程、农业领域非二氧化碳温室气体管控。加强甲烷排放管理和控制，探索开展甲烷排放监测试点，推动养殖场、垃圾填埋场以及污水处理厂等大型排放源定期报告甲烷排放数据。聚焦重点碳排放行业和企业，加大分级分类管控力度。加大低碳技术研发投入，增强扶持政策的精准性。加快推动碳捕集利用与封存</w:t>
      </w:r>
      <w:r>
        <w:rPr>
          <w:rFonts w:hint="eastAsia"/>
          <w:color w:val="auto"/>
          <w:lang w:eastAsia="zh-CN"/>
        </w:rPr>
        <w:t>（</w:t>
      </w:r>
      <w:r>
        <w:rPr>
          <w:rFonts w:hint="eastAsia"/>
          <w:color w:val="auto"/>
        </w:rPr>
        <w:t>CCUS</w:t>
      </w:r>
      <w:r>
        <w:rPr>
          <w:rFonts w:hint="eastAsia"/>
          <w:color w:val="auto"/>
          <w:lang w:eastAsia="zh-CN"/>
        </w:rPr>
        <w:t>）</w:t>
      </w:r>
      <w:r>
        <w:rPr>
          <w:rFonts w:hint="eastAsia"/>
          <w:color w:val="auto"/>
        </w:rPr>
        <w:t>产业化应用，支持低碳零碳负碳项目建设。</w:t>
      </w:r>
    </w:p>
    <w:p w14:paraId="24321595">
      <w:pPr>
        <w:pStyle w:val="3"/>
        <w:bidi w:val="0"/>
        <w:ind w:left="0" w:leftChars="0" w:firstLine="0" w:firstLineChars="0"/>
        <w:rPr>
          <w:rFonts w:hint="eastAsia"/>
          <w:color w:val="auto"/>
        </w:rPr>
      </w:pPr>
      <w:bookmarkStart w:id="85" w:name="_Toc10042"/>
      <w:bookmarkStart w:id="86" w:name="_Toc12716"/>
      <w:bookmarkStart w:id="87" w:name="_Toc32636"/>
      <w:r>
        <w:rPr>
          <w:rFonts w:hint="eastAsia"/>
          <w:color w:val="auto"/>
        </w:rPr>
        <w:t>积极参与全国碳市场建设</w:t>
      </w:r>
      <w:bookmarkEnd w:id="85"/>
      <w:bookmarkEnd w:id="86"/>
      <w:bookmarkEnd w:id="87"/>
    </w:p>
    <w:p w14:paraId="3072B1AC">
      <w:pPr>
        <w:ind w:firstLine="480"/>
        <w:rPr>
          <w:rFonts w:hint="eastAsia"/>
          <w:color w:val="auto"/>
        </w:rPr>
      </w:pPr>
      <w:r>
        <w:rPr>
          <w:rFonts w:hint="eastAsia"/>
          <w:b/>
          <w:bCs/>
          <w:color w:val="auto"/>
        </w:rPr>
        <w:t>积极参与国家碳市场交易。</w:t>
      </w:r>
      <w:r>
        <w:rPr>
          <w:rFonts w:hint="eastAsia"/>
          <w:color w:val="auto"/>
        </w:rPr>
        <w:t>按照国家及兵团要求，分阶段有序扩大碳排放权交易市场覆盖范围和温室气体种类，指导具备条件的企业参与全国碳交易市场和全国温室气体自愿减排交易，有序组织自愿减排交易项目开发和储备工作。落实</w:t>
      </w:r>
      <w:r>
        <w:rPr>
          <w:rFonts w:hint="eastAsia"/>
          <w:color w:val="auto"/>
          <w:lang w:eastAsia="zh-CN"/>
        </w:rPr>
        <w:t>碳排放统计核算制度</w:t>
      </w:r>
      <w:r>
        <w:rPr>
          <w:rFonts w:hint="eastAsia"/>
          <w:color w:val="auto"/>
        </w:rPr>
        <w:t>，逐年编制温室气体清单，配合兵团持续做好重点排放单位碳排放核查复查、配额分配和清缴履约。推动可再生能源、甲烷回收利用和能效提升等项目温室气体减排效果量化核证，开发碳普惠项目。健全资源环境要素市场化配置体系，深入推进碳排放权、用能权、用水权、排污权市场化交易，推动绿证、绿电和林权交易。</w:t>
      </w:r>
    </w:p>
    <w:p w14:paraId="3B16E455">
      <w:pPr>
        <w:ind w:firstLine="480"/>
        <w:rPr>
          <w:rFonts w:hint="eastAsia"/>
          <w:color w:val="auto"/>
        </w:rPr>
      </w:pPr>
      <w:r>
        <w:rPr>
          <w:rFonts w:hint="eastAsia"/>
          <w:b/>
          <w:bCs/>
          <w:color w:val="auto"/>
        </w:rPr>
        <w:t>构建产品碳足迹管理体系。</w:t>
      </w:r>
      <w:r>
        <w:rPr>
          <w:rFonts w:hint="eastAsia"/>
          <w:color w:val="auto"/>
        </w:rPr>
        <w:t>按国家及兵团要求尝试开展产品碳足迹标识认证试点工作，加强产品碳足迹核算能力建设，开展重点产品碳足迹核算规则研究，鼓励企业建立碳排放和重点产品碳足迹基础数据库，探索重点产品全生命周期碳足迹管理。</w:t>
      </w:r>
    </w:p>
    <w:p w14:paraId="78426A57">
      <w:pPr>
        <w:ind w:firstLine="480"/>
        <w:rPr>
          <w:rFonts w:hint="eastAsia"/>
          <w:color w:val="auto"/>
        </w:rPr>
      </w:pPr>
      <w:r>
        <w:rPr>
          <w:rFonts w:hint="eastAsia"/>
          <w:b/>
          <w:bCs/>
          <w:color w:val="auto"/>
        </w:rPr>
        <w:t>加快推进低碳发展试点示范。</w:t>
      </w:r>
      <w:r>
        <w:rPr>
          <w:rFonts w:hint="eastAsia"/>
          <w:color w:val="auto"/>
        </w:rPr>
        <w:t>倡导推动政府、企业、社会团体、个人等在绿色供应链管理、开展大型活动、履行社会责任、绿色低碳生活等方面，积极使用核证自愿减排量抵消碳排放。推动低碳城市、低碳园区、低碳社区和低碳企业试点示范项目和创建活动，加快建立一批有示范作用的低碳社区、园区。</w:t>
      </w:r>
    </w:p>
    <w:p w14:paraId="26F6872A">
      <w:pPr>
        <w:pStyle w:val="3"/>
        <w:bidi w:val="0"/>
        <w:ind w:left="0" w:leftChars="0" w:firstLine="0" w:firstLineChars="0"/>
        <w:rPr>
          <w:rFonts w:hint="eastAsia"/>
          <w:color w:val="auto"/>
        </w:rPr>
      </w:pPr>
      <w:bookmarkStart w:id="88" w:name="_Toc3786"/>
      <w:bookmarkStart w:id="89" w:name="_Toc1327"/>
      <w:bookmarkStart w:id="90" w:name="_Toc8845"/>
      <w:r>
        <w:rPr>
          <w:rFonts w:hint="eastAsia"/>
          <w:color w:val="auto"/>
        </w:rPr>
        <w:t>强化气候变化适应能力</w:t>
      </w:r>
      <w:bookmarkEnd w:id="88"/>
      <w:bookmarkEnd w:id="89"/>
      <w:bookmarkEnd w:id="90"/>
    </w:p>
    <w:p w14:paraId="54D21F00">
      <w:pPr>
        <w:ind w:firstLine="480"/>
        <w:rPr>
          <w:color w:val="auto"/>
        </w:rPr>
      </w:pPr>
      <w:r>
        <w:rPr>
          <w:rFonts w:hint="eastAsia"/>
          <w:b/>
          <w:bCs/>
          <w:color w:val="auto"/>
        </w:rPr>
        <w:t>加强适应气候变化基础能力建设。</w:t>
      </w:r>
      <w:r>
        <w:rPr>
          <w:rFonts w:hint="eastAsia"/>
          <w:color w:val="auto"/>
        </w:rPr>
        <w:t>扎实开展适应气候变化行动，探索开展气候适应型城市建设工作。协同推广生态旅游、绿色旅游和低碳旅游，结合全国低碳日、六五环境日等主题日做好气候变化应对宣传活动。建立健全生态环境、自然资源、应急管理、气象等部门协同联动机制，探索构建极端天气次生污染风险评估与应急响应机制。</w:t>
      </w:r>
    </w:p>
    <w:p w14:paraId="0F12ACB7">
      <w:pPr>
        <w:ind w:firstLine="480"/>
        <w:rPr>
          <w:rFonts w:hint="eastAsia"/>
          <w:color w:val="auto"/>
        </w:rPr>
      </w:pPr>
    </w:p>
    <w:p w14:paraId="1E31E360">
      <w:pPr>
        <w:pStyle w:val="2"/>
        <w:bidi w:val="0"/>
        <w:ind w:left="0" w:leftChars="0" w:firstLine="0" w:firstLineChars="0"/>
        <w:rPr>
          <w:color w:val="auto"/>
        </w:rPr>
      </w:pPr>
      <w:bookmarkStart w:id="91" w:name="_Toc29457"/>
      <w:bookmarkStart w:id="92" w:name="_Toc15158"/>
      <w:bookmarkStart w:id="93" w:name="_Toc19454"/>
      <w:r>
        <w:rPr>
          <w:rFonts w:hint="eastAsia"/>
          <w:color w:val="auto"/>
        </w:rPr>
        <w:t>强化统一监管提升生态系统多样性稳定性持续性</w:t>
      </w:r>
      <w:bookmarkEnd w:id="91"/>
      <w:bookmarkEnd w:id="92"/>
      <w:bookmarkEnd w:id="93"/>
    </w:p>
    <w:p w14:paraId="7AEC94EA">
      <w:pPr>
        <w:pStyle w:val="3"/>
        <w:bidi w:val="0"/>
        <w:ind w:left="0" w:leftChars="0" w:firstLine="0" w:firstLineChars="0"/>
        <w:rPr>
          <w:color w:val="auto"/>
        </w:rPr>
      </w:pPr>
      <w:bookmarkStart w:id="94" w:name="_Toc20037"/>
      <w:bookmarkStart w:id="95" w:name="_Toc12897"/>
      <w:bookmarkStart w:id="96" w:name="_Toc209031653"/>
      <w:bookmarkStart w:id="97" w:name="_Toc21360"/>
      <w:r>
        <w:rPr>
          <w:rFonts w:hint="eastAsia"/>
          <w:color w:val="auto"/>
        </w:rPr>
        <w:t>筑牢自然生态屏障</w:t>
      </w:r>
      <w:bookmarkEnd w:id="94"/>
      <w:bookmarkEnd w:id="95"/>
      <w:bookmarkEnd w:id="96"/>
      <w:bookmarkEnd w:id="97"/>
    </w:p>
    <w:p w14:paraId="5D0E5FA8">
      <w:pPr>
        <w:ind w:firstLine="480"/>
        <w:rPr>
          <w:color w:val="auto"/>
        </w:rPr>
      </w:pPr>
      <w:r>
        <w:rPr>
          <w:rFonts w:hint="eastAsia"/>
          <w:b/>
          <w:bCs/>
          <w:color w:val="auto"/>
        </w:rPr>
        <w:t>推动构建兵地共同的生态安全战略格局</w:t>
      </w:r>
      <w:r>
        <w:rPr>
          <w:rFonts w:hint="eastAsia"/>
          <w:color w:val="auto"/>
          <w:lang w:eastAsia="zh-CN"/>
        </w:rPr>
        <w:t>。</w:t>
      </w:r>
      <w:r>
        <w:rPr>
          <w:rFonts w:hint="eastAsia"/>
          <w:color w:val="auto"/>
        </w:rPr>
        <w:t>加强兵地生态功能区、重要生态廊道保护共建，强化防沙治沙，积极推进师市退化林地和草原修复。优化自然保护地，加快怪石峪风景名胜区整合优化和总体利用规划报批。强化生态保护修复统一监管，加大对怪石峪风景名胜区巡护，持续推进“绿盾”自然保护地强化监督，及时发现和查处各类生态破坏事件。到2030年，自然保护地面积占师市面积比例保持在7.96%，生态系统格局稳定，生态功能持续提升。</w:t>
      </w:r>
    </w:p>
    <w:p w14:paraId="62F99F14">
      <w:pPr>
        <w:pStyle w:val="3"/>
        <w:bidi w:val="0"/>
        <w:ind w:left="0" w:leftChars="0" w:firstLine="0" w:firstLineChars="0"/>
        <w:rPr>
          <w:color w:val="auto"/>
        </w:rPr>
      </w:pPr>
      <w:bookmarkStart w:id="98" w:name="_Toc29628"/>
      <w:bookmarkStart w:id="99" w:name="_Toc27842"/>
      <w:bookmarkStart w:id="100" w:name="_Toc30789"/>
      <w:r>
        <w:rPr>
          <w:rFonts w:hint="eastAsia"/>
          <w:color w:val="auto"/>
        </w:rPr>
        <w:t>加强生态系统保护与修复</w:t>
      </w:r>
      <w:bookmarkEnd w:id="98"/>
      <w:bookmarkEnd w:id="99"/>
      <w:bookmarkEnd w:id="100"/>
    </w:p>
    <w:p w14:paraId="38B222A3">
      <w:pPr>
        <w:ind w:firstLine="480"/>
        <w:rPr>
          <w:color w:val="auto"/>
        </w:rPr>
      </w:pPr>
      <w:r>
        <w:rPr>
          <w:rFonts w:hint="eastAsia"/>
          <w:b/>
          <w:bCs/>
          <w:color w:val="auto"/>
        </w:rPr>
        <w:t>统筹山水林田湖草沙一体化保护和系统治理</w:t>
      </w:r>
      <w:r>
        <w:rPr>
          <w:rFonts w:hint="eastAsia"/>
          <w:color w:val="auto"/>
          <w:lang w:eastAsia="zh-CN"/>
        </w:rPr>
        <w:t>。</w:t>
      </w:r>
      <w:r>
        <w:rPr>
          <w:rFonts w:hint="eastAsia"/>
          <w:color w:val="auto"/>
        </w:rPr>
        <w:t>科学实施国土绿化，建立草原禁牧草畜平衡工作台账，加大草原修复力度。推进第五师双河市天山森林草原保护综合治理项目、第五师森林火灾高危区（高风险区）综合治理项目、第五师森林火灾高危区和高风险防火应急道路建设项目实施，加强防火演练和宣传，强化野外火源管控，提升森林草原防灭火能力。持续推进“三北”工程建设，科学开展国土绿化</w:t>
      </w:r>
      <w:r>
        <w:rPr>
          <w:rFonts w:hint="eastAsia"/>
          <w:color w:val="auto"/>
          <w:lang w:eastAsia="zh-CN"/>
        </w:rPr>
        <w:t>，</w:t>
      </w:r>
      <w:r>
        <w:rPr>
          <w:rFonts w:hint="eastAsia"/>
          <w:color w:val="auto"/>
        </w:rPr>
        <w:t>加快推进退化防护林修复。2021</w:t>
      </w:r>
      <w:r>
        <w:rPr>
          <w:rFonts w:hint="eastAsia"/>
          <w:color w:val="auto"/>
          <w:lang w:eastAsia="zh-CN"/>
        </w:rPr>
        <w:t>—</w:t>
      </w:r>
      <w:r>
        <w:rPr>
          <w:rFonts w:hint="eastAsia"/>
          <w:color w:val="auto"/>
        </w:rPr>
        <w:t>2030年，累计完成沙化土地治理80.32万亩。到2030年，森林质量和森林覆盖率提高至9.65%。</w:t>
      </w:r>
    </w:p>
    <w:p w14:paraId="1E59E211">
      <w:pPr>
        <w:ind w:firstLine="480"/>
        <w:rPr>
          <w:color w:val="auto"/>
        </w:rPr>
      </w:pPr>
      <w:r>
        <w:rPr>
          <w:rFonts w:hint="eastAsia"/>
          <w:b/>
          <w:bCs/>
          <w:color w:val="auto"/>
        </w:rPr>
        <w:t>积极推动实施重要生态系统保护和修复重大工程、山水林田湖草沙一体化保护和修复工程。</w:t>
      </w:r>
      <w:r>
        <w:rPr>
          <w:rFonts w:hint="eastAsia"/>
          <w:color w:val="auto"/>
        </w:rPr>
        <w:t>推行草原森林河流湖泊休养生息，对生态严重退化地区实行封禁保护。继续实施退地减水，巩固提升退耕还林还草成果。推进草原禁牧和草畜平衡制度落实。落实耕地休耕轮作制度，推进荒漠化和水土流失综合治理。根据区域水资源条件科学开展国土绿化行动，全面保护修复天然林，深入开展退化防护林修复工作。加强湿地保护修复，推进重点湿地综合治理，强化治理，强化湿地用途管制和利用监管。</w:t>
      </w:r>
    </w:p>
    <w:p w14:paraId="24E7961E">
      <w:pPr>
        <w:pStyle w:val="3"/>
        <w:bidi w:val="0"/>
        <w:ind w:left="0" w:leftChars="0" w:firstLine="0" w:firstLineChars="0"/>
        <w:rPr>
          <w:color w:val="auto"/>
        </w:rPr>
      </w:pPr>
      <w:bookmarkStart w:id="101" w:name="_Toc209031655"/>
      <w:bookmarkStart w:id="102" w:name="_Toc6115"/>
      <w:bookmarkStart w:id="103" w:name="_Toc12433"/>
      <w:bookmarkStart w:id="104" w:name="_Toc2040"/>
      <w:r>
        <w:rPr>
          <w:rFonts w:hint="eastAsia"/>
          <w:color w:val="auto"/>
        </w:rPr>
        <w:t>提升生物多样性保护</w:t>
      </w:r>
      <w:bookmarkEnd w:id="101"/>
      <w:r>
        <w:rPr>
          <w:rFonts w:hint="eastAsia"/>
          <w:color w:val="auto"/>
        </w:rPr>
        <w:t>水平</w:t>
      </w:r>
      <w:bookmarkEnd w:id="102"/>
      <w:bookmarkEnd w:id="103"/>
      <w:bookmarkEnd w:id="104"/>
    </w:p>
    <w:p w14:paraId="6D9D1CA7">
      <w:pPr>
        <w:ind w:firstLine="480"/>
        <w:rPr>
          <w:rFonts w:hint="eastAsia"/>
          <w:color w:val="auto"/>
        </w:rPr>
      </w:pPr>
      <w:r>
        <w:rPr>
          <w:rFonts w:hint="eastAsia"/>
          <w:b/>
          <w:bCs/>
          <w:color w:val="auto"/>
        </w:rPr>
        <w:t>优化生物多样性保护空间网络。</w:t>
      </w:r>
      <w:r>
        <w:rPr>
          <w:rFonts w:hint="eastAsia"/>
          <w:color w:val="auto"/>
        </w:rPr>
        <w:t>在国土空间规划中统筹划定生态保护红线，加强对生物多样性保护优先区的保护监管，明确重点生态功能区生物多样性保护和管控政策。进一步优化完善生物多样性保护空间网络规模与结构，合理布局建设生物多样性保护空间体系，选择重要珍稀濒危物种、极小种群和遗传资源破碎分布点建设保护点。持续推进各级各类自然保护地、城市绿地等保护空间标准化、规范化建设。</w:t>
      </w:r>
    </w:p>
    <w:p w14:paraId="118771E9">
      <w:pPr>
        <w:ind w:firstLine="480"/>
        <w:rPr>
          <w:rFonts w:hint="eastAsia"/>
          <w:color w:val="auto"/>
        </w:rPr>
      </w:pPr>
      <w:r>
        <w:rPr>
          <w:rFonts w:hint="eastAsia"/>
          <w:b/>
          <w:bCs/>
          <w:color w:val="auto"/>
        </w:rPr>
        <w:t>持续推进生物多样性调查监测与评估。</w:t>
      </w:r>
      <w:r>
        <w:rPr>
          <w:rFonts w:hint="eastAsia"/>
          <w:color w:val="auto"/>
        </w:rPr>
        <w:t>持续推进生物多样性调查监测，摸清重点区域生物多样性本底。推进生物多样性保护重点区域生态系统、重点生物物种及重要生物遗传资源调查。依托现有各级各类监测站点和监测样地</w:t>
      </w:r>
      <w:r>
        <w:rPr>
          <w:rFonts w:hint="eastAsia"/>
          <w:color w:val="auto"/>
          <w:lang w:eastAsia="zh-CN"/>
        </w:rPr>
        <w:t>（</w:t>
      </w:r>
      <w:r>
        <w:rPr>
          <w:rFonts w:hint="eastAsia"/>
          <w:color w:val="auto"/>
        </w:rPr>
        <w:t>线</w:t>
      </w:r>
      <w:r>
        <w:rPr>
          <w:rFonts w:hint="eastAsia"/>
          <w:color w:val="auto"/>
          <w:lang w:eastAsia="zh-CN"/>
        </w:rPr>
        <w:t>）</w:t>
      </w:r>
      <w:r>
        <w:rPr>
          <w:rFonts w:hint="eastAsia"/>
          <w:color w:val="auto"/>
        </w:rPr>
        <w:t>，配合兵团开展生态质量样地监测。推进生物多样性保护重点区域生态系统、重点生物物种及重要生物遗传资源调查。加快生物多样性监测体系建设，引入大数据、人工智能分析技术，提高监测数据处理效率与精准度，提升生物多样性保护基础保障能力。开展政策引导，鼓励企业和社会组织开展、参与制定生物多样性保护行动计划。落实“昆明—蒙特利尔全球生物多样性框架”，推动实施生物多样性保护工程。</w:t>
      </w:r>
    </w:p>
    <w:p w14:paraId="2506BCD0">
      <w:pPr>
        <w:ind w:firstLine="480"/>
        <w:rPr>
          <w:rFonts w:hint="eastAsia"/>
          <w:color w:val="auto"/>
        </w:rPr>
      </w:pPr>
    </w:p>
    <w:p w14:paraId="517A289F">
      <w:pPr>
        <w:pStyle w:val="2"/>
        <w:bidi w:val="0"/>
        <w:ind w:left="0" w:leftChars="0" w:firstLine="0" w:firstLineChars="0"/>
        <w:rPr>
          <w:color w:val="auto"/>
        </w:rPr>
      </w:pPr>
      <w:bookmarkStart w:id="105" w:name="_Toc15124"/>
      <w:bookmarkStart w:id="106" w:name="_Toc6468"/>
      <w:bookmarkStart w:id="107" w:name="_Toc4055"/>
      <w:r>
        <w:rPr>
          <w:rFonts w:hint="eastAsia"/>
          <w:color w:val="auto"/>
        </w:rPr>
        <w:t>树立底线思维强化生态环境安全管理任务</w:t>
      </w:r>
      <w:bookmarkEnd w:id="105"/>
      <w:bookmarkEnd w:id="106"/>
      <w:bookmarkEnd w:id="107"/>
    </w:p>
    <w:p w14:paraId="53045017">
      <w:pPr>
        <w:pStyle w:val="3"/>
        <w:bidi w:val="0"/>
        <w:ind w:left="0" w:leftChars="0" w:firstLine="0" w:firstLineChars="0"/>
        <w:rPr>
          <w:rFonts w:hint="eastAsia"/>
          <w:color w:val="auto"/>
        </w:rPr>
      </w:pPr>
      <w:bookmarkStart w:id="108" w:name="_Toc15992"/>
      <w:bookmarkStart w:id="109" w:name="_Toc13128"/>
      <w:bookmarkStart w:id="110" w:name="_Toc25471"/>
      <w:r>
        <w:rPr>
          <w:rFonts w:hint="eastAsia"/>
          <w:color w:val="auto"/>
        </w:rPr>
        <w:t>严防危险废物环境风险</w:t>
      </w:r>
      <w:bookmarkEnd w:id="108"/>
      <w:bookmarkEnd w:id="109"/>
      <w:bookmarkEnd w:id="110"/>
    </w:p>
    <w:p w14:paraId="67816A94">
      <w:pPr>
        <w:ind w:firstLine="480"/>
        <w:rPr>
          <w:rFonts w:hint="eastAsia"/>
          <w:color w:val="auto"/>
        </w:rPr>
      </w:pPr>
      <w:r>
        <w:rPr>
          <w:rFonts w:hint="eastAsia"/>
          <w:b/>
          <w:bCs/>
          <w:color w:val="auto"/>
        </w:rPr>
        <w:t>持续健全危险废物收集转运体系及处置能力。</w:t>
      </w:r>
      <w:r>
        <w:rPr>
          <w:rFonts w:hint="eastAsia"/>
          <w:color w:val="auto"/>
        </w:rPr>
        <w:t>持续开展小微企业和社会源危险废物收集试点，强化危险废物收集单位规范化管理水平，提升危险废物收集转运效率。结合危险废物产生量、处置利用能力及其变化趋势，建设危险废物利用处置设施，积极引导社会资本开展危险废物资源化利用。推动兵地危险废物联防联控联治合作以及处置设施共建共享。</w:t>
      </w:r>
    </w:p>
    <w:p w14:paraId="6AE2A301">
      <w:pPr>
        <w:ind w:firstLine="480"/>
        <w:rPr>
          <w:rFonts w:hint="eastAsia"/>
          <w:color w:val="auto"/>
        </w:rPr>
      </w:pPr>
      <w:r>
        <w:rPr>
          <w:rFonts w:hint="eastAsia"/>
          <w:b/>
          <w:bCs/>
          <w:color w:val="auto"/>
        </w:rPr>
        <w:t>健全完善“源头严防、过程严管、后果严惩”的危险废物监管体系。</w:t>
      </w:r>
      <w:r>
        <w:rPr>
          <w:rFonts w:hint="eastAsia"/>
          <w:color w:val="auto"/>
        </w:rPr>
        <w:t>严厉打击涉危险废物违法犯罪行为。加强危险废物环境重点监管单位全过程信息化、可追溯监管，严守“一废一库一重”（危险废物、尾矿库、重金属）生态环境安全底线，利用全国危险废物全过程可追溯信息系统，推广电子标签、电子联单、视频监控等技术，实现危险废物“即产生、即包装、即入库”的实时监管。持续开展危险废物规范化环境管理评估工作，提高危险废物环境风险防控能力。推进有害垃圾分类投放、分类收集。医疗废物无害化处置率达到99%以上。</w:t>
      </w:r>
    </w:p>
    <w:p w14:paraId="13944524">
      <w:pPr>
        <w:pStyle w:val="3"/>
        <w:bidi w:val="0"/>
        <w:ind w:left="0" w:leftChars="0" w:firstLine="0" w:firstLineChars="0"/>
        <w:rPr>
          <w:rFonts w:hint="eastAsia"/>
          <w:color w:val="auto"/>
        </w:rPr>
      </w:pPr>
      <w:bookmarkStart w:id="111" w:name="_Toc13873"/>
      <w:bookmarkStart w:id="112" w:name="_Toc22964"/>
      <w:bookmarkStart w:id="113" w:name="_Toc22393"/>
      <w:r>
        <w:rPr>
          <w:rFonts w:hint="eastAsia"/>
          <w:color w:val="auto"/>
        </w:rPr>
        <w:t>深入推进新污染物治理</w:t>
      </w:r>
      <w:bookmarkEnd w:id="111"/>
      <w:bookmarkEnd w:id="112"/>
      <w:bookmarkEnd w:id="113"/>
    </w:p>
    <w:p w14:paraId="3A2D3F95">
      <w:pPr>
        <w:ind w:firstLine="480"/>
        <w:rPr>
          <w:rFonts w:hint="eastAsia"/>
          <w:color w:val="auto"/>
        </w:rPr>
      </w:pPr>
      <w:r>
        <w:rPr>
          <w:rFonts w:hint="eastAsia"/>
          <w:b/>
          <w:bCs/>
          <w:color w:val="auto"/>
        </w:rPr>
        <w:t>建立健全新污染物环境治理体系。</w:t>
      </w:r>
      <w:r>
        <w:rPr>
          <w:rFonts w:hint="eastAsia"/>
          <w:color w:val="auto"/>
        </w:rPr>
        <w:t>强化新污染物协同治理和环境风险管控，持续推进新污染物治理行动。按照兵团要求实施抗生素、微塑料等重点管控新污染物开展环境调查监测。加强涉重点管控新污染物建设项目环境影响评价，禁止审批不符合管控要求的新建、改建、扩建项目。</w:t>
      </w:r>
    </w:p>
    <w:p w14:paraId="74ED183C">
      <w:pPr>
        <w:ind w:firstLine="480"/>
        <w:rPr>
          <w:rFonts w:hint="eastAsia"/>
          <w:color w:val="auto"/>
        </w:rPr>
      </w:pPr>
      <w:r>
        <w:rPr>
          <w:rFonts w:hint="eastAsia"/>
          <w:b/>
          <w:bCs/>
          <w:color w:val="auto"/>
        </w:rPr>
        <w:t>加强新污染物环境风险评估与管控。</w:t>
      </w:r>
      <w:r>
        <w:rPr>
          <w:rFonts w:hint="eastAsia"/>
          <w:color w:val="auto"/>
          <w:lang w:val="en-US" w:eastAsia="zh-CN"/>
        </w:rPr>
        <w:t>根据</w:t>
      </w:r>
      <w:r>
        <w:rPr>
          <w:rFonts w:hint="eastAsia"/>
          <w:color w:val="auto"/>
        </w:rPr>
        <w:t>《兵团新污染物治理工作方案》，落实新化学物质环境管理登记制度，完善化学物质环境信息调查、监测、风险管控等体系，全面落实新污染物治理属地责任。推进化学物质环境风险评估，以高关注、高产</w:t>
      </w:r>
      <w:r>
        <w:rPr>
          <w:rFonts w:hint="eastAsia"/>
          <w:color w:val="auto"/>
          <w:lang w:eastAsia="zh-CN"/>
        </w:rPr>
        <w:t>（</w:t>
      </w:r>
      <w:r>
        <w:rPr>
          <w:rFonts w:hint="eastAsia"/>
          <w:color w:val="auto"/>
        </w:rPr>
        <w:t>用</w:t>
      </w:r>
      <w:r>
        <w:rPr>
          <w:rFonts w:hint="eastAsia"/>
          <w:color w:val="auto"/>
          <w:lang w:eastAsia="zh-CN"/>
        </w:rPr>
        <w:t>）</w:t>
      </w:r>
      <w:r>
        <w:rPr>
          <w:rFonts w:hint="eastAsia"/>
          <w:color w:val="auto"/>
        </w:rPr>
        <w:t>量、高环境检出率、分散式用途的化学物质为重点，开展环境与健康危害测试、风险筛查和环境风险评估工作。开展跨部门联合执法专项行动，落实重点管控新污染物环境风险管控措施。加强石化、涂料、纺织印染、农药、医药等重点行业涉新污染物环境风险管控。强化监督管理，加强涉重点管控新污染物企事业单位的环境监督执法，深入推进塑料污染治理，严控玩具、学生用品等产品新污染物排放。开展新污染物治理试点工作强化新污染物治理能力。</w:t>
      </w:r>
    </w:p>
    <w:p w14:paraId="46C79F39">
      <w:pPr>
        <w:pStyle w:val="3"/>
        <w:bidi w:val="0"/>
        <w:ind w:left="0" w:leftChars="0" w:firstLine="0" w:firstLineChars="0"/>
        <w:rPr>
          <w:rFonts w:hint="eastAsia"/>
          <w:color w:val="auto"/>
        </w:rPr>
      </w:pPr>
      <w:bookmarkStart w:id="114" w:name="_Toc5264"/>
      <w:bookmarkStart w:id="115" w:name="_Toc11580"/>
      <w:bookmarkStart w:id="116" w:name="_Toc16477"/>
      <w:r>
        <w:rPr>
          <w:rFonts w:hint="eastAsia"/>
          <w:color w:val="auto"/>
        </w:rPr>
        <w:t>推进重金属污染综合整治</w:t>
      </w:r>
      <w:bookmarkEnd w:id="114"/>
      <w:bookmarkEnd w:id="115"/>
      <w:bookmarkEnd w:id="116"/>
    </w:p>
    <w:p w14:paraId="7334170F">
      <w:pPr>
        <w:ind w:firstLine="480"/>
        <w:rPr>
          <w:rFonts w:hint="eastAsia"/>
          <w:color w:val="auto"/>
        </w:rPr>
      </w:pPr>
      <w:r>
        <w:rPr>
          <w:rFonts w:hint="eastAsia"/>
          <w:b/>
          <w:bCs/>
          <w:color w:val="auto"/>
        </w:rPr>
        <w:t>完善重金属污染源头预防体系。</w:t>
      </w:r>
      <w:r>
        <w:rPr>
          <w:rFonts w:hint="eastAsia"/>
          <w:color w:val="auto"/>
        </w:rPr>
        <w:t>严格新建涉重金属项目环境管理，推动涉重金属行业绿色转型。完善土壤环境监测网络，加大土壤重金属污染治理修复力度，强化农产品产地安全和污染场地开发利用监管。</w:t>
      </w:r>
    </w:p>
    <w:p w14:paraId="306593FC">
      <w:pPr>
        <w:ind w:firstLine="480"/>
        <w:rPr>
          <w:rFonts w:hint="eastAsia"/>
          <w:color w:val="auto"/>
        </w:rPr>
      </w:pPr>
      <w:r>
        <w:rPr>
          <w:rFonts w:hint="eastAsia"/>
          <w:b/>
          <w:bCs/>
          <w:color w:val="auto"/>
        </w:rPr>
        <w:t>实施重金属环境安全隐患排查整治行动。</w:t>
      </w:r>
      <w:r>
        <w:rPr>
          <w:rFonts w:hint="eastAsia"/>
          <w:color w:val="auto"/>
        </w:rPr>
        <w:t>持续开展农用地土壤镉等重金属污染源排查整治。全面排查涉重金属重点行业企业、矿山、堆</w:t>
      </w:r>
      <w:r>
        <w:rPr>
          <w:rFonts w:hint="eastAsia"/>
          <w:color w:val="auto"/>
          <w:lang w:eastAsia="zh-CN"/>
        </w:rPr>
        <w:t>（</w:t>
      </w:r>
      <w:r>
        <w:rPr>
          <w:rFonts w:hint="eastAsia"/>
          <w:color w:val="auto"/>
        </w:rPr>
        <w:t>渣</w:t>
      </w:r>
      <w:r>
        <w:rPr>
          <w:rFonts w:hint="eastAsia"/>
          <w:color w:val="auto"/>
          <w:lang w:eastAsia="zh-CN"/>
        </w:rPr>
        <w:t>）</w:t>
      </w:r>
      <w:r>
        <w:rPr>
          <w:rFonts w:hint="eastAsia"/>
          <w:color w:val="auto"/>
        </w:rPr>
        <w:t>场等污染源污染状况，摸清重金属环境安全隐患底数，综合重金属污染源的危害性、扩散性和环境敏感性，系统评估重金属环境安全隐患风险等级，推动立行立改，分级分类整治重金属环境安全隐患。到2030年底前，全面完成隐患排查整治。</w:t>
      </w:r>
    </w:p>
    <w:p w14:paraId="27EC3478">
      <w:pPr>
        <w:ind w:firstLine="480"/>
        <w:rPr>
          <w:rFonts w:hint="eastAsia"/>
          <w:color w:val="auto"/>
        </w:rPr>
      </w:pPr>
      <w:r>
        <w:rPr>
          <w:rFonts w:hint="eastAsia"/>
          <w:b/>
          <w:bCs/>
          <w:color w:val="auto"/>
        </w:rPr>
        <w:t>强化环境风险应急能力。</w:t>
      </w:r>
      <w:r>
        <w:rPr>
          <w:rFonts w:hint="eastAsia"/>
          <w:color w:val="auto"/>
        </w:rPr>
        <w:t>深化兵地交叉检查和联合督查机制，建立完善多级联动的突发环境事件应急网络，实现突发环境事件监测信息共享，跨区域的应急联动合作机制。常态化开展涉危涉重企业、园区、集中式饮用水水源地排查评估，提升突发环境污染事件应急能力。</w:t>
      </w:r>
    </w:p>
    <w:p w14:paraId="2BA5AA99">
      <w:pPr>
        <w:ind w:firstLine="480"/>
        <w:rPr>
          <w:rFonts w:hint="eastAsia"/>
          <w:color w:val="auto"/>
        </w:rPr>
      </w:pPr>
      <w:r>
        <w:rPr>
          <w:rFonts w:hint="eastAsia"/>
          <w:b/>
          <w:bCs/>
          <w:color w:val="auto"/>
        </w:rPr>
        <w:t>健全环境应急预警响应与调查评估机制。</w:t>
      </w:r>
      <w:r>
        <w:rPr>
          <w:rFonts w:hint="eastAsia"/>
          <w:color w:val="auto"/>
        </w:rPr>
        <w:t>落实全年全时段应急值守制度，健全重大敏感突发环境事件信息直</w:t>
      </w:r>
      <w:r>
        <w:rPr>
          <w:rFonts w:hint="eastAsia"/>
          <w:color w:val="auto"/>
          <w:lang w:eastAsia="zh-CN"/>
        </w:rPr>
        <w:t>报</w:t>
      </w:r>
      <w:r>
        <w:rPr>
          <w:rFonts w:hint="eastAsia"/>
          <w:color w:val="auto"/>
        </w:rPr>
        <w:t>快报机制，形成纵向贯通、顺畅高效的信息报送网络。紧盯重点领域风险防范，持续开展环境安全隐患排查治理。着力提升应急监测能力，构建快速响应、精准高效的监测体系。健全跨部门、跨区域联合调查机制，严格落实生态环境损害鉴定评估与赔偿制度，建立重大敏感事件总结复盘与后评估常态化工作机制。推进多层级、多元化应急物资储备能力体系建设，加快环境应急物资储备库建设，深化环境应急演练。提升突发环境事件应急响应工作规范化水平和信息化水平，加强快速反应、态势研判、科学决策等能力。</w:t>
      </w:r>
    </w:p>
    <w:p w14:paraId="27F88CD6">
      <w:pPr>
        <w:pStyle w:val="3"/>
        <w:bidi w:val="0"/>
        <w:ind w:left="0" w:leftChars="0" w:firstLine="0" w:firstLineChars="0"/>
        <w:rPr>
          <w:rFonts w:hint="eastAsia" w:ascii="Times New Roman" w:hAnsi="Times New Roman"/>
          <w:color w:val="auto"/>
        </w:rPr>
      </w:pPr>
      <w:bookmarkStart w:id="117" w:name="_Toc30660"/>
      <w:bookmarkStart w:id="118" w:name="_Toc17054"/>
      <w:r>
        <w:rPr>
          <w:rFonts w:hint="eastAsia" w:ascii="Times New Roman" w:hAnsi="Times New Roman"/>
          <w:color w:val="auto"/>
        </w:rPr>
        <w:t>确保核与辐射安全</w:t>
      </w:r>
      <w:bookmarkEnd w:id="117"/>
      <w:bookmarkEnd w:id="118"/>
    </w:p>
    <w:p w14:paraId="27DE4A17">
      <w:pPr>
        <w:ind w:firstLine="480"/>
        <w:rPr>
          <w:rFonts w:hint="eastAsia"/>
          <w:color w:val="auto"/>
        </w:rPr>
      </w:pPr>
      <w:r>
        <w:rPr>
          <w:rFonts w:hint="eastAsia"/>
          <w:b/>
          <w:bCs/>
          <w:color w:val="auto"/>
          <w:lang w:val="en-US" w:eastAsia="zh-CN"/>
        </w:rPr>
        <w:t>提升核与辐射安全监管能力。</w:t>
      </w:r>
      <w:r>
        <w:rPr>
          <w:rFonts w:hint="eastAsia"/>
          <w:color w:val="auto"/>
        </w:rPr>
        <w:t>构建与</w:t>
      </w:r>
      <w:r>
        <w:rPr>
          <w:rFonts w:hint="eastAsia"/>
          <w:color w:val="auto"/>
          <w:lang w:val="en-US" w:eastAsia="zh-CN"/>
        </w:rPr>
        <w:t>师市</w:t>
      </w:r>
      <w:r>
        <w:rPr>
          <w:rFonts w:hint="eastAsia"/>
          <w:color w:val="auto"/>
        </w:rPr>
        <w:t>事业发展相适应的核与辐射安全监管体系，督促营运单位全面落实核与辐射安全责任，开展辐射安全隐患排查治理，规范辐射项目行政审批。提升核技术利用安全管理和电磁辐射建设项目事中事后监管能力。</w:t>
      </w:r>
    </w:p>
    <w:p w14:paraId="0D8E829B">
      <w:pPr>
        <w:ind w:firstLine="480"/>
        <w:rPr>
          <w:rFonts w:hint="eastAsia"/>
          <w:color w:val="auto"/>
        </w:rPr>
      </w:pPr>
      <w:r>
        <w:rPr>
          <w:rFonts w:hint="eastAsia"/>
          <w:b/>
          <w:bCs/>
          <w:color w:val="auto"/>
          <w:lang w:val="en-US" w:eastAsia="zh-CN"/>
        </w:rPr>
        <w:t>提升辐射环境监测和事故应急处置能力。</w:t>
      </w:r>
      <w:r>
        <w:rPr>
          <w:rFonts w:hint="eastAsia"/>
          <w:b w:val="0"/>
          <w:bCs w:val="0"/>
          <w:color w:val="auto"/>
          <w:lang w:val="en-US" w:eastAsia="zh-CN"/>
        </w:rPr>
        <w:t>提升</w:t>
      </w:r>
      <w:r>
        <w:rPr>
          <w:rFonts w:hint="eastAsia"/>
          <w:color w:val="auto"/>
        </w:rPr>
        <w:t>辐射监测能力，开展辐射环境质量监测和监督性监测，推进辐射环境监测网络建设。提升核与辐射应急能力，防范核与辐射领域环境风险，放射源辐射事故年发生率控制在</w:t>
      </w:r>
      <w:r>
        <w:rPr>
          <w:rFonts w:hint="eastAsia"/>
          <w:color w:val="auto"/>
          <w:lang w:val="en-US" w:eastAsia="zh-CN"/>
        </w:rPr>
        <w:t>3</w:t>
      </w:r>
      <w:r>
        <w:rPr>
          <w:rFonts w:hint="eastAsia"/>
          <w:color w:val="auto"/>
        </w:rPr>
        <w:t>起／万枚以下。</w:t>
      </w:r>
    </w:p>
    <w:p w14:paraId="2F3531AD">
      <w:pPr>
        <w:pStyle w:val="3"/>
        <w:bidi w:val="0"/>
        <w:ind w:left="0" w:leftChars="0" w:firstLine="0" w:firstLineChars="0"/>
        <w:rPr>
          <w:rFonts w:hint="eastAsia"/>
          <w:color w:val="auto"/>
        </w:rPr>
      </w:pPr>
      <w:bookmarkStart w:id="119" w:name="_Toc3616"/>
      <w:bookmarkStart w:id="120" w:name="_Toc4981"/>
      <w:bookmarkStart w:id="121" w:name="_Toc16569"/>
      <w:r>
        <w:rPr>
          <w:rFonts w:hint="eastAsia"/>
          <w:color w:val="auto"/>
        </w:rPr>
        <w:t>强化生态环境健康管理</w:t>
      </w:r>
      <w:bookmarkEnd w:id="119"/>
      <w:bookmarkEnd w:id="120"/>
      <w:bookmarkEnd w:id="121"/>
    </w:p>
    <w:p w14:paraId="26BF8A9F">
      <w:pPr>
        <w:ind w:firstLine="480"/>
        <w:rPr>
          <w:rFonts w:hint="eastAsia"/>
          <w:color w:val="auto"/>
        </w:rPr>
      </w:pPr>
      <w:r>
        <w:rPr>
          <w:rFonts w:hint="eastAsia"/>
          <w:b/>
          <w:bCs/>
          <w:color w:val="auto"/>
        </w:rPr>
        <w:t>强化重点区域风险评估与管控。</w:t>
      </w:r>
      <w:r>
        <w:rPr>
          <w:rFonts w:hint="eastAsia"/>
          <w:b w:val="0"/>
          <w:bCs w:val="0"/>
          <w:color w:val="auto"/>
          <w:lang w:val="en-US" w:eastAsia="zh-CN"/>
        </w:rPr>
        <w:t>根据兵团统一要求部署，</w:t>
      </w:r>
      <w:r>
        <w:rPr>
          <w:rFonts w:hint="eastAsia"/>
          <w:color w:val="auto"/>
        </w:rPr>
        <w:t>依据国家筛选的重点风险因子开展主要行业聚集区域的划定工作及生态环境健康风险评估，针对发现的突出生态环境健康风险问题，实施管控风险源、阻断暴露途径、保护敏感人群等风险管控措施。</w:t>
      </w:r>
    </w:p>
    <w:p w14:paraId="6D5FAB37">
      <w:pPr>
        <w:ind w:firstLine="480"/>
        <w:rPr>
          <w:rFonts w:hint="eastAsia"/>
          <w:color w:val="auto"/>
        </w:rPr>
      </w:pPr>
      <w:r>
        <w:rPr>
          <w:rFonts w:hint="eastAsia"/>
          <w:b/>
          <w:bCs/>
          <w:color w:val="auto"/>
        </w:rPr>
        <w:t>强化重点领域风险评估与管控。</w:t>
      </w:r>
      <w:r>
        <w:rPr>
          <w:rFonts w:hint="eastAsia"/>
          <w:color w:val="auto"/>
        </w:rPr>
        <w:t>开展饮用水水源保护区、地下水型饮用水源补给区及供水单位周边区域的环境状况调查、风险评估与风险管控。强化农用地土壤生态环境健康风险评估与风险管控。</w:t>
      </w:r>
    </w:p>
    <w:p w14:paraId="406F1EDB">
      <w:pPr>
        <w:ind w:firstLine="480"/>
        <w:rPr>
          <w:rFonts w:hint="eastAsia"/>
          <w:color w:val="auto"/>
        </w:rPr>
      </w:pPr>
      <w:r>
        <w:rPr>
          <w:rFonts w:hint="eastAsia"/>
          <w:b/>
          <w:bCs/>
          <w:color w:val="auto"/>
        </w:rPr>
        <w:t>持续开展隐患</w:t>
      </w:r>
      <w:r>
        <w:rPr>
          <w:rFonts w:hint="eastAsia"/>
          <w:b/>
          <w:bCs/>
          <w:color w:val="auto"/>
          <w:lang w:val="en-US" w:eastAsia="zh-CN"/>
        </w:rPr>
        <w:t>排查和整改</w:t>
      </w:r>
      <w:r>
        <w:rPr>
          <w:rFonts w:hint="eastAsia"/>
          <w:b/>
          <w:bCs/>
          <w:color w:val="auto"/>
        </w:rPr>
        <w:t>工作</w:t>
      </w:r>
      <w:r>
        <w:rPr>
          <w:rFonts w:hint="eastAsia"/>
          <w:b/>
          <w:bCs/>
          <w:color w:val="auto"/>
          <w:lang w:eastAsia="zh-CN"/>
        </w:rPr>
        <w:t>。</w:t>
      </w:r>
      <w:r>
        <w:rPr>
          <w:rFonts w:hint="eastAsia"/>
          <w:b w:val="0"/>
          <w:bCs w:val="0"/>
          <w:color w:val="auto"/>
          <w:lang w:val="en-US" w:eastAsia="zh-CN"/>
        </w:rPr>
        <w:t>重点</w:t>
      </w:r>
      <w:r>
        <w:rPr>
          <w:rFonts w:hint="eastAsia"/>
          <w:color w:val="auto"/>
        </w:rPr>
        <w:t>关注脱硫脱硝、挥发性有机物回收污染防治、污水处理、粉尘治理、蓄热式焚烧炉等</w:t>
      </w:r>
      <w:r>
        <w:rPr>
          <w:rFonts w:hint="eastAsia"/>
          <w:color w:val="auto"/>
          <w:lang w:eastAsia="zh-CN"/>
        </w:rPr>
        <w:t>5</w:t>
      </w:r>
      <w:r>
        <w:rPr>
          <w:rFonts w:hint="eastAsia"/>
          <w:color w:val="auto"/>
        </w:rPr>
        <w:t>类重点环保设备设施，通过加强源头管理、落实</w:t>
      </w:r>
      <w:r>
        <w:rPr>
          <w:rFonts w:hint="eastAsia"/>
          <w:color w:val="auto"/>
          <w:lang w:val="en-US" w:eastAsia="zh-CN"/>
        </w:rPr>
        <w:t>企业主体</w:t>
      </w:r>
      <w:r>
        <w:rPr>
          <w:rFonts w:hint="eastAsia"/>
          <w:color w:val="auto"/>
        </w:rPr>
        <w:t>责任，健全管理机制，指导督促企业开展环保设备设施安全生产风险辨识评估和隐患排查治理。</w:t>
      </w:r>
    </w:p>
    <w:p w14:paraId="05B1228A">
      <w:pPr>
        <w:ind w:firstLine="480"/>
        <w:rPr>
          <w:color w:val="auto"/>
        </w:rPr>
      </w:pPr>
    </w:p>
    <w:p w14:paraId="4DFB21E9">
      <w:pPr>
        <w:pStyle w:val="2"/>
        <w:bidi w:val="0"/>
        <w:ind w:left="0" w:leftChars="0" w:firstLine="0" w:firstLineChars="0"/>
        <w:rPr>
          <w:color w:val="auto"/>
        </w:rPr>
      </w:pPr>
      <w:bookmarkStart w:id="122" w:name="_Toc7230"/>
      <w:bookmarkStart w:id="123" w:name="_Toc27431"/>
      <w:bookmarkStart w:id="124" w:name="_Toc6735"/>
      <w:r>
        <w:rPr>
          <w:rFonts w:hint="eastAsia"/>
          <w:color w:val="auto"/>
        </w:rPr>
        <w:t>坚持创新引领</w:t>
      </w:r>
      <w:r>
        <w:rPr>
          <w:rFonts w:hint="eastAsia"/>
          <w:color w:val="auto"/>
          <w:lang w:eastAsia="zh-CN"/>
        </w:rPr>
        <w:t>，</w:t>
      </w:r>
      <w:r>
        <w:rPr>
          <w:rFonts w:hint="eastAsia"/>
          <w:color w:val="auto"/>
        </w:rPr>
        <w:t>完善现代化生态环境治理体系与治理能力</w:t>
      </w:r>
      <w:bookmarkEnd w:id="122"/>
      <w:bookmarkEnd w:id="123"/>
      <w:bookmarkEnd w:id="124"/>
    </w:p>
    <w:p w14:paraId="058942CC">
      <w:pPr>
        <w:pStyle w:val="3"/>
        <w:bidi w:val="0"/>
        <w:rPr>
          <w:rFonts w:hint="eastAsia"/>
          <w:color w:val="auto"/>
          <w:lang w:val="en-US" w:eastAsia="zh-CN"/>
        </w:rPr>
      </w:pPr>
      <w:bookmarkStart w:id="125" w:name="_Toc6766"/>
      <w:bookmarkStart w:id="126" w:name="_Toc19931"/>
      <w:bookmarkStart w:id="127" w:name="_Toc221715678"/>
      <w:r>
        <w:rPr>
          <w:rFonts w:hint="eastAsia"/>
          <w:color w:val="auto"/>
          <w:lang w:val="en-US" w:eastAsia="zh-CN"/>
        </w:rPr>
        <w:t>推动实施</w:t>
      </w:r>
      <w:r>
        <w:rPr>
          <w:rFonts w:hint="eastAsia"/>
          <w:color w:val="auto"/>
        </w:rPr>
        <w:t>《中华人民共和国生态环境法典》</w:t>
      </w:r>
      <w:bookmarkEnd w:id="125"/>
      <w:bookmarkEnd w:id="126"/>
    </w:p>
    <w:p w14:paraId="39D35CB1">
      <w:pPr>
        <w:keepNext w:val="0"/>
        <w:keepLines w:val="0"/>
        <w:widowControl/>
        <w:suppressLineNumbers w:val="0"/>
        <w:jc w:val="left"/>
        <w:rPr>
          <w:rFonts w:hint="default" w:ascii="Times New Roman" w:hAnsi="Times New Roman" w:eastAsia="仿宋_GB2312" w:cs="Times New Roman"/>
          <w:color w:val="auto"/>
          <w:kern w:val="2"/>
          <w:sz w:val="32"/>
          <w:szCs w:val="32"/>
          <w:lang w:val="en-US" w:eastAsia="zh-CN" w:bidi="ar"/>
          <w14:ligatures w14:val="standardContextual"/>
        </w:rPr>
      </w:pPr>
      <w:r>
        <w:rPr>
          <w:rFonts w:hint="eastAsia" w:cs="Times New Roman"/>
          <w:b/>
          <w:bCs/>
          <w:color w:val="auto"/>
          <w:kern w:val="2"/>
          <w:sz w:val="32"/>
          <w:szCs w:val="32"/>
          <w:lang w:val="en-US" w:eastAsia="zh-CN" w:bidi="ar"/>
          <w14:ligatures w14:val="standardContextual"/>
        </w:rPr>
        <w:t>加强学习宣传。</w:t>
      </w:r>
      <w:r>
        <w:rPr>
          <w:rFonts w:hint="eastAsia" w:cs="Times New Roman"/>
          <w:b w:val="0"/>
          <w:bCs w:val="0"/>
          <w:color w:val="auto"/>
          <w:kern w:val="2"/>
          <w:sz w:val="32"/>
          <w:szCs w:val="32"/>
          <w:lang w:val="en-US" w:eastAsia="zh-CN" w:bidi="ar"/>
          <w14:ligatures w14:val="standardContextual"/>
        </w:rPr>
        <w:t>深入学习领会法典核心要义与精神实质，系统开展宣传解读。将宣传法典与宣传生态环境保护工作成就并重，讲好美丽中国建设法治故事，为法典实施营造良好法治氛围。</w:t>
      </w:r>
      <w:r>
        <w:rPr>
          <w:rFonts w:hint="eastAsia" w:cs="Times New Roman"/>
          <w:color w:val="auto"/>
          <w:kern w:val="2"/>
          <w:sz w:val="32"/>
          <w:szCs w:val="32"/>
          <w:lang w:val="en-US" w:eastAsia="zh-CN" w:bidi="ar"/>
          <w14:ligatures w14:val="standardContextual"/>
        </w:rPr>
        <w:t>分层分类组织法典宣传贯彻培训，精准解读核心条款、法定职责、行为规范及法律责任，提升生态环境法治意识和合规能力。</w:t>
      </w:r>
    </w:p>
    <w:p w14:paraId="19626782">
      <w:pPr>
        <w:keepNext w:val="0"/>
        <w:keepLines w:val="0"/>
        <w:widowControl/>
        <w:suppressLineNumbers w:val="0"/>
        <w:jc w:val="left"/>
        <w:rPr>
          <w:rFonts w:hint="default" w:ascii="Times New Roman" w:hAnsi="Times New Roman" w:eastAsia="仿宋_GB2312" w:cs="Times New Roman"/>
          <w:color w:val="auto"/>
          <w:kern w:val="2"/>
          <w:sz w:val="32"/>
          <w:szCs w:val="32"/>
          <w:lang w:val="en-US" w:eastAsia="zh-CN" w:bidi="ar"/>
          <w14:ligatures w14:val="standardContextual"/>
        </w:rPr>
      </w:pPr>
      <w:r>
        <w:rPr>
          <w:rFonts w:hint="eastAsia" w:cs="Times New Roman"/>
          <w:b/>
          <w:bCs/>
          <w:color w:val="auto"/>
          <w:kern w:val="2"/>
          <w:sz w:val="32"/>
          <w:szCs w:val="32"/>
          <w:lang w:val="en-US" w:eastAsia="zh-CN" w:bidi="ar"/>
          <w14:ligatures w14:val="standardContextual"/>
        </w:rPr>
        <w:t>完善配套制度。</w:t>
      </w:r>
      <w:r>
        <w:rPr>
          <w:rFonts w:hint="eastAsia" w:cs="Times New Roman"/>
          <w:b w:val="0"/>
          <w:bCs w:val="0"/>
          <w:color w:val="auto"/>
          <w:kern w:val="2"/>
          <w:sz w:val="32"/>
          <w:szCs w:val="32"/>
          <w:lang w:val="en-US" w:eastAsia="zh-CN" w:bidi="ar"/>
          <w14:ligatures w14:val="standardContextual"/>
        </w:rPr>
        <w:t>全面梳理师市与法典密切相关的行政法规、规章及规范性文件等，对不符合法典要求的及时修改或废止，维护法治统一，确保法典的各项规定落地见效。</w:t>
      </w:r>
    </w:p>
    <w:p w14:paraId="2B3767FF">
      <w:pPr>
        <w:keepNext w:val="0"/>
        <w:keepLines w:val="0"/>
        <w:widowControl/>
        <w:suppressLineNumbers w:val="0"/>
        <w:jc w:val="left"/>
        <w:rPr>
          <w:rFonts w:hint="default" w:ascii="Times New Roman" w:hAnsi="Times New Roman" w:eastAsia="仿宋_GB2312" w:cs="Times New Roman"/>
          <w:color w:val="auto"/>
          <w:kern w:val="2"/>
          <w:sz w:val="32"/>
          <w:szCs w:val="32"/>
          <w:lang w:val="en-US" w:eastAsia="zh-CN" w:bidi="ar"/>
          <w14:ligatures w14:val="standardContextual"/>
        </w:rPr>
      </w:pPr>
      <w:r>
        <w:rPr>
          <w:rFonts w:hint="eastAsia" w:cs="Times New Roman"/>
          <w:b/>
          <w:bCs/>
          <w:color w:val="auto"/>
          <w:kern w:val="2"/>
          <w:sz w:val="32"/>
          <w:szCs w:val="32"/>
          <w:lang w:val="en-US" w:eastAsia="zh-CN" w:bidi="ar"/>
          <w14:ligatures w14:val="standardContextual"/>
        </w:rPr>
        <w:t>坚持环保为民。</w:t>
      </w:r>
      <w:r>
        <w:rPr>
          <w:rFonts w:hint="eastAsia" w:cs="Times New Roman"/>
          <w:color w:val="auto"/>
          <w:kern w:val="2"/>
          <w:sz w:val="32"/>
          <w:szCs w:val="32"/>
          <w:lang w:val="en-US" w:eastAsia="zh-CN" w:bidi="ar"/>
          <w14:ligatures w14:val="standardContextual"/>
        </w:rPr>
        <w:t>加强执法队伍专业化、规范化建设，细化量化行政裁量基准，规范行使裁量权，严格规范执法行为，提升生态环境治理的法治化、规范化、精细化水平。以法治实效增强人民群众的生态环境获得感。</w:t>
      </w:r>
    </w:p>
    <w:p w14:paraId="24D40AAE">
      <w:pPr>
        <w:pStyle w:val="3"/>
        <w:bidi w:val="0"/>
        <w:rPr>
          <w:color w:val="auto"/>
          <w:lang w:val="en-US"/>
        </w:rPr>
      </w:pPr>
      <w:bookmarkStart w:id="128" w:name="_Toc20243"/>
      <w:bookmarkStart w:id="129" w:name="_Toc13505"/>
      <w:r>
        <w:rPr>
          <w:rFonts w:hint="eastAsia"/>
          <w:color w:val="auto"/>
          <w:lang w:eastAsia="zh-CN"/>
        </w:rPr>
        <w:t>强化生态环境保护责任体系建设</w:t>
      </w:r>
      <w:bookmarkEnd w:id="127"/>
      <w:bookmarkEnd w:id="128"/>
      <w:bookmarkEnd w:id="129"/>
    </w:p>
    <w:p w14:paraId="68F8D7CA">
      <w:pPr>
        <w:keepNext w:val="0"/>
        <w:keepLines w:val="0"/>
        <w:widowControl/>
        <w:suppressLineNumbers w:val="0"/>
        <w:jc w:val="left"/>
        <w:rPr>
          <w:rFonts w:hint="eastAsia" w:ascii="Times New Roman" w:hAnsi="Times New Roman" w:eastAsia="仿宋_GB2312" w:cs="Times New Roman"/>
          <w:color w:val="auto"/>
          <w:kern w:val="2"/>
          <w:sz w:val="32"/>
          <w:szCs w:val="32"/>
          <w:lang w:val="en-US" w:eastAsia="zh-CN" w:bidi="ar"/>
          <w14:ligatures w14:val="standardContextual"/>
        </w:rPr>
      </w:pPr>
      <w:bookmarkStart w:id="130" w:name="OLE_LINK83"/>
      <w:r>
        <w:rPr>
          <w:rFonts w:hint="eastAsia" w:ascii="Times New Roman" w:hAnsi="Times New Roman" w:eastAsia="仿宋_GB2312" w:cs="Times New Roman"/>
          <w:b/>
          <w:bCs/>
          <w:color w:val="auto"/>
          <w:kern w:val="2"/>
          <w:sz w:val="32"/>
          <w:szCs w:val="32"/>
          <w:lang w:val="en-US" w:eastAsia="zh-CN" w:bidi="ar"/>
          <w14:ligatures w14:val="standardContextual"/>
        </w:rPr>
        <w:t>强化党政领导干部生态环境和资源保护职责</w:t>
      </w:r>
      <w:bookmarkEnd w:id="130"/>
      <w:r>
        <w:rPr>
          <w:rFonts w:hint="eastAsia" w:ascii="Times New Roman" w:hAnsi="Times New Roman" w:eastAsia="仿宋_GB2312" w:cs="Times New Roman"/>
          <w:b/>
          <w:bCs/>
          <w:color w:val="auto"/>
          <w:kern w:val="2"/>
          <w:sz w:val="32"/>
          <w:szCs w:val="32"/>
          <w:lang w:val="en-US" w:eastAsia="zh-CN" w:bidi="ar"/>
          <w14:ligatures w14:val="standardContextual"/>
        </w:rPr>
        <w:t>。</w:t>
      </w:r>
      <w:r>
        <w:rPr>
          <w:rFonts w:hint="eastAsia" w:cs="Times New Roman"/>
          <w:b w:val="0"/>
          <w:bCs w:val="0"/>
          <w:color w:val="auto"/>
          <w:kern w:val="2"/>
          <w:sz w:val="32"/>
          <w:szCs w:val="32"/>
          <w:lang w:val="en-US" w:eastAsia="zh-CN" w:bidi="ar"/>
          <w14:ligatures w14:val="standardContextual"/>
        </w:rPr>
        <w:t>严格</w:t>
      </w:r>
      <w:r>
        <w:rPr>
          <w:rFonts w:hint="eastAsia" w:ascii="Times New Roman" w:hAnsi="Times New Roman" w:eastAsia="仿宋_GB2312" w:cs="Times New Roman"/>
          <w:color w:val="auto"/>
          <w:kern w:val="2"/>
          <w:sz w:val="32"/>
          <w:szCs w:val="32"/>
          <w:lang w:val="en-US" w:eastAsia="zh-CN" w:bidi="ar"/>
          <w14:ligatures w14:val="standardContextual"/>
        </w:rPr>
        <w:t>落实《地方党政领导干部生态环境保护责任制规定（试行）》等文件</w:t>
      </w:r>
      <w:r>
        <w:rPr>
          <w:rFonts w:hint="eastAsia" w:cs="Times New Roman"/>
          <w:color w:val="auto"/>
          <w:kern w:val="2"/>
          <w:sz w:val="32"/>
          <w:szCs w:val="32"/>
          <w:lang w:val="en-US" w:eastAsia="zh-CN" w:bidi="ar"/>
          <w14:ligatures w14:val="standardContextual"/>
        </w:rPr>
        <w:t>要求，全面实行地方党政领导干部生态环境保护责任制</w:t>
      </w:r>
      <w:r>
        <w:rPr>
          <w:rFonts w:hint="eastAsia" w:ascii="Times New Roman" w:hAnsi="Times New Roman" w:eastAsia="仿宋_GB2312" w:cs="Times New Roman"/>
          <w:color w:val="auto"/>
          <w:kern w:val="2"/>
          <w:sz w:val="32"/>
          <w:szCs w:val="32"/>
          <w:lang w:val="en-US" w:eastAsia="zh-CN" w:bidi="ar"/>
          <w14:ligatures w14:val="standardContextual"/>
        </w:rPr>
        <w:t>。县级以上地方党委和政府主要负责人</w:t>
      </w:r>
      <w:r>
        <w:rPr>
          <w:rFonts w:hint="eastAsia" w:cs="Times New Roman"/>
          <w:color w:val="auto"/>
          <w:kern w:val="2"/>
          <w:sz w:val="32"/>
          <w:szCs w:val="32"/>
          <w:lang w:val="en-US" w:eastAsia="zh-CN" w:bidi="ar"/>
          <w14:ligatures w14:val="standardContextual"/>
        </w:rPr>
        <w:t>作为</w:t>
      </w:r>
      <w:r>
        <w:rPr>
          <w:rFonts w:hint="eastAsia" w:ascii="Times New Roman" w:hAnsi="Times New Roman" w:eastAsia="仿宋_GB2312" w:cs="Times New Roman"/>
          <w:color w:val="auto"/>
          <w:kern w:val="2"/>
          <w:sz w:val="32"/>
          <w:szCs w:val="32"/>
          <w:lang w:val="en-US" w:eastAsia="zh-CN" w:bidi="ar"/>
          <w14:ligatures w14:val="standardContextual"/>
        </w:rPr>
        <w:t>本地区生态环境保护第一责任人，对本地区的生态环境质量负总责；领导班子其他成员</w:t>
      </w:r>
      <w:r>
        <w:rPr>
          <w:rFonts w:hint="eastAsia" w:cs="Times New Roman"/>
          <w:color w:val="auto"/>
          <w:kern w:val="2"/>
          <w:sz w:val="32"/>
          <w:szCs w:val="32"/>
          <w:lang w:val="en-US" w:eastAsia="zh-CN" w:bidi="ar"/>
          <w14:ligatures w14:val="standardContextual"/>
        </w:rPr>
        <w:t>按照</w:t>
      </w:r>
      <w:r>
        <w:rPr>
          <w:rFonts w:hint="eastAsia" w:ascii="Times New Roman" w:hAnsi="Times New Roman" w:eastAsia="仿宋_GB2312" w:cs="Times New Roman"/>
          <w:color w:val="auto"/>
          <w:kern w:val="2"/>
          <w:sz w:val="32"/>
          <w:szCs w:val="32"/>
          <w:lang w:val="en-US" w:eastAsia="zh-CN" w:bidi="ar"/>
          <w14:ligatures w14:val="standardContextual"/>
        </w:rPr>
        <w:t>职责</w:t>
      </w:r>
      <w:r>
        <w:rPr>
          <w:rFonts w:hint="eastAsia" w:cs="Times New Roman"/>
          <w:color w:val="auto"/>
          <w:kern w:val="2"/>
          <w:sz w:val="32"/>
          <w:szCs w:val="32"/>
          <w:lang w:val="en-US" w:eastAsia="zh-CN" w:bidi="ar"/>
          <w14:ligatures w14:val="standardContextual"/>
        </w:rPr>
        <w:t>分工</w:t>
      </w:r>
      <w:r>
        <w:rPr>
          <w:rFonts w:hint="eastAsia" w:ascii="Times New Roman" w:hAnsi="Times New Roman" w:eastAsia="仿宋_GB2312" w:cs="Times New Roman"/>
          <w:color w:val="auto"/>
          <w:kern w:val="2"/>
          <w:sz w:val="32"/>
          <w:szCs w:val="32"/>
          <w:lang w:val="en-US" w:eastAsia="zh-CN" w:bidi="ar"/>
          <w14:ligatures w14:val="standardContextual"/>
        </w:rPr>
        <w:t>，对分管行业或者领域的生态环境保护工作负领导责任</w:t>
      </w:r>
      <w:r>
        <w:rPr>
          <w:rFonts w:hint="eastAsia" w:cs="Times New Roman"/>
          <w:color w:val="auto"/>
          <w:kern w:val="2"/>
          <w:sz w:val="32"/>
          <w:szCs w:val="32"/>
          <w:lang w:val="en-US" w:eastAsia="zh-CN" w:bidi="ar"/>
          <w14:ligatures w14:val="standardContextual"/>
        </w:rPr>
        <w:t>，确保责任到人，落实到位</w:t>
      </w:r>
      <w:r>
        <w:rPr>
          <w:rFonts w:hint="eastAsia" w:ascii="Times New Roman" w:hAnsi="Times New Roman" w:eastAsia="仿宋_GB2312" w:cs="Times New Roman"/>
          <w:color w:val="auto"/>
          <w:kern w:val="2"/>
          <w:sz w:val="32"/>
          <w:szCs w:val="32"/>
          <w:lang w:val="en-US" w:eastAsia="zh-CN" w:bidi="ar"/>
          <w14:ligatures w14:val="standardContextual"/>
        </w:rPr>
        <w:t>。</w:t>
      </w:r>
    </w:p>
    <w:p w14:paraId="15C30495">
      <w:pPr>
        <w:pStyle w:val="3"/>
        <w:bidi w:val="0"/>
        <w:rPr>
          <w:rFonts w:hint="eastAsia"/>
          <w:color w:val="auto"/>
        </w:rPr>
      </w:pPr>
      <w:bookmarkStart w:id="131" w:name="_Toc23396"/>
      <w:bookmarkStart w:id="132" w:name="_Toc2772"/>
      <w:bookmarkStart w:id="133" w:name="_Toc15269"/>
      <w:r>
        <w:rPr>
          <w:rFonts w:hint="eastAsia"/>
          <w:color w:val="auto"/>
        </w:rPr>
        <w:t>完善生态</w:t>
      </w:r>
      <w:r>
        <w:rPr>
          <w:rFonts w:hint="eastAsia"/>
          <w:color w:val="auto"/>
          <w:lang w:val="en-US" w:eastAsia="zh-CN"/>
        </w:rPr>
        <w:t>文明</w:t>
      </w:r>
      <w:r>
        <w:rPr>
          <w:rFonts w:hint="eastAsia"/>
          <w:color w:val="auto"/>
        </w:rPr>
        <w:t>制度体系</w:t>
      </w:r>
      <w:bookmarkEnd w:id="131"/>
      <w:bookmarkEnd w:id="132"/>
      <w:bookmarkEnd w:id="133"/>
    </w:p>
    <w:p w14:paraId="75938F88">
      <w:pPr>
        <w:ind w:firstLine="480"/>
        <w:rPr>
          <w:rFonts w:hint="eastAsia"/>
          <w:color w:val="auto"/>
        </w:rPr>
      </w:pPr>
      <w:r>
        <w:rPr>
          <w:rFonts w:hint="eastAsia"/>
          <w:b/>
          <w:bCs/>
          <w:color w:val="auto"/>
        </w:rPr>
        <w:t>健全生态环境管理制度。</w:t>
      </w:r>
      <w:r>
        <w:rPr>
          <w:rFonts w:hint="eastAsia"/>
          <w:color w:val="auto"/>
          <w:lang w:val="en-US" w:eastAsia="zh-CN"/>
        </w:rPr>
        <w:t>推动</w:t>
      </w:r>
      <w:r>
        <w:rPr>
          <w:rFonts w:hint="eastAsia"/>
          <w:color w:val="auto"/>
        </w:rPr>
        <w:t>兵地生态环境规划、监测、执法、应急、污染防治等方面工作的常态化衔接，建立重大项目互商机制</w:t>
      </w:r>
      <w:r>
        <w:rPr>
          <w:rFonts w:hint="eastAsia"/>
          <w:color w:val="auto"/>
          <w:lang w:val="en-US" w:eastAsia="zh-CN"/>
        </w:rPr>
        <w:t>和</w:t>
      </w:r>
      <w:r>
        <w:rPr>
          <w:rFonts w:hint="eastAsia"/>
          <w:color w:val="auto"/>
        </w:rPr>
        <w:t>重污染天气应急联动机制。持续深化排污许可制度改革，推动工业噪声、工业固体废物等环境要素依法纳入排污许可管理。做好排污许可与环境影响评价、环境统计、污染源监测、信息公开、环境保护税等制度衔接工作。全面落实排污许可“一证式”管理，强化联合监管执法、资源共享和信息互通，创新信息化监管方式。加强对生态环境统计信息的挖掘、分析和应用。统筹推进生态环境损害赔偿，落实案件分级办理标准，形成重大案件线索清单，强化生态环境损害赔偿资金管理，推进替代性修复项目库建设。</w:t>
      </w:r>
    </w:p>
    <w:p w14:paraId="577F6B68">
      <w:pPr>
        <w:ind w:firstLine="480"/>
        <w:rPr>
          <w:rFonts w:hint="eastAsia" w:eastAsia="仿宋_GB2312"/>
          <w:color w:val="auto"/>
          <w:lang w:eastAsia="zh-CN"/>
        </w:rPr>
      </w:pPr>
      <w:r>
        <w:rPr>
          <w:rFonts w:hint="eastAsia"/>
          <w:b/>
          <w:bCs/>
          <w:color w:val="auto"/>
        </w:rPr>
        <w:t>完善生态环境监测工作体系</w:t>
      </w:r>
      <w:r>
        <w:rPr>
          <w:rFonts w:hint="eastAsia"/>
          <w:b/>
          <w:bCs/>
          <w:color w:val="auto"/>
          <w:lang w:eastAsia="zh-CN"/>
        </w:rPr>
        <w:t>。</w:t>
      </w:r>
      <w:r>
        <w:rPr>
          <w:rFonts w:hint="eastAsia"/>
          <w:color w:val="auto"/>
        </w:rPr>
        <w:t>健全监测数据质量管理制度，强化监测数据审核责任，建立健全社会生态环境监测</w:t>
      </w:r>
      <w:r>
        <w:rPr>
          <w:rFonts w:hint="eastAsia"/>
          <w:color w:val="auto"/>
          <w:lang w:eastAsia="zh-CN"/>
        </w:rPr>
        <w:t>（</w:t>
      </w:r>
      <w:r>
        <w:rPr>
          <w:rFonts w:hint="eastAsia"/>
          <w:color w:val="auto"/>
        </w:rPr>
        <w:t>运维</w:t>
      </w:r>
      <w:r>
        <w:rPr>
          <w:rFonts w:hint="eastAsia"/>
          <w:color w:val="auto"/>
          <w:lang w:eastAsia="zh-CN"/>
        </w:rPr>
        <w:t>）</w:t>
      </w:r>
      <w:r>
        <w:rPr>
          <w:rFonts w:hint="eastAsia"/>
          <w:color w:val="auto"/>
        </w:rPr>
        <w:t>活动监管机制，完善监测报告定期抽查、记录反溯和信用管理等制度。规范开展生态环境监测，强化对监测机构的监督管理、监督企业履行自行监测义务、严厉打击数据造假行为，确保监测数据真实、准确，为生态环境监管与决策提供可靠依据。加强对生态环境质量监测站点的管理，保证生态环境质量监测站点正常运行。加强对各类污染源（包括移动污染源）等的监督监测</w:t>
      </w:r>
      <w:r>
        <w:rPr>
          <w:rFonts w:hint="eastAsia"/>
          <w:color w:val="auto"/>
          <w:lang w:eastAsia="zh-CN"/>
        </w:rPr>
        <w:t>，加强对生态环境风险的监测预警，健全突发生态环境事件应急监测管理体系。</w:t>
      </w:r>
    </w:p>
    <w:p w14:paraId="38F65895">
      <w:pPr>
        <w:ind w:firstLine="480"/>
        <w:rPr>
          <w:rFonts w:hint="eastAsia"/>
          <w:color w:val="auto"/>
        </w:rPr>
      </w:pPr>
      <w:r>
        <w:rPr>
          <w:rFonts w:hint="eastAsia"/>
          <w:b/>
          <w:bCs/>
          <w:color w:val="auto"/>
        </w:rPr>
        <w:t>深化五师生态环境监督执法。</w:t>
      </w:r>
      <w:r>
        <w:rPr>
          <w:rFonts w:hint="eastAsia"/>
          <w:color w:val="auto"/>
        </w:rPr>
        <w:t>深化生态环境保护综合行政执法改革，强化执法职能，加强执法体系和能力建设。</w:t>
      </w:r>
      <w:r>
        <w:rPr>
          <w:rFonts w:hint="eastAsia"/>
          <w:color w:val="auto"/>
          <w:lang w:val="en-US" w:eastAsia="zh-CN"/>
        </w:rPr>
        <w:t>健全</w:t>
      </w:r>
      <w:r>
        <w:rPr>
          <w:rFonts w:hint="eastAsia"/>
          <w:color w:val="auto"/>
        </w:rPr>
        <w:t>监督执法正面清单动态调整机制。将绿色转型、高质量发展、遏制“两高一低”项目和淘汰落后产能、区域重大战略实施中的突出生态环境问题、环境基础设施建设和运行等重点工作落实情况纳入日常监督执法。持续</w:t>
      </w:r>
      <w:r>
        <w:rPr>
          <w:rFonts w:hint="eastAsia"/>
          <w:color w:val="auto"/>
          <w:lang w:val="en-US" w:eastAsia="zh-CN"/>
        </w:rPr>
        <w:t>推行</w:t>
      </w:r>
      <w:r>
        <w:rPr>
          <w:rFonts w:hint="eastAsia"/>
          <w:color w:val="auto"/>
        </w:rPr>
        <w:t>“双随机、一公开”监管模式。积极推行监管执法工作信息化，提升执法效能。健全行政执法与刑事司法衔接工作机制，优化行政执法机关</w:t>
      </w:r>
      <w:r>
        <w:rPr>
          <w:rFonts w:hint="eastAsia"/>
          <w:color w:val="auto"/>
          <w:lang w:val="en-US" w:eastAsia="zh-CN"/>
        </w:rPr>
        <w:t>与</w:t>
      </w:r>
      <w:r>
        <w:rPr>
          <w:rFonts w:hint="eastAsia"/>
          <w:color w:val="auto"/>
        </w:rPr>
        <w:t>公安机关、检察机关、审判机关信息共享、案情通报、案件移送制度。完善生态环境公益诉讼制度，加强民事公益诉讼与生态环境损害赔偿诉讼的衔接。</w:t>
      </w:r>
    </w:p>
    <w:p w14:paraId="5DB10F7D">
      <w:pPr>
        <w:pStyle w:val="3"/>
        <w:bidi w:val="0"/>
        <w:ind w:left="0" w:leftChars="0" w:firstLine="0" w:firstLineChars="0"/>
        <w:rPr>
          <w:rFonts w:hint="eastAsia"/>
          <w:color w:val="auto"/>
        </w:rPr>
      </w:pPr>
      <w:bookmarkStart w:id="134" w:name="_Toc8886"/>
      <w:bookmarkStart w:id="135" w:name="_Toc29585"/>
      <w:bookmarkStart w:id="136" w:name="_Toc14035"/>
      <w:r>
        <w:rPr>
          <w:rFonts w:hint="eastAsia"/>
          <w:color w:val="auto"/>
        </w:rPr>
        <w:t>深化市场机制创新和政策激励</w:t>
      </w:r>
      <w:bookmarkEnd w:id="134"/>
      <w:bookmarkEnd w:id="135"/>
      <w:bookmarkEnd w:id="136"/>
    </w:p>
    <w:p w14:paraId="6CAC1390">
      <w:pPr>
        <w:ind w:firstLine="480"/>
        <w:rPr>
          <w:rFonts w:hint="eastAsia"/>
          <w:color w:val="auto"/>
        </w:rPr>
      </w:pPr>
      <w:r>
        <w:rPr>
          <w:rFonts w:hint="eastAsia"/>
          <w:b/>
          <w:bCs/>
          <w:color w:val="auto"/>
        </w:rPr>
        <w:t>健全企业绿色治理激励约束制度。</w:t>
      </w:r>
      <w:r>
        <w:rPr>
          <w:rFonts w:hint="eastAsia"/>
          <w:b w:val="0"/>
          <w:bCs w:val="0"/>
          <w:color w:val="auto"/>
          <w:lang w:val="en-US" w:eastAsia="zh-CN"/>
        </w:rPr>
        <w:t>配合兵团</w:t>
      </w:r>
      <w:r>
        <w:rPr>
          <w:rFonts w:hint="eastAsia"/>
          <w:color w:val="auto"/>
        </w:rPr>
        <w:t>深化环境信息依法披露制度改革</w:t>
      </w:r>
      <w:r>
        <w:rPr>
          <w:rFonts w:hint="eastAsia"/>
          <w:color w:val="auto"/>
          <w:lang w:eastAsia="zh-CN"/>
        </w:rPr>
        <w:t>，</w:t>
      </w:r>
      <w:r>
        <w:rPr>
          <w:rFonts w:hint="eastAsia"/>
          <w:color w:val="auto"/>
          <w:lang w:val="en-US" w:eastAsia="zh-CN"/>
        </w:rPr>
        <w:t>推进</w:t>
      </w:r>
      <w:r>
        <w:rPr>
          <w:rFonts w:hint="eastAsia"/>
          <w:color w:val="auto"/>
        </w:rPr>
        <w:t>构建衔接事前、事中、事后全监管环节的环境信用监管体系。持续推进重点行业大气污染防治、污水治理与排放水平绩效分级，推动将其作为实行重污染天气应急、日常执法监管、绿色低碳转型等差异化管理的依据。严格落实环保税、资源税差别化税率征收政策，加大对绿色低碳发展的税收支持力度，逐步完善企业所得税税收优惠政策。落实支持绿色发展的机动车、环境保护专用设备、资源综合利用、废钢铁加工、可再生能源等差别化税收政策。</w:t>
      </w:r>
    </w:p>
    <w:p w14:paraId="20775D65">
      <w:pPr>
        <w:ind w:firstLine="480"/>
        <w:rPr>
          <w:rFonts w:hint="eastAsia"/>
          <w:color w:val="auto"/>
        </w:rPr>
      </w:pPr>
      <w:r>
        <w:rPr>
          <w:rFonts w:hint="eastAsia"/>
          <w:b/>
          <w:bCs/>
          <w:color w:val="auto"/>
        </w:rPr>
        <w:t>完善资源财税激励政策。</w:t>
      </w:r>
      <w:r>
        <w:rPr>
          <w:rFonts w:hint="eastAsia"/>
          <w:color w:val="auto"/>
        </w:rPr>
        <w:t>推动将碳排放权、用能权、用水权等纳入要素市场化配置，充分激发保护生态环境的内生动力和市场活力。强化财政对美丽五师建设支持力度，落实中央重点生态功能区转移支付分配机制，优化生态文明领域资金配置，确保投入规模同建设任务相匹配。完善绿色电价机制。探索生态产品价值实现机制，完善以农业绿色发展为导向的经济激励政策。</w:t>
      </w:r>
    </w:p>
    <w:p w14:paraId="1E46BCB1">
      <w:pPr>
        <w:ind w:firstLine="480"/>
        <w:rPr>
          <w:rFonts w:hint="eastAsia"/>
          <w:color w:val="auto"/>
        </w:rPr>
      </w:pPr>
      <w:r>
        <w:rPr>
          <w:rFonts w:hint="eastAsia"/>
          <w:b/>
          <w:bCs/>
          <w:color w:val="auto"/>
        </w:rPr>
        <w:t>完善绿色金融产品和服务。</w:t>
      </w:r>
      <w:r>
        <w:rPr>
          <w:rFonts w:hint="eastAsia"/>
          <w:color w:val="auto"/>
        </w:rPr>
        <w:t>引导金融机构持续加大绿色信贷投放，发展绿色债券、绿色资产证券化等绿色金融产品和服务。支持符合条件的企业发行绿色债券。完善绿色项目投融资机制，加强传统行业领域绿色低碳转型的金融支持。优化环境基础设施投入机制，鼓励社会资本以市场化方式参与环境治理与生态修复。积极搭建“政银企”交流合作平台。加快完善绿色金融相关制度，推动构建绿色金融统计体系，健全金融机构绿色金融考核评价体系，深化环境信息披露制度改革，推动绿色金融与融资项目信贷评价、环保信用评价制度协同。</w:t>
      </w:r>
    </w:p>
    <w:p w14:paraId="1AC19357">
      <w:pPr>
        <w:ind w:firstLine="480"/>
        <w:rPr>
          <w:rFonts w:hint="eastAsia"/>
          <w:color w:val="auto"/>
        </w:rPr>
      </w:pPr>
      <w:r>
        <w:rPr>
          <w:rFonts w:hint="eastAsia"/>
          <w:b/>
          <w:bCs/>
          <w:color w:val="auto"/>
        </w:rPr>
        <w:t>开展市场导向的绿色技术创新。</w:t>
      </w:r>
      <w:r>
        <w:rPr>
          <w:rFonts w:hint="eastAsia"/>
          <w:color w:val="auto"/>
        </w:rPr>
        <w:t>加快新能源、新材料、高端装备制造等战略性新兴产业关键核心技术攻关。强化污染物防治技术研发和集成应用，支持重点行业减污降碳协同治理等技术创新与研究。加强科技创新人才体系建设，依托“天池英才</w:t>
      </w:r>
      <w:r>
        <w:rPr>
          <w:rFonts w:hint="eastAsia"/>
          <w:color w:val="auto"/>
          <w:lang w:eastAsia="zh-CN"/>
        </w:rPr>
        <w:t>”“</w:t>
      </w:r>
      <w:r>
        <w:rPr>
          <w:rFonts w:hint="eastAsia"/>
          <w:color w:val="auto"/>
        </w:rPr>
        <w:t>兵团英才”等人才项目政策，做好“高精尖缺”科技人才引进培养、使用保障工作，打造一支高水平生态环境技术人才队伍。推进企业、高校、科研单位产学研深度融合，推动高效绿色环保技术装备产品研发与应用。</w:t>
      </w:r>
    </w:p>
    <w:p w14:paraId="0F3E3D8F">
      <w:pPr>
        <w:pStyle w:val="3"/>
        <w:bidi w:val="0"/>
        <w:ind w:left="0" w:leftChars="0" w:firstLine="0" w:firstLineChars="0"/>
        <w:rPr>
          <w:rFonts w:hint="eastAsia"/>
          <w:color w:val="auto"/>
        </w:rPr>
      </w:pPr>
      <w:bookmarkStart w:id="137" w:name="_Toc15225"/>
      <w:bookmarkStart w:id="138" w:name="_Toc6659"/>
      <w:bookmarkStart w:id="139" w:name="_Toc29539"/>
      <w:r>
        <w:rPr>
          <w:rFonts w:hint="eastAsia"/>
          <w:color w:val="auto"/>
        </w:rPr>
        <w:t>建立健全美丽</w:t>
      </w:r>
      <w:r>
        <w:rPr>
          <w:rFonts w:hint="eastAsia"/>
          <w:color w:val="auto"/>
          <w:lang w:val="en-US" w:eastAsia="zh-CN"/>
        </w:rPr>
        <w:t>五</w:t>
      </w:r>
      <w:r>
        <w:rPr>
          <w:rFonts w:hint="eastAsia"/>
          <w:color w:val="auto"/>
        </w:rPr>
        <w:t>师数字化治理体系</w:t>
      </w:r>
      <w:bookmarkEnd w:id="137"/>
      <w:bookmarkEnd w:id="138"/>
      <w:bookmarkEnd w:id="139"/>
    </w:p>
    <w:p w14:paraId="61CC5F54">
      <w:pPr>
        <w:ind w:firstLine="480"/>
        <w:rPr>
          <w:rFonts w:hint="eastAsia"/>
          <w:color w:val="auto"/>
        </w:rPr>
      </w:pPr>
      <w:r>
        <w:rPr>
          <w:rFonts w:hint="eastAsia"/>
          <w:b/>
          <w:bCs/>
          <w:color w:val="auto"/>
        </w:rPr>
        <w:t>建设现代化生态环境监测体系。</w:t>
      </w:r>
      <w:r>
        <w:rPr>
          <w:rFonts w:hint="eastAsia"/>
          <w:color w:val="auto"/>
        </w:rPr>
        <w:t>加强温室气体、水生态环境、新污染物、噪声、辐射、农村环境等监测能力建设。加快构建兵地融合、天地一体、上下协同、信息共享的生态环境监测网络。充分应用新技术，稳步推进环境质量监测网络数智化转型。加快推进</w:t>
      </w:r>
      <w:r>
        <w:rPr>
          <w:rFonts w:hint="eastAsia"/>
          <w:color w:val="auto"/>
          <w:lang w:val="en-US" w:eastAsia="zh-CN"/>
        </w:rPr>
        <w:t>师市</w:t>
      </w:r>
      <w:r>
        <w:rPr>
          <w:rFonts w:hint="eastAsia"/>
          <w:color w:val="auto"/>
        </w:rPr>
        <w:t>生态环境监测站能力建设，逐步提升自主监测比例，实现环境质量、污染源执法监测全覆盖。规范开展执法监测和排污单位自行监测监督检查、指导帮扶，做到“应联尽联”。推进高效能监测管理，统筹强化生态环境监测资源和力量配置，加强生态环境监测能力和人才队伍建设。</w:t>
      </w:r>
    </w:p>
    <w:p w14:paraId="7872052F">
      <w:pPr>
        <w:ind w:firstLine="480"/>
        <w:rPr>
          <w:rFonts w:hint="eastAsia"/>
          <w:color w:val="auto"/>
        </w:rPr>
      </w:pPr>
      <w:r>
        <w:rPr>
          <w:rFonts w:hint="eastAsia"/>
          <w:b/>
          <w:bCs/>
          <w:color w:val="auto"/>
        </w:rPr>
        <w:t>强化生态环境执法能力建设。</w:t>
      </w:r>
      <w:r>
        <w:rPr>
          <w:rFonts w:hint="eastAsia"/>
          <w:color w:val="auto"/>
        </w:rPr>
        <w:t>加快补齐应对气候变化、农业农村、生态保护、新污染物等领域执法能力短板，深化执法能力规范化建设。因地制宜加强遥感卫星、红外、无人机等新技术新设备运用，拓展日常执法检查手段。建立健全智慧执法体系，依托生态环境智慧监管指挥平台，推进非现场执法监管，提高效能。深化智慧监管指挥等平台应用，加强数据资源集成共享、综合开发利用</w:t>
      </w:r>
      <w:r>
        <w:rPr>
          <w:rFonts w:hint="eastAsia"/>
          <w:color w:val="auto"/>
          <w:lang w:val="en-US" w:eastAsia="zh-CN"/>
        </w:rPr>
        <w:t>与</w:t>
      </w:r>
      <w:r>
        <w:rPr>
          <w:rFonts w:hint="eastAsia"/>
          <w:color w:val="auto"/>
        </w:rPr>
        <w:t>安全保护。配齐配强执法装备，积极参与生态环境执法大练兵活动，提升执法人员数字化应用能力，促进科学、精准、规范执法。坚持兵地一盘棋，健全兵地生态环境联合执法和交叉执法长效机制。</w:t>
      </w:r>
    </w:p>
    <w:p w14:paraId="493DDCF3">
      <w:pPr>
        <w:ind w:firstLine="480"/>
        <w:rPr>
          <w:rFonts w:hint="eastAsia"/>
          <w:color w:val="auto"/>
        </w:rPr>
      </w:pPr>
      <w:r>
        <w:rPr>
          <w:rFonts w:hint="eastAsia"/>
          <w:b/>
          <w:bCs/>
          <w:color w:val="auto"/>
        </w:rPr>
        <w:t>提升美丽五师数字化治理能力建设。</w:t>
      </w:r>
      <w:r>
        <w:rPr>
          <w:rFonts w:hint="eastAsia"/>
          <w:color w:val="auto"/>
        </w:rPr>
        <w:t>探索大数据、物联网、区块链、人工智能等新技术集成应用，加强数据资源集成共享和综合开发利用，推动生态环境监测网络数智化转型。建设高性能算力基础设施，推动生态环境一体化大数据体系建设，完善生态环境智慧应用平台。实现算力资源高效利用、数据资源共融共享、业务支撑高效智慧。推动自动化监测设备的普及和智能化采样分析系统的应用，加强天空地一体化监测网络的建设，尝试开发生态环境监测的智能分析系统，实现数据的高效收集、处理与分析。强化生物多样性监测，采用红外相机、鸟类鸣声记录仪等新型智能设备，提高生物多样性监测的自动化程度与识别准确率。更新声环境监测设备，精准识别噪声源。加强大数据、大模型技术应用，提高环境质量预测预报和环境风险监测预警水平。</w:t>
      </w:r>
    </w:p>
    <w:p w14:paraId="6552404D">
      <w:pPr>
        <w:pStyle w:val="3"/>
        <w:bidi w:val="0"/>
        <w:ind w:left="0" w:leftChars="0" w:firstLine="0" w:firstLineChars="0"/>
        <w:rPr>
          <w:rFonts w:hint="eastAsia"/>
          <w:color w:val="auto"/>
        </w:rPr>
      </w:pPr>
      <w:bookmarkStart w:id="140" w:name="_Toc2848"/>
      <w:bookmarkStart w:id="141" w:name="_Toc3995"/>
      <w:bookmarkStart w:id="142" w:name="_Toc21610"/>
      <w:r>
        <w:rPr>
          <w:rFonts w:hint="eastAsia"/>
          <w:color w:val="auto"/>
        </w:rPr>
        <w:t>加强宣传教育推进美丽五师建设全民行动</w:t>
      </w:r>
      <w:bookmarkEnd w:id="140"/>
      <w:bookmarkEnd w:id="141"/>
      <w:bookmarkEnd w:id="142"/>
    </w:p>
    <w:p w14:paraId="1F79A4A3">
      <w:pPr>
        <w:ind w:firstLine="480"/>
        <w:rPr>
          <w:rFonts w:hint="eastAsia"/>
          <w:color w:val="auto"/>
        </w:rPr>
      </w:pPr>
      <w:r>
        <w:rPr>
          <w:rFonts w:hint="eastAsia"/>
          <w:b/>
          <w:bCs/>
          <w:color w:val="auto"/>
        </w:rPr>
        <w:t>推广绿色低碳生活方式。</w:t>
      </w:r>
      <w:r>
        <w:rPr>
          <w:rFonts w:hint="eastAsia"/>
          <w:color w:val="auto"/>
        </w:rPr>
        <w:t>大力倡导简约适度、绿色低碳、文明健康的生活理念和消费方式，将绿色理念和节约要求融入市民公约、</w:t>
      </w:r>
      <w:r>
        <w:rPr>
          <w:rFonts w:hint="eastAsia"/>
          <w:color w:val="auto"/>
          <w:lang w:val="en-US" w:eastAsia="zh-CN"/>
        </w:rPr>
        <w:t>连</w:t>
      </w:r>
      <w:r>
        <w:rPr>
          <w:rFonts w:hint="eastAsia"/>
          <w:color w:val="auto"/>
        </w:rPr>
        <w:t>规民约、学生守则、团体章程等社会规范。持续开展“美丽中国，我是行动者”系列活动。引导公民践行绿色出行、节水节电、垃圾分类、“光盘行动”、守护宁静等绿色生活方式，倡导居民优先购买使用节能电器、节水器具等绿色低碳产品，减少塑料购物袋等一次性物品使用，推行绿色办公和大型活动碳中和。</w:t>
      </w:r>
    </w:p>
    <w:p w14:paraId="71774885">
      <w:pPr>
        <w:ind w:firstLine="480"/>
        <w:rPr>
          <w:color w:val="auto"/>
        </w:rPr>
      </w:pPr>
      <w:r>
        <w:rPr>
          <w:rFonts w:hint="eastAsia"/>
          <w:b/>
          <w:bCs/>
          <w:color w:val="auto"/>
        </w:rPr>
        <w:t>提升全民生态环境素养。</w:t>
      </w:r>
      <w:r>
        <w:rPr>
          <w:rFonts w:hint="eastAsia"/>
          <w:color w:val="auto"/>
        </w:rPr>
        <w:t>积极扩大绿色消费，加大绿色产品供给，加强绿色产品认证与标识体系建设。健全绿色消费激励机制。引导企业执行绿色采购指南，鼓励有条件的企业建立绿色供应链，带动上下游企业协同转型。开展新能源汽车和绿色智能家电、节水器具、节能灯具、绿色建材下连队活动。围绕“美丽中国我先行”主题，开展形式多样的环境保护宣传活动，增强广大干部职工群众的环境保护意识，深化环保设施向公众开放，向公众提供生态文明宣传教育服务，营造全民参与生态文明建设和共建美丽兵团的浓厚氛围。实施“美丽兵团，志愿有我”生态环境志愿服务行动，重点围绕项目培育、队伍建设、平台管理、激励机制等开展合作，与民政、教育、共青团、妇联等部门共同推动生态环境志愿服务开展工作，逐步建立起多部门参与的生态环境志愿服务协同工作机制。</w:t>
      </w:r>
    </w:p>
    <w:p w14:paraId="485272F9">
      <w:pPr>
        <w:ind w:firstLine="480"/>
        <w:rPr>
          <w:color w:val="auto"/>
        </w:rPr>
      </w:pPr>
    </w:p>
    <w:p w14:paraId="16EFD4B1">
      <w:pPr>
        <w:pStyle w:val="2"/>
        <w:bidi w:val="0"/>
        <w:ind w:left="0" w:leftChars="0" w:firstLine="0" w:firstLineChars="0"/>
        <w:rPr>
          <w:color w:val="auto"/>
        </w:rPr>
      </w:pPr>
      <w:bookmarkStart w:id="143" w:name="_Toc4939"/>
      <w:bookmarkStart w:id="144" w:name="_Toc14469"/>
      <w:bookmarkStart w:id="145" w:name="_Toc28042"/>
      <w:r>
        <w:rPr>
          <w:rFonts w:hint="eastAsia"/>
          <w:color w:val="auto"/>
        </w:rPr>
        <w:t>规划实施保障措施</w:t>
      </w:r>
      <w:bookmarkEnd w:id="143"/>
      <w:bookmarkEnd w:id="144"/>
      <w:bookmarkEnd w:id="145"/>
    </w:p>
    <w:p w14:paraId="56113D36">
      <w:pPr>
        <w:pStyle w:val="3"/>
        <w:bidi w:val="0"/>
        <w:ind w:left="0" w:leftChars="0" w:firstLine="0" w:firstLineChars="0"/>
        <w:rPr>
          <w:color w:val="auto"/>
        </w:rPr>
      </w:pPr>
      <w:bookmarkStart w:id="146" w:name="_Toc13465"/>
      <w:bookmarkStart w:id="147" w:name="_Toc21761"/>
      <w:bookmarkStart w:id="148" w:name="_Toc15516"/>
      <w:r>
        <w:rPr>
          <w:rFonts w:hint="eastAsia"/>
          <w:color w:val="auto"/>
        </w:rPr>
        <w:t>加强党的领导</w:t>
      </w:r>
      <w:bookmarkEnd w:id="146"/>
      <w:bookmarkEnd w:id="147"/>
      <w:bookmarkEnd w:id="148"/>
    </w:p>
    <w:p w14:paraId="4728E0CF">
      <w:pPr>
        <w:ind w:firstLine="480"/>
        <w:rPr>
          <w:color w:val="auto"/>
        </w:rPr>
      </w:pPr>
      <w:r>
        <w:rPr>
          <w:rFonts w:hint="eastAsia"/>
          <w:color w:val="auto"/>
        </w:rPr>
        <w:t>坚持和加强党对生态环境保护的全面领导，树牢兵地“一盘棋”思想，坚持统一领导、统一规划、统一政策、统一标准、统一推进，完善师市负总责、团场抓落实的工作机制，强化各级生态环境保护议事协调机制作用，研究推动解决生态环境保护重要问题。</w:t>
      </w:r>
    </w:p>
    <w:p w14:paraId="47C6D31B">
      <w:pPr>
        <w:ind w:firstLine="480"/>
        <w:rPr>
          <w:color w:val="auto"/>
        </w:rPr>
      </w:pPr>
      <w:r>
        <w:rPr>
          <w:rFonts w:hint="eastAsia"/>
          <w:color w:val="auto"/>
        </w:rPr>
        <w:t>全力做好中央、兵团生态环境保护督察反馈问题整改</w:t>
      </w:r>
      <w:r>
        <w:rPr>
          <w:rFonts w:hint="eastAsia"/>
          <w:color w:val="auto"/>
          <w:lang w:eastAsia="zh-CN"/>
        </w:rPr>
        <w:t>，</w:t>
      </w:r>
      <w:r>
        <w:rPr>
          <w:rFonts w:hint="eastAsia"/>
          <w:color w:val="auto"/>
        </w:rPr>
        <w:t>持续巩固整改成效，强化退化林修复、地下水压减等</w:t>
      </w:r>
      <w:r>
        <w:rPr>
          <w:rFonts w:hint="eastAsia"/>
          <w:color w:val="auto"/>
          <w:lang w:val="en-US" w:eastAsia="zh-CN"/>
        </w:rPr>
        <w:t>问题</w:t>
      </w:r>
      <w:r>
        <w:rPr>
          <w:rFonts w:hint="eastAsia"/>
          <w:color w:val="auto"/>
        </w:rPr>
        <w:t>整改成果运用。各团场、</w:t>
      </w:r>
      <w:r>
        <w:rPr>
          <w:rFonts w:hint="eastAsia"/>
          <w:color w:val="auto"/>
          <w:lang w:val="en-US" w:eastAsia="zh-CN"/>
        </w:rPr>
        <w:t>经开区、</w:t>
      </w:r>
      <w:r>
        <w:rPr>
          <w:rFonts w:hint="eastAsia"/>
          <w:color w:val="auto"/>
        </w:rPr>
        <w:t>师市有关部门</w:t>
      </w:r>
      <w:r>
        <w:rPr>
          <w:rFonts w:hint="eastAsia"/>
          <w:color w:val="auto"/>
          <w:lang w:val="en-US" w:eastAsia="zh-CN"/>
        </w:rPr>
        <w:t>要</w:t>
      </w:r>
      <w:r>
        <w:rPr>
          <w:rFonts w:hint="eastAsia"/>
          <w:color w:val="auto"/>
        </w:rPr>
        <w:t>坚决扛起生态文明建设政治责任，落实“党政同责、一岗双责”和属地责任，压实各级责任，层层抓好落实。</w:t>
      </w:r>
    </w:p>
    <w:p w14:paraId="7E4954CA">
      <w:pPr>
        <w:ind w:firstLine="480"/>
        <w:rPr>
          <w:color w:val="auto"/>
        </w:rPr>
      </w:pPr>
      <w:r>
        <w:rPr>
          <w:rFonts w:hint="eastAsia"/>
          <w:color w:val="auto"/>
        </w:rPr>
        <w:t>各级各相关部门要协作配合、共同推进，分解落实规划的目标任务，制定实施方案</w:t>
      </w:r>
      <w:r>
        <w:rPr>
          <w:rFonts w:hint="eastAsia"/>
          <w:color w:val="auto"/>
          <w:lang w:eastAsia="zh-CN"/>
        </w:rPr>
        <w:t>、</w:t>
      </w:r>
      <w:r>
        <w:rPr>
          <w:rFonts w:hint="eastAsia"/>
          <w:color w:val="auto"/>
        </w:rPr>
        <w:t>明确任务清单、措施办法和责任清单，确保规划各项任务落实到位。</w:t>
      </w:r>
    </w:p>
    <w:p w14:paraId="698E786D">
      <w:pPr>
        <w:pStyle w:val="3"/>
        <w:bidi w:val="0"/>
        <w:ind w:left="0" w:leftChars="0" w:firstLine="0" w:firstLineChars="0"/>
        <w:rPr>
          <w:color w:val="auto"/>
        </w:rPr>
      </w:pPr>
      <w:bookmarkStart w:id="149" w:name="_Toc31486"/>
      <w:bookmarkStart w:id="150" w:name="_Toc4854"/>
      <w:bookmarkStart w:id="151" w:name="_Toc10129"/>
      <w:r>
        <w:rPr>
          <w:rFonts w:hint="eastAsia"/>
          <w:color w:val="auto"/>
        </w:rPr>
        <w:t>强化政策支持</w:t>
      </w:r>
      <w:bookmarkEnd w:id="149"/>
      <w:bookmarkEnd w:id="150"/>
      <w:bookmarkEnd w:id="151"/>
    </w:p>
    <w:p w14:paraId="19AED800">
      <w:pPr>
        <w:ind w:firstLine="480"/>
        <w:rPr>
          <w:color w:val="auto"/>
        </w:rPr>
      </w:pPr>
      <w:r>
        <w:rPr>
          <w:rFonts w:hint="eastAsia"/>
          <w:color w:val="auto"/>
        </w:rPr>
        <w:t>深入推进碳排放权市场化交易。严格执行环境保护税法，强化本级财政资金对美丽师市建设的支持力度，落实中央重点生态功能区转移支付资金分配。积极支持污染治理、生态修复、碳减排、应对气候变化、防沙治沙等重点生态环境保护建设项目，持续推进实施一批生态环境保护工程。完善生态环境保护多元投入机制，积极引导各类资本参与生态环境保护。发挥企业在污染治理和环保投入的主体责任，督促、引导企业加大污染治理资金投入。</w:t>
      </w:r>
    </w:p>
    <w:p w14:paraId="63A128C7">
      <w:pPr>
        <w:pStyle w:val="3"/>
        <w:bidi w:val="0"/>
        <w:ind w:left="0" w:leftChars="0" w:firstLine="0" w:firstLineChars="0"/>
        <w:rPr>
          <w:color w:val="auto"/>
        </w:rPr>
      </w:pPr>
      <w:bookmarkStart w:id="152" w:name="_Toc4953"/>
      <w:bookmarkStart w:id="153" w:name="_Toc8689"/>
      <w:bookmarkStart w:id="154" w:name="_Toc10163"/>
      <w:r>
        <w:rPr>
          <w:rFonts w:hint="eastAsia"/>
          <w:color w:val="auto"/>
        </w:rPr>
        <w:t>加强科技支撑</w:t>
      </w:r>
      <w:bookmarkEnd w:id="152"/>
      <w:bookmarkEnd w:id="153"/>
      <w:bookmarkEnd w:id="154"/>
    </w:p>
    <w:p w14:paraId="38A63DA6">
      <w:pPr>
        <w:ind w:firstLine="480"/>
        <w:rPr>
          <w:color w:val="auto"/>
        </w:rPr>
      </w:pPr>
      <w:r>
        <w:rPr>
          <w:rFonts w:hint="eastAsia"/>
          <w:color w:val="auto"/>
        </w:rPr>
        <w:t>鼓励开展市场导向的绿色技术创新，推动绿色低碳、数字化智能化、废弃物资源化利用等</w:t>
      </w:r>
      <w:r>
        <w:rPr>
          <w:rFonts w:hint="eastAsia"/>
          <w:color w:val="auto"/>
          <w:lang w:eastAsia="zh-CN"/>
        </w:rPr>
        <w:t>关键核心技术</w:t>
      </w:r>
      <w:r>
        <w:rPr>
          <w:rFonts w:hint="eastAsia"/>
          <w:color w:val="auto"/>
        </w:rPr>
        <w:t>在塑料加工、畜禽养殖、供热等传统产业应用。指导帮助师市新能源、新材料等新兴企业谋划重点领域科技攻关项目，为企业转型升级提供科技支撑鼓励和引导重点行业减污降碳协同治理等技术创新与研究。推进高效绿色环保技术装备产品应用，推动绿色低碳发展。</w:t>
      </w:r>
    </w:p>
    <w:p w14:paraId="491D1DAF">
      <w:pPr>
        <w:pStyle w:val="3"/>
        <w:bidi w:val="0"/>
        <w:ind w:left="0" w:leftChars="0" w:firstLine="0" w:firstLineChars="0"/>
        <w:rPr>
          <w:color w:val="auto"/>
        </w:rPr>
      </w:pPr>
      <w:bookmarkStart w:id="155" w:name="_Toc26805"/>
      <w:bookmarkStart w:id="156" w:name="_Toc12343"/>
      <w:bookmarkStart w:id="157" w:name="_Toc2112"/>
      <w:r>
        <w:rPr>
          <w:rFonts w:hint="eastAsia"/>
          <w:color w:val="auto"/>
        </w:rPr>
        <w:t>强化宣传引导</w:t>
      </w:r>
      <w:bookmarkEnd w:id="155"/>
      <w:bookmarkEnd w:id="156"/>
      <w:bookmarkEnd w:id="157"/>
    </w:p>
    <w:p w14:paraId="1BCAA362">
      <w:pPr>
        <w:ind w:firstLine="480"/>
        <w:rPr>
          <w:color w:val="auto"/>
        </w:rPr>
      </w:pPr>
      <w:r>
        <w:rPr>
          <w:rFonts w:hint="eastAsia"/>
          <w:color w:val="auto"/>
        </w:rPr>
        <w:t>充分利用多媒体平台，拓宽公众参与渠道，在“六五”环境日、全国生态日等重要时间节点加强生态环境保护建设宣传。组织开展形式多样的主题宣传活动，加大规划的宣传力度，不断扩大规划实施的影响力和示范效应。通过拓宽信息交流渠道、扩大信息沟通平台等措施宣传规划实施情况和阶段性成效。充分发挥公众、新闻媒体、社会组织等社会力量的监督作用，建立规划实施公众反馈和监督机制。</w:t>
      </w:r>
    </w:p>
    <w:p w14:paraId="7B64D2EC">
      <w:pPr>
        <w:pStyle w:val="3"/>
        <w:bidi w:val="0"/>
        <w:ind w:left="0" w:leftChars="0" w:firstLine="0" w:firstLineChars="0"/>
        <w:rPr>
          <w:color w:val="auto"/>
        </w:rPr>
      </w:pPr>
      <w:bookmarkStart w:id="158" w:name="_Toc9083"/>
      <w:bookmarkStart w:id="159" w:name="_Toc6354"/>
      <w:bookmarkStart w:id="160" w:name="_Toc22559"/>
      <w:r>
        <w:rPr>
          <w:rFonts w:hint="eastAsia"/>
          <w:color w:val="auto"/>
        </w:rPr>
        <w:t>严格考核评估</w:t>
      </w:r>
      <w:bookmarkEnd w:id="158"/>
      <w:bookmarkEnd w:id="159"/>
      <w:bookmarkEnd w:id="160"/>
    </w:p>
    <w:p w14:paraId="2C404642">
      <w:pPr>
        <w:ind w:firstLine="480"/>
        <w:rPr>
          <w:rFonts w:hint="eastAsia" w:asciiTheme="minorHAnsi" w:hAnsiTheme="minorHAnsi" w:eastAsiaTheme="minorEastAsia"/>
          <w:color w:val="auto"/>
          <w:sz w:val="21"/>
        </w:rPr>
      </w:pPr>
      <w:r>
        <w:rPr>
          <w:rFonts w:hint="eastAsia"/>
          <w:color w:val="auto"/>
        </w:rPr>
        <w:t>建立健全规划检查和定期评估制度，围绕本规划目标指标、重点任务、重大项目进展情况进行中期评估和总结评估。将规划执行情况纳入各级领导干部考核评价体系，考核结果作为绩效评价和奖惩任免的重要依据。</w:t>
      </w:r>
    </w:p>
    <w:p w14:paraId="348567B6">
      <w:pPr>
        <w:widowControl/>
        <w:spacing w:line="240" w:lineRule="auto"/>
        <w:ind w:firstLine="0" w:firstLineChars="0"/>
        <w:jc w:val="left"/>
        <w:rPr>
          <w:rFonts w:hint="eastAsia" w:asciiTheme="minorHAnsi" w:hAnsiTheme="minorHAnsi" w:eastAsiaTheme="minorEastAsia"/>
          <w:color w:val="auto"/>
          <w:sz w:val="21"/>
        </w:rPr>
      </w:pPr>
    </w:p>
    <w:p w14:paraId="1E8622AE">
      <w:pPr>
        <w:widowControl/>
        <w:spacing w:line="240" w:lineRule="auto"/>
        <w:ind w:firstLine="0" w:firstLineChars="0"/>
        <w:jc w:val="left"/>
        <w:rPr>
          <w:rFonts w:hint="eastAsia" w:asciiTheme="minorHAnsi" w:hAnsiTheme="minorHAnsi" w:eastAsiaTheme="minorEastAsia"/>
          <w:color w:val="auto"/>
          <w:sz w:val="21"/>
        </w:rPr>
      </w:pPr>
    </w:p>
    <w:p w14:paraId="0C799A90">
      <w:pPr>
        <w:widowControl/>
        <w:spacing w:line="240" w:lineRule="auto"/>
        <w:ind w:firstLine="0" w:firstLineChars="0"/>
        <w:jc w:val="left"/>
        <w:rPr>
          <w:rFonts w:hint="eastAsia" w:asciiTheme="minorHAnsi" w:hAnsiTheme="minorHAnsi" w:eastAsiaTheme="minorEastAsia"/>
          <w:color w:val="auto"/>
          <w:sz w:val="21"/>
        </w:rPr>
      </w:pP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48BB">
    <w:pPr>
      <w:pStyle w:val="2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0CFF">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1B86">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319340"/>
      <w:docPartObj>
        <w:docPartGallery w:val="autotext"/>
      </w:docPartObj>
    </w:sdtPr>
    <w:sdtContent>
      <w:p w14:paraId="44922D7F">
        <w:pPr>
          <w:pStyle w:val="21"/>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796659"/>
      <w:docPartObj>
        <w:docPartGallery w:val="autotext"/>
      </w:docPartObj>
    </w:sdtPr>
    <w:sdtContent>
      <w:p w14:paraId="57F8CC1C">
        <w:pPr>
          <w:pStyle w:val="21"/>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3B70">
    <w:pPr>
      <w:pStyle w:val="2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0B36">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6D20">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7683D"/>
    <w:multiLevelType w:val="multilevel"/>
    <w:tmpl w:val="1867683D"/>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pStyle w:val="5"/>
      <w:isLgl/>
      <w:suff w:val="nothing"/>
      <w:lvlText w:val="%1.%2.%3.%4"/>
      <w:lvlJc w:val="left"/>
      <w:pPr>
        <w:ind w:left="0" w:firstLine="0"/>
      </w:pPr>
      <w:rPr>
        <w:rFonts w:hint="eastAsia"/>
      </w:rPr>
    </w:lvl>
    <w:lvl w:ilvl="4" w:tentative="0">
      <w:start w:val="1"/>
      <w:numFmt w:val="decimal"/>
      <w:pStyle w:val="6"/>
      <w:isLgl/>
      <w:suff w:val="nothing"/>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12A1C75"/>
    <w:multiLevelType w:val="multilevel"/>
    <w:tmpl w:val="512A1C75"/>
    <w:lvl w:ilvl="0" w:tentative="0">
      <w:start w:val="1"/>
      <w:numFmt w:val="chineseCounting"/>
      <w:pStyle w:val="2"/>
      <w:suff w:val="nothing"/>
      <w:lvlText w:val="第%1章 "/>
      <w:lvlJc w:val="center"/>
      <w:pPr>
        <w:tabs>
          <w:tab w:val="left" w:pos="0"/>
        </w:tabs>
        <w:ind w:left="0" w:firstLine="0"/>
      </w:pPr>
      <w:rPr>
        <w:rFonts w:hint="eastAsia"/>
      </w:rPr>
    </w:lvl>
    <w:lvl w:ilvl="1" w:tentative="0">
      <w:start w:val="1"/>
      <w:numFmt w:val="chineseCounting"/>
      <w:pStyle w:val="3"/>
      <w:suff w:val="nothing"/>
      <w:lvlText w:val="第%2节 "/>
      <w:lvlJc w:val="center"/>
      <w:pPr>
        <w:ind w:left="0" w:firstLine="0"/>
      </w:pPr>
      <w:rPr>
        <w:rFonts w:hint="eastAsia"/>
      </w:rPr>
    </w:lvl>
    <w:lvl w:ilvl="2" w:tentative="0">
      <w:start w:val="1"/>
      <w:numFmt w:val="chineseCounting"/>
      <w:pStyle w:val="4"/>
      <w:suff w:val="nothing"/>
      <w:lvlText w:val="（%3）"/>
      <w:lvlJc w:val="left"/>
      <w:pPr>
        <w:tabs>
          <w:tab w:val="left" w:pos="0"/>
        </w:tabs>
        <w:ind w:left="0" w:firstLine="40"/>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6E"/>
    <w:rsid w:val="00000BEF"/>
    <w:rsid w:val="00000EE4"/>
    <w:rsid w:val="000010A3"/>
    <w:rsid w:val="00001186"/>
    <w:rsid w:val="00005628"/>
    <w:rsid w:val="00007F8E"/>
    <w:rsid w:val="00010A10"/>
    <w:rsid w:val="000127ED"/>
    <w:rsid w:val="00013DE4"/>
    <w:rsid w:val="00014764"/>
    <w:rsid w:val="00014F32"/>
    <w:rsid w:val="000176D8"/>
    <w:rsid w:val="00017738"/>
    <w:rsid w:val="00017BB9"/>
    <w:rsid w:val="000207B1"/>
    <w:rsid w:val="00020B85"/>
    <w:rsid w:val="00021B50"/>
    <w:rsid w:val="000244D8"/>
    <w:rsid w:val="00024879"/>
    <w:rsid w:val="000259BC"/>
    <w:rsid w:val="0002642A"/>
    <w:rsid w:val="00027716"/>
    <w:rsid w:val="000301A6"/>
    <w:rsid w:val="00030512"/>
    <w:rsid w:val="00031F01"/>
    <w:rsid w:val="000332DA"/>
    <w:rsid w:val="000339B4"/>
    <w:rsid w:val="00034FC0"/>
    <w:rsid w:val="000357C8"/>
    <w:rsid w:val="00036816"/>
    <w:rsid w:val="00041877"/>
    <w:rsid w:val="00041D29"/>
    <w:rsid w:val="000425E6"/>
    <w:rsid w:val="000429B8"/>
    <w:rsid w:val="00043EEE"/>
    <w:rsid w:val="00044315"/>
    <w:rsid w:val="00045EAE"/>
    <w:rsid w:val="0004662D"/>
    <w:rsid w:val="00046D75"/>
    <w:rsid w:val="00047FBD"/>
    <w:rsid w:val="000545F5"/>
    <w:rsid w:val="00055437"/>
    <w:rsid w:val="00056344"/>
    <w:rsid w:val="00056FFC"/>
    <w:rsid w:val="000573A4"/>
    <w:rsid w:val="00057711"/>
    <w:rsid w:val="00057C93"/>
    <w:rsid w:val="0006141A"/>
    <w:rsid w:val="0006194E"/>
    <w:rsid w:val="00061FCB"/>
    <w:rsid w:val="000622A4"/>
    <w:rsid w:val="00067239"/>
    <w:rsid w:val="00070DE6"/>
    <w:rsid w:val="00071872"/>
    <w:rsid w:val="00073B5A"/>
    <w:rsid w:val="00074032"/>
    <w:rsid w:val="0007653C"/>
    <w:rsid w:val="00081297"/>
    <w:rsid w:val="00081604"/>
    <w:rsid w:val="00081E1A"/>
    <w:rsid w:val="0008382E"/>
    <w:rsid w:val="000854CD"/>
    <w:rsid w:val="00085D2A"/>
    <w:rsid w:val="00087113"/>
    <w:rsid w:val="000876F7"/>
    <w:rsid w:val="000900FE"/>
    <w:rsid w:val="0009529E"/>
    <w:rsid w:val="00095C9A"/>
    <w:rsid w:val="00097145"/>
    <w:rsid w:val="00097B1B"/>
    <w:rsid w:val="000A03F2"/>
    <w:rsid w:val="000A0B25"/>
    <w:rsid w:val="000A19C2"/>
    <w:rsid w:val="000A1A42"/>
    <w:rsid w:val="000A255C"/>
    <w:rsid w:val="000A51FF"/>
    <w:rsid w:val="000A5A68"/>
    <w:rsid w:val="000A6D8F"/>
    <w:rsid w:val="000B0612"/>
    <w:rsid w:val="000B30D0"/>
    <w:rsid w:val="000B7F85"/>
    <w:rsid w:val="000C47AA"/>
    <w:rsid w:val="000C49E6"/>
    <w:rsid w:val="000C602E"/>
    <w:rsid w:val="000C60C7"/>
    <w:rsid w:val="000C6108"/>
    <w:rsid w:val="000C6C3E"/>
    <w:rsid w:val="000D01A1"/>
    <w:rsid w:val="000D1153"/>
    <w:rsid w:val="000D11A2"/>
    <w:rsid w:val="000D1B00"/>
    <w:rsid w:val="000D7C80"/>
    <w:rsid w:val="000E1BC0"/>
    <w:rsid w:val="000E2719"/>
    <w:rsid w:val="000E432C"/>
    <w:rsid w:val="000E4BD0"/>
    <w:rsid w:val="000E59E9"/>
    <w:rsid w:val="000E6066"/>
    <w:rsid w:val="000E689B"/>
    <w:rsid w:val="000E7292"/>
    <w:rsid w:val="000F175B"/>
    <w:rsid w:val="000F1EDA"/>
    <w:rsid w:val="000F478E"/>
    <w:rsid w:val="00102F74"/>
    <w:rsid w:val="0011010B"/>
    <w:rsid w:val="00112211"/>
    <w:rsid w:val="00113F23"/>
    <w:rsid w:val="00114701"/>
    <w:rsid w:val="00114B54"/>
    <w:rsid w:val="00116508"/>
    <w:rsid w:val="00116A7B"/>
    <w:rsid w:val="00116B66"/>
    <w:rsid w:val="00121E08"/>
    <w:rsid w:val="00124227"/>
    <w:rsid w:val="001246AA"/>
    <w:rsid w:val="00125AF0"/>
    <w:rsid w:val="00126A1D"/>
    <w:rsid w:val="0013202C"/>
    <w:rsid w:val="001325D2"/>
    <w:rsid w:val="001339DB"/>
    <w:rsid w:val="00134986"/>
    <w:rsid w:val="00134D3D"/>
    <w:rsid w:val="00135F94"/>
    <w:rsid w:val="001361E6"/>
    <w:rsid w:val="00136413"/>
    <w:rsid w:val="00140A35"/>
    <w:rsid w:val="00140FB8"/>
    <w:rsid w:val="00141F62"/>
    <w:rsid w:val="00143DC7"/>
    <w:rsid w:val="001462B9"/>
    <w:rsid w:val="00151538"/>
    <w:rsid w:val="0015171E"/>
    <w:rsid w:val="001523EA"/>
    <w:rsid w:val="00156FE5"/>
    <w:rsid w:val="00157BD7"/>
    <w:rsid w:val="001607CD"/>
    <w:rsid w:val="00160CA8"/>
    <w:rsid w:val="00163A79"/>
    <w:rsid w:val="00163CB7"/>
    <w:rsid w:val="001657D8"/>
    <w:rsid w:val="00165D51"/>
    <w:rsid w:val="0016703F"/>
    <w:rsid w:val="0017043E"/>
    <w:rsid w:val="001704DC"/>
    <w:rsid w:val="00171E45"/>
    <w:rsid w:val="00172FDB"/>
    <w:rsid w:val="00173B70"/>
    <w:rsid w:val="00174DE0"/>
    <w:rsid w:val="001800F1"/>
    <w:rsid w:val="00180D0C"/>
    <w:rsid w:val="0018273F"/>
    <w:rsid w:val="001838DE"/>
    <w:rsid w:val="00184D54"/>
    <w:rsid w:val="0018512A"/>
    <w:rsid w:val="00186016"/>
    <w:rsid w:val="001915C0"/>
    <w:rsid w:val="00192092"/>
    <w:rsid w:val="00192812"/>
    <w:rsid w:val="001932C4"/>
    <w:rsid w:val="00195359"/>
    <w:rsid w:val="001A0449"/>
    <w:rsid w:val="001A0E17"/>
    <w:rsid w:val="001A0EFF"/>
    <w:rsid w:val="001A2F2F"/>
    <w:rsid w:val="001A4232"/>
    <w:rsid w:val="001A4598"/>
    <w:rsid w:val="001A76ED"/>
    <w:rsid w:val="001B007B"/>
    <w:rsid w:val="001B0D6E"/>
    <w:rsid w:val="001B10F6"/>
    <w:rsid w:val="001B24C0"/>
    <w:rsid w:val="001B307C"/>
    <w:rsid w:val="001B7314"/>
    <w:rsid w:val="001B76E3"/>
    <w:rsid w:val="001C0924"/>
    <w:rsid w:val="001C1CB4"/>
    <w:rsid w:val="001C238A"/>
    <w:rsid w:val="001C2756"/>
    <w:rsid w:val="001C5156"/>
    <w:rsid w:val="001C5374"/>
    <w:rsid w:val="001C559B"/>
    <w:rsid w:val="001D05FF"/>
    <w:rsid w:val="001D1E36"/>
    <w:rsid w:val="001D33E9"/>
    <w:rsid w:val="001D550C"/>
    <w:rsid w:val="001D639A"/>
    <w:rsid w:val="001E157D"/>
    <w:rsid w:val="001E3A56"/>
    <w:rsid w:val="001E3DEC"/>
    <w:rsid w:val="001E462F"/>
    <w:rsid w:val="001E5F18"/>
    <w:rsid w:val="001E6B0D"/>
    <w:rsid w:val="001E7B0A"/>
    <w:rsid w:val="001E7D4E"/>
    <w:rsid w:val="001F0083"/>
    <w:rsid w:val="001F11C6"/>
    <w:rsid w:val="001F2D9B"/>
    <w:rsid w:val="001F4048"/>
    <w:rsid w:val="001F5870"/>
    <w:rsid w:val="001F6AFD"/>
    <w:rsid w:val="001F7034"/>
    <w:rsid w:val="00200DF2"/>
    <w:rsid w:val="00201E41"/>
    <w:rsid w:val="0020292D"/>
    <w:rsid w:val="00202B4D"/>
    <w:rsid w:val="00203864"/>
    <w:rsid w:val="002066AA"/>
    <w:rsid w:val="00206E25"/>
    <w:rsid w:val="00206F24"/>
    <w:rsid w:val="0020731F"/>
    <w:rsid w:val="00210232"/>
    <w:rsid w:val="00211C0C"/>
    <w:rsid w:val="002128EB"/>
    <w:rsid w:val="002164F6"/>
    <w:rsid w:val="00217BC3"/>
    <w:rsid w:val="00217EAC"/>
    <w:rsid w:val="00217F97"/>
    <w:rsid w:val="00221812"/>
    <w:rsid w:val="00221D1A"/>
    <w:rsid w:val="002228C7"/>
    <w:rsid w:val="00223A47"/>
    <w:rsid w:val="00224965"/>
    <w:rsid w:val="00224CCE"/>
    <w:rsid w:val="002252F9"/>
    <w:rsid w:val="00227782"/>
    <w:rsid w:val="00227B3C"/>
    <w:rsid w:val="002302BC"/>
    <w:rsid w:val="00230814"/>
    <w:rsid w:val="00231B79"/>
    <w:rsid w:val="00232967"/>
    <w:rsid w:val="002351BA"/>
    <w:rsid w:val="002364CF"/>
    <w:rsid w:val="00236806"/>
    <w:rsid w:val="00237554"/>
    <w:rsid w:val="002379E8"/>
    <w:rsid w:val="00241606"/>
    <w:rsid w:val="0024215A"/>
    <w:rsid w:val="002427A5"/>
    <w:rsid w:val="00242CD0"/>
    <w:rsid w:val="0024346E"/>
    <w:rsid w:val="002442F1"/>
    <w:rsid w:val="002468A4"/>
    <w:rsid w:val="00251085"/>
    <w:rsid w:val="00252825"/>
    <w:rsid w:val="0025348F"/>
    <w:rsid w:val="002545A2"/>
    <w:rsid w:val="00254ECA"/>
    <w:rsid w:val="002553DD"/>
    <w:rsid w:val="00255712"/>
    <w:rsid w:val="0026140D"/>
    <w:rsid w:val="002615A7"/>
    <w:rsid w:val="00261A8D"/>
    <w:rsid w:val="00262DBF"/>
    <w:rsid w:val="00266522"/>
    <w:rsid w:val="00267E8E"/>
    <w:rsid w:val="0027094D"/>
    <w:rsid w:val="00270E61"/>
    <w:rsid w:val="002715B1"/>
    <w:rsid w:val="00274505"/>
    <w:rsid w:val="00275AB6"/>
    <w:rsid w:val="0027692E"/>
    <w:rsid w:val="00276948"/>
    <w:rsid w:val="00276A4D"/>
    <w:rsid w:val="00281554"/>
    <w:rsid w:val="00281E9D"/>
    <w:rsid w:val="00281F79"/>
    <w:rsid w:val="00282B56"/>
    <w:rsid w:val="00284938"/>
    <w:rsid w:val="0028728D"/>
    <w:rsid w:val="0028768D"/>
    <w:rsid w:val="00290305"/>
    <w:rsid w:val="00290E8F"/>
    <w:rsid w:val="002915A7"/>
    <w:rsid w:val="00291BB0"/>
    <w:rsid w:val="00292CF2"/>
    <w:rsid w:val="0029357D"/>
    <w:rsid w:val="002935B6"/>
    <w:rsid w:val="002939D0"/>
    <w:rsid w:val="002940E0"/>
    <w:rsid w:val="00295084"/>
    <w:rsid w:val="00295AC8"/>
    <w:rsid w:val="002A0616"/>
    <w:rsid w:val="002A2553"/>
    <w:rsid w:val="002A2F0B"/>
    <w:rsid w:val="002A6930"/>
    <w:rsid w:val="002B1385"/>
    <w:rsid w:val="002B2BBB"/>
    <w:rsid w:val="002B3E9A"/>
    <w:rsid w:val="002B5440"/>
    <w:rsid w:val="002B549F"/>
    <w:rsid w:val="002B57B5"/>
    <w:rsid w:val="002B5DC3"/>
    <w:rsid w:val="002B615F"/>
    <w:rsid w:val="002B7092"/>
    <w:rsid w:val="002B7BC5"/>
    <w:rsid w:val="002C00BB"/>
    <w:rsid w:val="002C5B29"/>
    <w:rsid w:val="002C711A"/>
    <w:rsid w:val="002C7E85"/>
    <w:rsid w:val="002D19FC"/>
    <w:rsid w:val="002D22BA"/>
    <w:rsid w:val="002D3CF5"/>
    <w:rsid w:val="002D3D67"/>
    <w:rsid w:val="002D4AF6"/>
    <w:rsid w:val="002D4CB9"/>
    <w:rsid w:val="002D54CA"/>
    <w:rsid w:val="002D6E4F"/>
    <w:rsid w:val="002E5376"/>
    <w:rsid w:val="002F0CA7"/>
    <w:rsid w:val="002F16FB"/>
    <w:rsid w:val="002F19EA"/>
    <w:rsid w:val="002F1DC5"/>
    <w:rsid w:val="002F403C"/>
    <w:rsid w:val="002F44D1"/>
    <w:rsid w:val="002F6663"/>
    <w:rsid w:val="00300F5A"/>
    <w:rsid w:val="00301834"/>
    <w:rsid w:val="00301B00"/>
    <w:rsid w:val="00302283"/>
    <w:rsid w:val="00302698"/>
    <w:rsid w:val="00302E15"/>
    <w:rsid w:val="00303269"/>
    <w:rsid w:val="003052AE"/>
    <w:rsid w:val="00305EF5"/>
    <w:rsid w:val="00306E00"/>
    <w:rsid w:val="00307692"/>
    <w:rsid w:val="003102C0"/>
    <w:rsid w:val="00311504"/>
    <w:rsid w:val="00311E84"/>
    <w:rsid w:val="003123BA"/>
    <w:rsid w:val="0031395C"/>
    <w:rsid w:val="0031420C"/>
    <w:rsid w:val="00314DDA"/>
    <w:rsid w:val="00314FC3"/>
    <w:rsid w:val="0031564D"/>
    <w:rsid w:val="00315BD0"/>
    <w:rsid w:val="00315E8E"/>
    <w:rsid w:val="00322236"/>
    <w:rsid w:val="003230FB"/>
    <w:rsid w:val="00324324"/>
    <w:rsid w:val="0032464B"/>
    <w:rsid w:val="00324BAC"/>
    <w:rsid w:val="00324BDD"/>
    <w:rsid w:val="00325CB8"/>
    <w:rsid w:val="00327B97"/>
    <w:rsid w:val="00330833"/>
    <w:rsid w:val="00331014"/>
    <w:rsid w:val="00331B33"/>
    <w:rsid w:val="003321B5"/>
    <w:rsid w:val="00332F21"/>
    <w:rsid w:val="00335349"/>
    <w:rsid w:val="00336968"/>
    <w:rsid w:val="003376C5"/>
    <w:rsid w:val="00337C29"/>
    <w:rsid w:val="00340651"/>
    <w:rsid w:val="0034154C"/>
    <w:rsid w:val="00342E36"/>
    <w:rsid w:val="00343E75"/>
    <w:rsid w:val="0034490F"/>
    <w:rsid w:val="0034777C"/>
    <w:rsid w:val="00347C1C"/>
    <w:rsid w:val="00347FCB"/>
    <w:rsid w:val="00350B9E"/>
    <w:rsid w:val="003510FA"/>
    <w:rsid w:val="0035214D"/>
    <w:rsid w:val="0035288E"/>
    <w:rsid w:val="00354E8D"/>
    <w:rsid w:val="0035741F"/>
    <w:rsid w:val="00357EB9"/>
    <w:rsid w:val="0036077D"/>
    <w:rsid w:val="00363481"/>
    <w:rsid w:val="00363E92"/>
    <w:rsid w:val="00366613"/>
    <w:rsid w:val="003674EC"/>
    <w:rsid w:val="0036753B"/>
    <w:rsid w:val="00370D0D"/>
    <w:rsid w:val="003717A0"/>
    <w:rsid w:val="003723A2"/>
    <w:rsid w:val="00372CD5"/>
    <w:rsid w:val="00373134"/>
    <w:rsid w:val="003736EB"/>
    <w:rsid w:val="0037686C"/>
    <w:rsid w:val="003768E0"/>
    <w:rsid w:val="0037728C"/>
    <w:rsid w:val="00380C03"/>
    <w:rsid w:val="00383A97"/>
    <w:rsid w:val="00383C45"/>
    <w:rsid w:val="00384E86"/>
    <w:rsid w:val="00384EF6"/>
    <w:rsid w:val="003915B4"/>
    <w:rsid w:val="00391AB8"/>
    <w:rsid w:val="00391E08"/>
    <w:rsid w:val="00392E7B"/>
    <w:rsid w:val="0039420D"/>
    <w:rsid w:val="00394679"/>
    <w:rsid w:val="003956B1"/>
    <w:rsid w:val="00396D6E"/>
    <w:rsid w:val="00396F27"/>
    <w:rsid w:val="003975EE"/>
    <w:rsid w:val="0039789A"/>
    <w:rsid w:val="003A054A"/>
    <w:rsid w:val="003A1026"/>
    <w:rsid w:val="003A38D3"/>
    <w:rsid w:val="003A503A"/>
    <w:rsid w:val="003A50C2"/>
    <w:rsid w:val="003A5BE1"/>
    <w:rsid w:val="003A6A3D"/>
    <w:rsid w:val="003A6ED4"/>
    <w:rsid w:val="003B0534"/>
    <w:rsid w:val="003B2867"/>
    <w:rsid w:val="003B4F22"/>
    <w:rsid w:val="003B7912"/>
    <w:rsid w:val="003B7C57"/>
    <w:rsid w:val="003C0454"/>
    <w:rsid w:val="003C05B4"/>
    <w:rsid w:val="003C0C56"/>
    <w:rsid w:val="003C29F2"/>
    <w:rsid w:val="003C4557"/>
    <w:rsid w:val="003C6B69"/>
    <w:rsid w:val="003C6ED8"/>
    <w:rsid w:val="003C7E82"/>
    <w:rsid w:val="003D10A9"/>
    <w:rsid w:val="003D1B6A"/>
    <w:rsid w:val="003D592A"/>
    <w:rsid w:val="003D60B0"/>
    <w:rsid w:val="003D67DB"/>
    <w:rsid w:val="003D73CF"/>
    <w:rsid w:val="003D7922"/>
    <w:rsid w:val="003E2945"/>
    <w:rsid w:val="003E2D14"/>
    <w:rsid w:val="003E3DB0"/>
    <w:rsid w:val="003E482B"/>
    <w:rsid w:val="003E52A3"/>
    <w:rsid w:val="003E62EE"/>
    <w:rsid w:val="003E7009"/>
    <w:rsid w:val="003E7109"/>
    <w:rsid w:val="003E7674"/>
    <w:rsid w:val="003E7B82"/>
    <w:rsid w:val="003F0679"/>
    <w:rsid w:val="003F09AF"/>
    <w:rsid w:val="003F22C1"/>
    <w:rsid w:val="003F4117"/>
    <w:rsid w:val="003F5828"/>
    <w:rsid w:val="003F5FAD"/>
    <w:rsid w:val="003F6DC4"/>
    <w:rsid w:val="004004B4"/>
    <w:rsid w:val="00400A98"/>
    <w:rsid w:val="00400B56"/>
    <w:rsid w:val="004012DE"/>
    <w:rsid w:val="00401779"/>
    <w:rsid w:val="0040201B"/>
    <w:rsid w:val="00402117"/>
    <w:rsid w:val="00402823"/>
    <w:rsid w:val="0040386E"/>
    <w:rsid w:val="004072A5"/>
    <w:rsid w:val="004102BA"/>
    <w:rsid w:val="0041345F"/>
    <w:rsid w:val="00416227"/>
    <w:rsid w:val="004167FD"/>
    <w:rsid w:val="00416979"/>
    <w:rsid w:val="004222FB"/>
    <w:rsid w:val="00422ED9"/>
    <w:rsid w:val="0042390A"/>
    <w:rsid w:val="004239F9"/>
    <w:rsid w:val="00423A20"/>
    <w:rsid w:val="00424197"/>
    <w:rsid w:val="004253DA"/>
    <w:rsid w:val="00425A64"/>
    <w:rsid w:val="00426D42"/>
    <w:rsid w:val="00426DFA"/>
    <w:rsid w:val="00426FEB"/>
    <w:rsid w:val="004279D2"/>
    <w:rsid w:val="004314E2"/>
    <w:rsid w:val="00437E64"/>
    <w:rsid w:val="0044022E"/>
    <w:rsid w:val="00440C4F"/>
    <w:rsid w:val="00441118"/>
    <w:rsid w:val="00445B89"/>
    <w:rsid w:val="00445CA7"/>
    <w:rsid w:val="00445E1C"/>
    <w:rsid w:val="004460B7"/>
    <w:rsid w:val="00446C1E"/>
    <w:rsid w:val="00447E1C"/>
    <w:rsid w:val="004525E8"/>
    <w:rsid w:val="00453AB9"/>
    <w:rsid w:val="00455C19"/>
    <w:rsid w:val="0045648F"/>
    <w:rsid w:val="004564BE"/>
    <w:rsid w:val="00456944"/>
    <w:rsid w:val="004613F9"/>
    <w:rsid w:val="00462313"/>
    <w:rsid w:val="004629B3"/>
    <w:rsid w:val="00465BBC"/>
    <w:rsid w:val="00470A4A"/>
    <w:rsid w:val="0047115D"/>
    <w:rsid w:val="00473D8A"/>
    <w:rsid w:val="004752FC"/>
    <w:rsid w:val="00476D09"/>
    <w:rsid w:val="00480522"/>
    <w:rsid w:val="0048303B"/>
    <w:rsid w:val="00483598"/>
    <w:rsid w:val="00483DEC"/>
    <w:rsid w:val="004843AD"/>
    <w:rsid w:val="00484D28"/>
    <w:rsid w:val="004853CE"/>
    <w:rsid w:val="00485816"/>
    <w:rsid w:val="0048630D"/>
    <w:rsid w:val="00487341"/>
    <w:rsid w:val="004908F7"/>
    <w:rsid w:val="004915F3"/>
    <w:rsid w:val="00492A08"/>
    <w:rsid w:val="00492AEE"/>
    <w:rsid w:val="00493D64"/>
    <w:rsid w:val="004957FA"/>
    <w:rsid w:val="00495F5A"/>
    <w:rsid w:val="004964C2"/>
    <w:rsid w:val="00497062"/>
    <w:rsid w:val="00497644"/>
    <w:rsid w:val="004A102E"/>
    <w:rsid w:val="004A3B31"/>
    <w:rsid w:val="004A4319"/>
    <w:rsid w:val="004A4706"/>
    <w:rsid w:val="004A4887"/>
    <w:rsid w:val="004A5D19"/>
    <w:rsid w:val="004A69B6"/>
    <w:rsid w:val="004A720D"/>
    <w:rsid w:val="004B1155"/>
    <w:rsid w:val="004B30B9"/>
    <w:rsid w:val="004B5624"/>
    <w:rsid w:val="004B73C6"/>
    <w:rsid w:val="004C1CE7"/>
    <w:rsid w:val="004C261B"/>
    <w:rsid w:val="004C4F98"/>
    <w:rsid w:val="004C5C61"/>
    <w:rsid w:val="004C6CE7"/>
    <w:rsid w:val="004C72C4"/>
    <w:rsid w:val="004D0BE2"/>
    <w:rsid w:val="004D1002"/>
    <w:rsid w:val="004D25D9"/>
    <w:rsid w:val="004D3277"/>
    <w:rsid w:val="004D5CCC"/>
    <w:rsid w:val="004D7704"/>
    <w:rsid w:val="004D7EED"/>
    <w:rsid w:val="004E42CC"/>
    <w:rsid w:val="004E4A3E"/>
    <w:rsid w:val="004E4C42"/>
    <w:rsid w:val="004E55D9"/>
    <w:rsid w:val="004F0FCE"/>
    <w:rsid w:val="004F2B5D"/>
    <w:rsid w:val="004F2F8D"/>
    <w:rsid w:val="004F6084"/>
    <w:rsid w:val="004F7590"/>
    <w:rsid w:val="004F7C82"/>
    <w:rsid w:val="0050106B"/>
    <w:rsid w:val="00501F07"/>
    <w:rsid w:val="00502228"/>
    <w:rsid w:val="00502DA7"/>
    <w:rsid w:val="00503642"/>
    <w:rsid w:val="00504516"/>
    <w:rsid w:val="005100D1"/>
    <w:rsid w:val="00510C66"/>
    <w:rsid w:val="005114E6"/>
    <w:rsid w:val="00512ECD"/>
    <w:rsid w:val="00513815"/>
    <w:rsid w:val="00514555"/>
    <w:rsid w:val="005158BF"/>
    <w:rsid w:val="0051612F"/>
    <w:rsid w:val="005161BA"/>
    <w:rsid w:val="00516D31"/>
    <w:rsid w:val="00517C67"/>
    <w:rsid w:val="005207C9"/>
    <w:rsid w:val="00520B17"/>
    <w:rsid w:val="0052374B"/>
    <w:rsid w:val="00524CDF"/>
    <w:rsid w:val="00526A4F"/>
    <w:rsid w:val="00531FF2"/>
    <w:rsid w:val="00534DDB"/>
    <w:rsid w:val="00535DAB"/>
    <w:rsid w:val="005371F0"/>
    <w:rsid w:val="00540255"/>
    <w:rsid w:val="005427C6"/>
    <w:rsid w:val="0054402F"/>
    <w:rsid w:val="00544DED"/>
    <w:rsid w:val="00545978"/>
    <w:rsid w:val="00546E1A"/>
    <w:rsid w:val="00560803"/>
    <w:rsid w:val="005609EC"/>
    <w:rsid w:val="005619A8"/>
    <w:rsid w:val="00561DD5"/>
    <w:rsid w:val="00562D1F"/>
    <w:rsid w:val="00563066"/>
    <w:rsid w:val="005632D6"/>
    <w:rsid w:val="00563C2E"/>
    <w:rsid w:val="00564825"/>
    <w:rsid w:val="00564AEC"/>
    <w:rsid w:val="00564F57"/>
    <w:rsid w:val="005666AB"/>
    <w:rsid w:val="00566F49"/>
    <w:rsid w:val="00567A9F"/>
    <w:rsid w:val="00570457"/>
    <w:rsid w:val="005705F2"/>
    <w:rsid w:val="005708E7"/>
    <w:rsid w:val="00570FFA"/>
    <w:rsid w:val="00572A18"/>
    <w:rsid w:val="00573C9B"/>
    <w:rsid w:val="00574D37"/>
    <w:rsid w:val="00575949"/>
    <w:rsid w:val="005759E6"/>
    <w:rsid w:val="00576FC1"/>
    <w:rsid w:val="005774C1"/>
    <w:rsid w:val="0057769E"/>
    <w:rsid w:val="00580629"/>
    <w:rsid w:val="005830F8"/>
    <w:rsid w:val="00583AC5"/>
    <w:rsid w:val="00584469"/>
    <w:rsid w:val="00585A77"/>
    <w:rsid w:val="00585DDA"/>
    <w:rsid w:val="00586C94"/>
    <w:rsid w:val="005913DC"/>
    <w:rsid w:val="00591F07"/>
    <w:rsid w:val="005933FF"/>
    <w:rsid w:val="00595D59"/>
    <w:rsid w:val="005962F6"/>
    <w:rsid w:val="00596CD3"/>
    <w:rsid w:val="005975F1"/>
    <w:rsid w:val="00597703"/>
    <w:rsid w:val="005A105D"/>
    <w:rsid w:val="005A38D7"/>
    <w:rsid w:val="005A3B5F"/>
    <w:rsid w:val="005A60D6"/>
    <w:rsid w:val="005A62A5"/>
    <w:rsid w:val="005A6D93"/>
    <w:rsid w:val="005A795F"/>
    <w:rsid w:val="005B0E10"/>
    <w:rsid w:val="005B1877"/>
    <w:rsid w:val="005B3CE8"/>
    <w:rsid w:val="005B454C"/>
    <w:rsid w:val="005B4E59"/>
    <w:rsid w:val="005B523C"/>
    <w:rsid w:val="005B7B1A"/>
    <w:rsid w:val="005C370A"/>
    <w:rsid w:val="005C3A04"/>
    <w:rsid w:val="005C5E33"/>
    <w:rsid w:val="005C643C"/>
    <w:rsid w:val="005D0BDD"/>
    <w:rsid w:val="005D4A06"/>
    <w:rsid w:val="005D55F2"/>
    <w:rsid w:val="005D580D"/>
    <w:rsid w:val="005D71D1"/>
    <w:rsid w:val="005E06CA"/>
    <w:rsid w:val="005E596D"/>
    <w:rsid w:val="005E6D9A"/>
    <w:rsid w:val="005F1AC4"/>
    <w:rsid w:val="005F32E2"/>
    <w:rsid w:val="005F3CB2"/>
    <w:rsid w:val="005F6F5C"/>
    <w:rsid w:val="006023F1"/>
    <w:rsid w:val="00603959"/>
    <w:rsid w:val="00605353"/>
    <w:rsid w:val="0060549D"/>
    <w:rsid w:val="0060657E"/>
    <w:rsid w:val="006076D5"/>
    <w:rsid w:val="00607B7A"/>
    <w:rsid w:val="006110F9"/>
    <w:rsid w:val="00611700"/>
    <w:rsid w:val="006135C1"/>
    <w:rsid w:val="00614963"/>
    <w:rsid w:val="00616871"/>
    <w:rsid w:val="006168F2"/>
    <w:rsid w:val="00617672"/>
    <w:rsid w:val="006215E7"/>
    <w:rsid w:val="0062208A"/>
    <w:rsid w:val="00630A3F"/>
    <w:rsid w:val="0063176A"/>
    <w:rsid w:val="00632790"/>
    <w:rsid w:val="00632916"/>
    <w:rsid w:val="00633210"/>
    <w:rsid w:val="00634384"/>
    <w:rsid w:val="00634E13"/>
    <w:rsid w:val="00635137"/>
    <w:rsid w:val="00635B03"/>
    <w:rsid w:val="00636848"/>
    <w:rsid w:val="006368A1"/>
    <w:rsid w:val="00637471"/>
    <w:rsid w:val="00640B6E"/>
    <w:rsid w:val="00641593"/>
    <w:rsid w:val="00641D22"/>
    <w:rsid w:val="00642AFC"/>
    <w:rsid w:val="00644864"/>
    <w:rsid w:val="00644CB5"/>
    <w:rsid w:val="006463E5"/>
    <w:rsid w:val="006471FF"/>
    <w:rsid w:val="006509CC"/>
    <w:rsid w:val="00650DC3"/>
    <w:rsid w:val="006523C2"/>
    <w:rsid w:val="00652671"/>
    <w:rsid w:val="00655198"/>
    <w:rsid w:val="006554D9"/>
    <w:rsid w:val="00656C3C"/>
    <w:rsid w:val="006601DC"/>
    <w:rsid w:val="00661387"/>
    <w:rsid w:val="00661802"/>
    <w:rsid w:val="00661A6E"/>
    <w:rsid w:val="00661C0F"/>
    <w:rsid w:val="00662CCC"/>
    <w:rsid w:val="0066339B"/>
    <w:rsid w:val="006643B9"/>
    <w:rsid w:val="00664FD0"/>
    <w:rsid w:val="006663DB"/>
    <w:rsid w:val="006711F2"/>
    <w:rsid w:val="006714D5"/>
    <w:rsid w:val="00674AD3"/>
    <w:rsid w:val="0067556C"/>
    <w:rsid w:val="00676413"/>
    <w:rsid w:val="006778B7"/>
    <w:rsid w:val="00677CEC"/>
    <w:rsid w:val="00677DBA"/>
    <w:rsid w:val="0068023C"/>
    <w:rsid w:val="00680C98"/>
    <w:rsid w:val="00682471"/>
    <w:rsid w:val="00682AE1"/>
    <w:rsid w:val="00691A2C"/>
    <w:rsid w:val="00691A7C"/>
    <w:rsid w:val="00692FB0"/>
    <w:rsid w:val="006935EA"/>
    <w:rsid w:val="00695D04"/>
    <w:rsid w:val="00697A5B"/>
    <w:rsid w:val="006A1FFE"/>
    <w:rsid w:val="006A2B33"/>
    <w:rsid w:val="006A36BF"/>
    <w:rsid w:val="006A45D7"/>
    <w:rsid w:val="006A7558"/>
    <w:rsid w:val="006A7EAD"/>
    <w:rsid w:val="006B1AC2"/>
    <w:rsid w:val="006B22D0"/>
    <w:rsid w:val="006B442B"/>
    <w:rsid w:val="006B708C"/>
    <w:rsid w:val="006B7B81"/>
    <w:rsid w:val="006C53B4"/>
    <w:rsid w:val="006C660F"/>
    <w:rsid w:val="006C761B"/>
    <w:rsid w:val="006C7F2B"/>
    <w:rsid w:val="006D1ED6"/>
    <w:rsid w:val="006D2483"/>
    <w:rsid w:val="006D328D"/>
    <w:rsid w:val="006D5163"/>
    <w:rsid w:val="006D57FB"/>
    <w:rsid w:val="006D76C2"/>
    <w:rsid w:val="006E1F84"/>
    <w:rsid w:val="006E23DE"/>
    <w:rsid w:val="006E4702"/>
    <w:rsid w:val="006E4EE8"/>
    <w:rsid w:val="006E7609"/>
    <w:rsid w:val="006E7873"/>
    <w:rsid w:val="006F0468"/>
    <w:rsid w:val="006F23A0"/>
    <w:rsid w:val="006F5BA5"/>
    <w:rsid w:val="006F61A3"/>
    <w:rsid w:val="006F70A8"/>
    <w:rsid w:val="0070037E"/>
    <w:rsid w:val="0070337E"/>
    <w:rsid w:val="00704DE4"/>
    <w:rsid w:val="0070517D"/>
    <w:rsid w:val="00705681"/>
    <w:rsid w:val="00705F37"/>
    <w:rsid w:val="0070606D"/>
    <w:rsid w:val="00706B93"/>
    <w:rsid w:val="0071056E"/>
    <w:rsid w:val="007114D4"/>
    <w:rsid w:val="00712435"/>
    <w:rsid w:val="00714280"/>
    <w:rsid w:val="00714C7B"/>
    <w:rsid w:val="00716083"/>
    <w:rsid w:val="007170AE"/>
    <w:rsid w:val="00720DC1"/>
    <w:rsid w:val="00721C8F"/>
    <w:rsid w:val="00722592"/>
    <w:rsid w:val="007233CA"/>
    <w:rsid w:val="00723A11"/>
    <w:rsid w:val="00731762"/>
    <w:rsid w:val="00732685"/>
    <w:rsid w:val="007329A5"/>
    <w:rsid w:val="0073344F"/>
    <w:rsid w:val="00733ED6"/>
    <w:rsid w:val="00735848"/>
    <w:rsid w:val="00736856"/>
    <w:rsid w:val="00736E3F"/>
    <w:rsid w:val="00737F81"/>
    <w:rsid w:val="0074047B"/>
    <w:rsid w:val="007405EF"/>
    <w:rsid w:val="007413F9"/>
    <w:rsid w:val="007477A7"/>
    <w:rsid w:val="00747C61"/>
    <w:rsid w:val="007509F9"/>
    <w:rsid w:val="0075154F"/>
    <w:rsid w:val="00752AA7"/>
    <w:rsid w:val="00754657"/>
    <w:rsid w:val="00754933"/>
    <w:rsid w:val="00755361"/>
    <w:rsid w:val="00755484"/>
    <w:rsid w:val="0075625F"/>
    <w:rsid w:val="0075641E"/>
    <w:rsid w:val="0075649D"/>
    <w:rsid w:val="007572E9"/>
    <w:rsid w:val="00760267"/>
    <w:rsid w:val="007609E1"/>
    <w:rsid w:val="0076572C"/>
    <w:rsid w:val="007666E9"/>
    <w:rsid w:val="0076771E"/>
    <w:rsid w:val="007721E7"/>
    <w:rsid w:val="00775880"/>
    <w:rsid w:val="00775D13"/>
    <w:rsid w:val="0077665C"/>
    <w:rsid w:val="007768FB"/>
    <w:rsid w:val="00777E14"/>
    <w:rsid w:val="0078046E"/>
    <w:rsid w:val="00781BEA"/>
    <w:rsid w:val="00783D9A"/>
    <w:rsid w:val="007841D7"/>
    <w:rsid w:val="00784873"/>
    <w:rsid w:val="0078618D"/>
    <w:rsid w:val="00787660"/>
    <w:rsid w:val="00787F4B"/>
    <w:rsid w:val="0079120B"/>
    <w:rsid w:val="00791A00"/>
    <w:rsid w:val="007933D6"/>
    <w:rsid w:val="00793A51"/>
    <w:rsid w:val="00794F6D"/>
    <w:rsid w:val="007A0354"/>
    <w:rsid w:val="007A45C0"/>
    <w:rsid w:val="007A4B4D"/>
    <w:rsid w:val="007A5EDE"/>
    <w:rsid w:val="007A6629"/>
    <w:rsid w:val="007A68A8"/>
    <w:rsid w:val="007A776D"/>
    <w:rsid w:val="007B4F5A"/>
    <w:rsid w:val="007B5816"/>
    <w:rsid w:val="007B643D"/>
    <w:rsid w:val="007B74D7"/>
    <w:rsid w:val="007C031F"/>
    <w:rsid w:val="007C0398"/>
    <w:rsid w:val="007C04B4"/>
    <w:rsid w:val="007C1AD8"/>
    <w:rsid w:val="007C1EB3"/>
    <w:rsid w:val="007C2562"/>
    <w:rsid w:val="007C3850"/>
    <w:rsid w:val="007D020D"/>
    <w:rsid w:val="007D26F6"/>
    <w:rsid w:val="007D3EEC"/>
    <w:rsid w:val="007D4F55"/>
    <w:rsid w:val="007D5064"/>
    <w:rsid w:val="007D66D5"/>
    <w:rsid w:val="007E31EB"/>
    <w:rsid w:val="007E434F"/>
    <w:rsid w:val="007E5FF8"/>
    <w:rsid w:val="007E76C7"/>
    <w:rsid w:val="007E7E5E"/>
    <w:rsid w:val="007F442E"/>
    <w:rsid w:val="007F5F52"/>
    <w:rsid w:val="007F63FE"/>
    <w:rsid w:val="007F6467"/>
    <w:rsid w:val="007F6513"/>
    <w:rsid w:val="007F6B97"/>
    <w:rsid w:val="007F7239"/>
    <w:rsid w:val="007F7D32"/>
    <w:rsid w:val="008025DA"/>
    <w:rsid w:val="008026E2"/>
    <w:rsid w:val="00803563"/>
    <w:rsid w:val="00803D1D"/>
    <w:rsid w:val="008054A2"/>
    <w:rsid w:val="00810943"/>
    <w:rsid w:val="00811828"/>
    <w:rsid w:val="008122A8"/>
    <w:rsid w:val="00812419"/>
    <w:rsid w:val="00812C92"/>
    <w:rsid w:val="008140B5"/>
    <w:rsid w:val="0081436B"/>
    <w:rsid w:val="00814FAB"/>
    <w:rsid w:val="00815101"/>
    <w:rsid w:val="00816374"/>
    <w:rsid w:val="00822678"/>
    <w:rsid w:val="00823D69"/>
    <w:rsid w:val="008253CF"/>
    <w:rsid w:val="0082550D"/>
    <w:rsid w:val="00825F4C"/>
    <w:rsid w:val="00830F0E"/>
    <w:rsid w:val="00830FEA"/>
    <w:rsid w:val="00831D0B"/>
    <w:rsid w:val="00831FE8"/>
    <w:rsid w:val="0083237E"/>
    <w:rsid w:val="008334D9"/>
    <w:rsid w:val="008345DB"/>
    <w:rsid w:val="00835A00"/>
    <w:rsid w:val="008369CE"/>
    <w:rsid w:val="008374D8"/>
    <w:rsid w:val="008443E6"/>
    <w:rsid w:val="008447BA"/>
    <w:rsid w:val="008447D4"/>
    <w:rsid w:val="008457EC"/>
    <w:rsid w:val="00845B6E"/>
    <w:rsid w:val="008464F6"/>
    <w:rsid w:val="00846EAB"/>
    <w:rsid w:val="00847D40"/>
    <w:rsid w:val="00851BFB"/>
    <w:rsid w:val="00851D1E"/>
    <w:rsid w:val="008523AA"/>
    <w:rsid w:val="00853BCB"/>
    <w:rsid w:val="008579BD"/>
    <w:rsid w:val="00861362"/>
    <w:rsid w:val="00862D60"/>
    <w:rsid w:val="008631A1"/>
    <w:rsid w:val="008644E0"/>
    <w:rsid w:val="00864575"/>
    <w:rsid w:val="008652FB"/>
    <w:rsid w:val="00865C7E"/>
    <w:rsid w:val="00865EAF"/>
    <w:rsid w:val="0087131C"/>
    <w:rsid w:val="00871DD0"/>
    <w:rsid w:val="00872610"/>
    <w:rsid w:val="0087346B"/>
    <w:rsid w:val="00873956"/>
    <w:rsid w:val="00880707"/>
    <w:rsid w:val="00881E02"/>
    <w:rsid w:val="00881FC8"/>
    <w:rsid w:val="00883CE2"/>
    <w:rsid w:val="00884BE6"/>
    <w:rsid w:val="00886AFD"/>
    <w:rsid w:val="00887378"/>
    <w:rsid w:val="0088777C"/>
    <w:rsid w:val="00887C03"/>
    <w:rsid w:val="0089266F"/>
    <w:rsid w:val="0089451A"/>
    <w:rsid w:val="008959B0"/>
    <w:rsid w:val="00897D12"/>
    <w:rsid w:val="00897EBF"/>
    <w:rsid w:val="008A2E7E"/>
    <w:rsid w:val="008A3C6A"/>
    <w:rsid w:val="008A624B"/>
    <w:rsid w:val="008A6826"/>
    <w:rsid w:val="008A6ADF"/>
    <w:rsid w:val="008A73B7"/>
    <w:rsid w:val="008A74ED"/>
    <w:rsid w:val="008B3178"/>
    <w:rsid w:val="008B323B"/>
    <w:rsid w:val="008B3914"/>
    <w:rsid w:val="008B39F9"/>
    <w:rsid w:val="008B7470"/>
    <w:rsid w:val="008B7732"/>
    <w:rsid w:val="008B79C9"/>
    <w:rsid w:val="008B7DE6"/>
    <w:rsid w:val="008C0B3E"/>
    <w:rsid w:val="008C0BDD"/>
    <w:rsid w:val="008C12B4"/>
    <w:rsid w:val="008C2064"/>
    <w:rsid w:val="008C292A"/>
    <w:rsid w:val="008C29BC"/>
    <w:rsid w:val="008C3905"/>
    <w:rsid w:val="008C53CF"/>
    <w:rsid w:val="008C726A"/>
    <w:rsid w:val="008D2348"/>
    <w:rsid w:val="008D25CC"/>
    <w:rsid w:val="008D26E6"/>
    <w:rsid w:val="008D3983"/>
    <w:rsid w:val="008D4484"/>
    <w:rsid w:val="008D4B01"/>
    <w:rsid w:val="008D74CC"/>
    <w:rsid w:val="008E0327"/>
    <w:rsid w:val="008E072E"/>
    <w:rsid w:val="008E0EF8"/>
    <w:rsid w:val="008E2CFB"/>
    <w:rsid w:val="008E3646"/>
    <w:rsid w:val="008E771C"/>
    <w:rsid w:val="008E7844"/>
    <w:rsid w:val="008F0957"/>
    <w:rsid w:val="008F17ED"/>
    <w:rsid w:val="008F18E5"/>
    <w:rsid w:val="008F2093"/>
    <w:rsid w:val="008F211C"/>
    <w:rsid w:val="008F31BC"/>
    <w:rsid w:val="008F3589"/>
    <w:rsid w:val="008F3F41"/>
    <w:rsid w:val="008F403E"/>
    <w:rsid w:val="008F4891"/>
    <w:rsid w:val="008F4B0E"/>
    <w:rsid w:val="008F51AA"/>
    <w:rsid w:val="008F7F8B"/>
    <w:rsid w:val="0090130C"/>
    <w:rsid w:val="0090146D"/>
    <w:rsid w:val="009024E7"/>
    <w:rsid w:val="009028D4"/>
    <w:rsid w:val="009039B0"/>
    <w:rsid w:val="0090400D"/>
    <w:rsid w:val="009046BA"/>
    <w:rsid w:val="00904F7B"/>
    <w:rsid w:val="00910E62"/>
    <w:rsid w:val="00913DA4"/>
    <w:rsid w:val="0091570E"/>
    <w:rsid w:val="00916FBE"/>
    <w:rsid w:val="00917F1D"/>
    <w:rsid w:val="00922747"/>
    <w:rsid w:val="009255FF"/>
    <w:rsid w:val="00925D18"/>
    <w:rsid w:val="009260E1"/>
    <w:rsid w:val="00926FA2"/>
    <w:rsid w:val="00927336"/>
    <w:rsid w:val="00927731"/>
    <w:rsid w:val="00930919"/>
    <w:rsid w:val="00934B77"/>
    <w:rsid w:val="00934E4A"/>
    <w:rsid w:val="00935697"/>
    <w:rsid w:val="009371AF"/>
    <w:rsid w:val="00937EC9"/>
    <w:rsid w:val="009407F5"/>
    <w:rsid w:val="00943671"/>
    <w:rsid w:val="009439DA"/>
    <w:rsid w:val="00943E6E"/>
    <w:rsid w:val="00944D2A"/>
    <w:rsid w:val="00944FE4"/>
    <w:rsid w:val="0094782C"/>
    <w:rsid w:val="00947A0B"/>
    <w:rsid w:val="00951CE2"/>
    <w:rsid w:val="0095256E"/>
    <w:rsid w:val="00952DF5"/>
    <w:rsid w:val="00953732"/>
    <w:rsid w:val="00954181"/>
    <w:rsid w:val="00954BA5"/>
    <w:rsid w:val="00954CAE"/>
    <w:rsid w:val="00960906"/>
    <w:rsid w:val="009640D1"/>
    <w:rsid w:val="00966289"/>
    <w:rsid w:val="0097140D"/>
    <w:rsid w:val="00971F60"/>
    <w:rsid w:val="00973EF4"/>
    <w:rsid w:val="00973FCA"/>
    <w:rsid w:val="00974CC1"/>
    <w:rsid w:val="00975095"/>
    <w:rsid w:val="00980F5B"/>
    <w:rsid w:val="00981D06"/>
    <w:rsid w:val="00982C29"/>
    <w:rsid w:val="00982C77"/>
    <w:rsid w:val="00983EFF"/>
    <w:rsid w:val="00984449"/>
    <w:rsid w:val="00985A4F"/>
    <w:rsid w:val="0098706D"/>
    <w:rsid w:val="00991101"/>
    <w:rsid w:val="00993085"/>
    <w:rsid w:val="00997203"/>
    <w:rsid w:val="00997B79"/>
    <w:rsid w:val="00997B9B"/>
    <w:rsid w:val="009A1593"/>
    <w:rsid w:val="009A1D88"/>
    <w:rsid w:val="009A2593"/>
    <w:rsid w:val="009A2F5A"/>
    <w:rsid w:val="009A3322"/>
    <w:rsid w:val="009A4B9B"/>
    <w:rsid w:val="009A53B4"/>
    <w:rsid w:val="009A58B8"/>
    <w:rsid w:val="009A5BAA"/>
    <w:rsid w:val="009A606C"/>
    <w:rsid w:val="009B074A"/>
    <w:rsid w:val="009B0D9C"/>
    <w:rsid w:val="009B1152"/>
    <w:rsid w:val="009B2281"/>
    <w:rsid w:val="009B37D4"/>
    <w:rsid w:val="009B4775"/>
    <w:rsid w:val="009B70C2"/>
    <w:rsid w:val="009C0200"/>
    <w:rsid w:val="009C1921"/>
    <w:rsid w:val="009C2271"/>
    <w:rsid w:val="009C236F"/>
    <w:rsid w:val="009C31A0"/>
    <w:rsid w:val="009C3CA6"/>
    <w:rsid w:val="009C780F"/>
    <w:rsid w:val="009C7E5F"/>
    <w:rsid w:val="009D037F"/>
    <w:rsid w:val="009D05BE"/>
    <w:rsid w:val="009D0F8A"/>
    <w:rsid w:val="009D10CF"/>
    <w:rsid w:val="009D1D3E"/>
    <w:rsid w:val="009D2060"/>
    <w:rsid w:val="009D2145"/>
    <w:rsid w:val="009D5221"/>
    <w:rsid w:val="009D535A"/>
    <w:rsid w:val="009D6519"/>
    <w:rsid w:val="009E0241"/>
    <w:rsid w:val="009F0276"/>
    <w:rsid w:val="009F0FD0"/>
    <w:rsid w:val="009F0FED"/>
    <w:rsid w:val="009F21AA"/>
    <w:rsid w:val="009F2647"/>
    <w:rsid w:val="009F2AF6"/>
    <w:rsid w:val="009F3452"/>
    <w:rsid w:val="009F4523"/>
    <w:rsid w:val="00A012A6"/>
    <w:rsid w:val="00A02FCB"/>
    <w:rsid w:val="00A03A72"/>
    <w:rsid w:val="00A047B8"/>
    <w:rsid w:val="00A11B33"/>
    <w:rsid w:val="00A122F8"/>
    <w:rsid w:val="00A125D1"/>
    <w:rsid w:val="00A12F2D"/>
    <w:rsid w:val="00A14FFE"/>
    <w:rsid w:val="00A15D71"/>
    <w:rsid w:val="00A17E50"/>
    <w:rsid w:val="00A17E73"/>
    <w:rsid w:val="00A17F86"/>
    <w:rsid w:val="00A206B0"/>
    <w:rsid w:val="00A2170D"/>
    <w:rsid w:val="00A22E80"/>
    <w:rsid w:val="00A23C08"/>
    <w:rsid w:val="00A2461E"/>
    <w:rsid w:val="00A263AC"/>
    <w:rsid w:val="00A308ED"/>
    <w:rsid w:val="00A30974"/>
    <w:rsid w:val="00A31659"/>
    <w:rsid w:val="00A3265D"/>
    <w:rsid w:val="00A336E8"/>
    <w:rsid w:val="00A359A4"/>
    <w:rsid w:val="00A3789B"/>
    <w:rsid w:val="00A37F74"/>
    <w:rsid w:val="00A4353E"/>
    <w:rsid w:val="00A43863"/>
    <w:rsid w:val="00A466A8"/>
    <w:rsid w:val="00A50B29"/>
    <w:rsid w:val="00A520E5"/>
    <w:rsid w:val="00A5244B"/>
    <w:rsid w:val="00A52F7E"/>
    <w:rsid w:val="00A54B67"/>
    <w:rsid w:val="00A559C7"/>
    <w:rsid w:val="00A5605D"/>
    <w:rsid w:val="00A56380"/>
    <w:rsid w:val="00A57CF5"/>
    <w:rsid w:val="00A57E3E"/>
    <w:rsid w:val="00A60D5D"/>
    <w:rsid w:val="00A64C75"/>
    <w:rsid w:val="00A67D2B"/>
    <w:rsid w:val="00A70043"/>
    <w:rsid w:val="00A71880"/>
    <w:rsid w:val="00A71CEA"/>
    <w:rsid w:val="00A72D57"/>
    <w:rsid w:val="00A72FF5"/>
    <w:rsid w:val="00A730F3"/>
    <w:rsid w:val="00A7449B"/>
    <w:rsid w:val="00A74D70"/>
    <w:rsid w:val="00A75F05"/>
    <w:rsid w:val="00A80876"/>
    <w:rsid w:val="00A81CD9"/>
    <w:rsid w:val="00A8400B"/>
    <w:rsid w:val="00A86311"/>
    <w:rsid w:val="00A87DE7"/>
    <w:rsid w:val="00A90613"/>
    <w:rsid w:val="00A921FE"/>
    <w:rsid w:val="00A927F5"/>
    <w:rsid w:val="00A93A12"/>
    <w:rsid w:val="00A9604F"/>
    <w:rsid w:val="00A96CD7"/>
    <w:rsid w:val="00AA08B9"/>
    <w:rsid w:val="00AA4A0C"/>
    <w:rsid w:val="00AA4B0D"/>
    <w:rsid w:val="00AA673C"/>
    <w:rsid w:val="00AA73CE"/>
    <w:rsid w:val="00AB05B2"/>
    <w:rsid w:val="00AB2573"/>
    <w:rsid w:val="00AB2D08"/>
    <w:rsid w:val="00AB3F9F"/>
    <w:rsid w:val="00AB45CC"/>
    <w:rsid w:val="00AB5C4F"/>
    <w:rsid w:val="00AB64DE"/>
    <w:rsid w:val="00AB6D90"/>
    <w:rsid w:val="00AB6DF8"/>
    <w:rsid w:val="00AB7765"/>
    <w:rsid w:val="00AC3DAB"/>
    <w:rsid w:val="00AC41DA"/>
    <w:rsid w:val="00AC4291"/>
    <w:rsid w:val="00AC70EF"/>
    <w:rsid w:val="00AC7352"/>
    <w:rsid w:val="00AC74B4"/>
    <w:rsid w:val="00AC7E3F"/>
    <w:rsid w:val="00AD25DE"/>
    <w:rsid w:val="00AD2AF6"/>
    <w:rsid w:val="00AD2C3A"/>
    <w:rsid w:val="00AE0291"/>
    <w:rsid w:val="00AE05ED"/>
    <w:rsid w:val="00AE22CF"/>
    <w:rsid w:val="00AE26BC"/>
    <w:rsid w:val="00AE4FE5"/>
    <w:rsid w:val="00AE5D8C"/>
    <w:rsid w:val="00AE6030"/>
    <w:rsid w:val="00AE66F9"/>
    <w:rsid w:val="00AF07C7"/>
    <w:rsid w:val="00AF0FEC"/>
    <w:rsid w:val="00AF13F2"/>
    <w:rsid w:val="00AF3DEE"/>
    <w:rsid w:val="00AF40B9"/>
    <w:rsid w:val="00AF48A4"/>
    <w:rsid w:val="00AF77B1"/>
    <w:rsid w:val="00AF7B17"/>
    <w:rsid w:val="00B00141"/>
    <w:rsid w:val="00B00774"/>
    <w:rsid w:val="00B00E6E"/>
    <w:rsid w:val="00B01B54"/>
    <w:rsid w:val="00B02ECA"/>
    <w:rsid w:val="00B10A52"/>
    <w:rsid w:val="00B10EA6"/>
    <w:rsid w:val="00B11C82"/>
    <w:rsid w:val="00B12232"/>
    <w:rsid w:val="00B15776"/>
    <w:rsid w:val="00B172DD"/>
    <w:rsid w:val="00B21BC9"/>
    <w:rsid w:val="00B23402"/>
    <w:rsid w:val="00B23A0E"/>
    <w:rsid w:val="00B24978"/>
    <w:rsid w:val="00B259F2"/>
    <w:rsid w:val="00B27014"/>
    <w:rsid w:val="00B31C8D"/>
    <w:rsid w:val="00B34F4A"/>
    <w:rsid w:val="00B367B0"/>
    <w:rsid w:val="00B37586"/>
    <w:rsid w:val="00B37AE2"/>
    <w:rsid w:val="00B40436"/>
    <w:rsid w:val="00B43D69"/>
    <w:rsid w:val="00B44646"/>
    <w:rsid w:val="00B47984"/>
    <w:rsid w:val="00B51E38"/>
    <w:rsid w:val="00B5247F"/>
    <w:rsid w:val="00B52530"/>
    <w:rsid w:val="00B54FF6"/>
    <w:rsid w:val="00B57090"/>
    <w:rsid w:val="00B57789"/>
    <w:rsid w:val="00B57926"/>
    <w:rsid w:val="00B57FC4"/>
    <w:rsid w:val="00B6051F"/>
    <w:rsid w:val="00B60E55"/>
    <w:rsid w:val="00B621C7"/>
    <w:rsid w:val="00B62465"/>
    <w:rsid w:val="00B70677"/>
    <w:rsid w:val="00B715B9"/>
    <w:rsid w:val="00B7302E"/>
    <w:rsid w:val="00B74997"/>
    <w:rsid w:val="00B74AC4"/>
    <w:rsid w:val="00B754C6"/>
    <w:rsid w:val="00B770AB"/>
    <w:rsid w:val="00B80574"/>
    <w:rsid w:val="00B82C3F"/>
    <w:rsid w:val="00B8321D"/>
    <w:rsid w:val="00B84580"/>
    <w:rsid w:val="00B846D1"/>
    <w:rsid w:val="00B8756D"/>
    <w:rsid w:val="00B87E1C"/>
    <w:rsid w:val="00B913D5"/>
    <w:rsid w:val="00B9173C"/>
    <w:rsid w:val="00B95244"/>
    <w:rsid w:val="00B96AD5"/>
    <w:rsid w:val="00B96C7D"/>
    <w:rsid w:val="00BA076F"/>
    <w:rsid w:val="00BA16EC"/>
    <w:rsid w:val="00BA22D8"/>
    <w:rsid w:val="00BA4B1C"/>
    <w:rsid w:val="00BB1217"/>
    <w:rsid w:val="00BB2A8F"/>
    <w:rsid w:val="00BB4558"/>
    <w:rsid w:val="00BB495B"/>
    <w:rsid w:val="00BB4FE4"/>
    <w:rsid w:val="00BB764B"/>
    <w:rsid w:val="00BB7FA8"/>
    <w:rsid w:val="00BC00F0"/>
    <w:rsid w:val="00BC0483"/>
    <w:rsid w:val="00BC42AC"/>
    <w:rsid w:val="00BC5D38"/>
    <w:rsid w:val="00BC5F0C"/>
    <w:rsid w:val="00BC648B"/>
    <w:rsid w:val="00BC7F16"/>
    <w:rsid w:val="00BD2118"/>
    <w:rsid w:val="00BD5FE1"/>
    <w:rsid w:val="00BD603E"/>
    <w:rsid w:val="00BD68FF"/>
    <w:rsid w:val="00BE1386"/>
    <w:rsid w:val="00BE1FA4"/>
    <w:rsid w:val="00BE2658"/>
    <w:rsid w:val="00BE3DCD"/>
    <w:rsid w:val="00BE3DE7"/>
    <w:rsid w:val="00BE5E16"/>
    <w:rsid w:val="00BF2FAA"/>
    <w:rsid w:val="00BF363E"/>
    <w:rsid w:val="00BF4077"/>
    <w:rsid w:val="00BF5764"/>
    <w:rsid w:val="00BF6C0F"/>
    <w:rsid w:val="00BF771C"/>
    <w:rsid w:val="00C0410A"/>
    <w:rsid w:val="00C0711E"/>
    <w:rsid w:val="00C107B8"/>
    <w:rsid w:val="00C121E8"/>
    <w:rsid w:val="00C13C07"/>
    <w:rsid w:val="00C16648"/>
    <w:rsid w:val="00C1779B"/>
    <w:rsid w:val="00C2152E"/>
    <w:rsid w:val="00C216A8"/>
    <w:rsid w:val="00C2189F"/>
    <w:rsid w:val="00C21903"/>
    <w:rsid w:val="00C21B88"/>
    <w:rsid w:val="00C22693"/>
    <w:rsid w:val="00C241DC"/>
    <w:rsid w:val="00C2456E"/>
    <w:rsid w:val="00C25467"/>
    <w:rsid w:val="00C257AC"/>
    <w:rsid w:val="00C25A5B"/>
    <w:rsid w:val="00C265E6"/>
    <w:rsid w:val="00C2707B"/>
    <w:rsid w:val="00C30A31"/>
    <w:rsid w:val="00C31E21"/>
    <w:rsid w:val="00C33395"/>
    <w:rsid w:val="00C341A5"/>
    <w:rsid w:val="00C36284"/>
    <w:rsid w:val="00C36E10"/>
    <w:rsid w:val="00C4132F"/>
    <w:rsid w:val="00C420B8"/>
    <w:rsid w:val="00C443FE"/>
    <w:rsid w:val="00C44921"/>
    <w:rsid w:val="00C45248"/>
    <w:rsid w:val="00C479D4"/>
    <w:rsid w:val="00C50C79"/>
    <w:rsid w:val="00C51303"/>
    <w:rsid w:val="00C52A3F"/>
    <w:rsid w:val="00C52D8B"/>
    <w:rsid w:val="00C55B5F"/>
    <w:rsid w:val="00C56E46"/>
    <w:rsid w:val="00C57137"/>
    <w:rsid w:val="00C62E4D"/>
    <w:rsid w:val="00C64C9B"/>
    <w:rsid w:val="00C67C6C"/>
    <w:rsid w:val="00C7014F"/>
    <w:rsid w:val="00C70B8E"/>
    <w:rsid w:val="00C72404"/>
    <w:rsid w:val="00C76186"/>
    <w:rsid w:val="00C76770"/>
    <w:rsid w:val="00C77F2A"/>
    <w:rsid w:val="00C8063B"/>
    <w:rsid w:val="00C809F7"/>
    <w:rsid w:val="00C82679"/>
    <w:rsid w:val="00C8327E"/>
    <w:rsid w:val="00C8445A"/>
    <w:rsid w:val="00C84885"/>
    <w:rsid w:val="00C84E52"/>
    <w:rsid w:val="00C84ED9"/>
    <w:rsid w:val="00C8697C"/>
    <w:rsid w:val="00C873DF"/>
    <w:rsid w:val="00C918ED"/>
    <w:rsid w:val="00C91DA2"/>
    <w:rsid w:val="00C92592"/>
    <w:rsid w:val="00C92ABE"/>
    <w:rsid w:val="00C92B57"/>
    <w:rsid w:val="00C9352E"/>
    <w:rsid w:val="00C938FB"/>
    <w:rsid w:val="00C94C4A"/>
    <w:rsid w:val="00C96AFC"/>
    <w:rsid w:val="00C97328"/>
    <w:rsid w:val="00C979A3"/>
    <w:rsid w:val="00CA68D5"/>
    <w:rsid w:val="00CA6F23"/>
    <w:rsid w:val="00CB0291"/>
    <w:rsid w:val="00CB1FD9"/>
    <w:rsid w:val="00CB2373"/>
    <w:rsid w:val="00CB3D57"/>
    <w:rsid w:val="00CB516D"/>
    <w:rsid w:val="00CB6F4E"/>
    <w:rsid w:val="00CC007E"/>
    <w:rsid w:val="00CC0529"/>
    <w:rsid w:val="00CC4192"/>
    <w:rsid w:val="00CC7E64"/>
    <w:rsid w:val="00CD089A"/>
    <w:rsid w:val="00CD094F"/>
    <w:rsid w:val="00CD1285"/>
    <w:rsid w:val="00CD1301"/>
    <w:rsid w:val="00CD2B86"/>
    <w:rsid w:val="00CD4FE7"/>
    <w:rsid w:val="00CD7265"/>
    <w:rsid w:val="00CD7A21"/>
    <w:rsid w:val="00CE2F3B"/>
    <w:rsid w:val="00CF098D"/>
    <w:rsid w:val="00CF12D5"/>
    <w:rsid w:val="00CF346F"/>
    <w:rsid w:val="00CF7420"/>
    <w:rsid w:val="00D00701"/>
    <w:rsid w:val="00D00F53"/>
    <w:rsid w:val="00D01FC2"/>
    <w:rsid w:val="00D02A75"/>
    <w:rsid w:val="00D02BC5"/>
    <w:rsid w:val="00D03BF5"/>
    <w:rsid w:val="00D03CC0"/>
    <w:rsid w:val="00D1002D"/>
    <w:rsid w:val="00D11036"/>
    <w:rsid w:val="00D118C2"/>
    <w:rsid w:val="00D12044"/>
    <w:rsid w:val="00D13184"/>
    <w:rsid w:val="00D14207"/>
    <w:rsid w:val="00D145ED"/>
    <w:rsid w:val="00D15AE9"/>
    <w:rsid w:val="00D17293"/>
    <w:rsid w:val="00D2415D"/>
    <w:rsid w:val="00D24525"/>
    <w:rsid w:val="00D24606"/>
    <w:rsid w:val="00D25813"/>
    <w:rsid w:val="00D308E7"/>
    <w:rsid w:val="00D31CF5"/>
    <w:rsid w:val="00D33401"/>
    <w:rsid w:val="00D341C6"/>
    <w:rsid w:val="00D34E03"/>
    <w:rsid w:val="00D352CB"/>
    <w:rsid w:val="00D3548F"/>
    <w:rsid w:val="00D35ADA"/>
    <w:rsid w:val="00D373A5"/>
    <w:rsid w:val="00D4030A"/>
    <w:rsid w:val="00D41D63"/>
    <w:rsid w:val="00D428BB"/>
    <w:rsid w:val="00D46FE7"/>
    <w:rsid w:val="00D47AE3"/>
    <w:rsid w:val="00D507B8"/>
    <w:rsid w:val="00D50DC4"/>
    <w:rsid w:val="00D50DFC"/>
    <w:rsid w:val="00D517A9"/>
    <w:rsid w:val="00D524E8"/>
    <w:rsid w:val="00D533A9"/>
    <w:rsid w:val="00D551DF"/>
    <w:rsid w:val="00D55BEF"/>
    <w:rsid w:val="00D63634"/>
    <w:rsid w:val="00D63DCB"/>
    <w:rsid w:val="00D63F68"/>
    <w:rsid w:val="00D641AD"/>
    <w:rsid w:val="00D64F78"/>
    <w:rsid w:val="00D64FF7"/>
    <w:rsid w:val="00D6570C"/>
    <w:rsid w:val="00D658E7"/>
    <w:rsid w:val="00D665B6"/>
    <w:rsid w:val="00D66666"/>
    <w:rsid w:val="00D67669"/>
    <w:rsid w:val="00D67C8E"/>
    <w:rsid w:val="00D705BE"/>
    <w:rsid w:val="00D7138D"/>
    <w:rsid w:val="00D715A6"/>
    <w:rsid w:val="00D71BD4"/>
    <w:rsid w:val="00D72FC3"/>
    <w:rsid w:val="00D73E1C"/>
    <w:rsid w:val="00D74B23"/>
    <w:rsid w:val="00D74F6A"/>
    <w:rsid w:val="00D75C4D"/>
    <w:rsid w:val="00D75E78"/>
    <w:rsid w:val="00D765F9"/>
    <w:rsid w:val="00D76D0F"/>
    <w:rsid w:val="00D809C0"/>
    <w:rsid w:val="00D80D42"/>
    <w:rsid w:val="00D81A75"/>
    <w:rsid w:val="00D8311E"/>
    <w:rsid w:val="00D8371B"/>
    <w:rsid w:val="00D843D6"/>
    <w:rsid w:val="00D8767B"/>
    <w:rsid w:val="00D92489"/>
    <w:rsid w:val="00D93145"/>
    <w:rsid w:val="00D953C6"/>
    <w:rsid w:val="00D95C76"/>
    <w:rsid w:val="00D96FBB"/>
    <w:rsid w:val="00DA0028"/>
    <w:rsid w:val="00DA11D3"/>
    <w:rsid w:val="00DA2E8F"/>
    <w:rsid w:val="00DA425F"/>
    <w:rsid w:val="00DA4F1C"/>
    <w:rsid w:val="00DA4F61"/>
    <w:rsid w:val="00DA582D"/>
    <w:rsid w:val="00DA5B29"/>
    <w:rsid w:val="00DA6B8B"/>
    <w:rsid w:val="00DB542B"/>
    <w:rsid w:val="00DB6D56"/>
    <w:rsid w:val="00DB781C"/>
    <w:rsid w:val="00DC1E82"/>
    <w:rsid w:val="00DC21DD"/>
    <w:rsid w:val="00DC22AF"/>
    <w:rsid w:val="00DC253D"/>
    <w:rsid w:val="00DC2713"/>
    <w:rsid w:val="00DC2F85"/>
    <w:rsid w:val="00DC552A"/>
    <w:rsid w:val="00DC63FF"/>
    <w:rsid w:val="00DC6C76"/>
    <w:rsid w:val="00DC7E5D"/>
    <w:rsid w:val="00DD3C7A"/>
    <w:rsid w:val="00DD419A"/>
    <w:rsid w:val="00DD5922"/>
    <w:rsid w:val="00DD5BC9"/>
    <w:rsid w:val="00DD6488"/>
    <w:rsid w:val="00DD69DB"/>
    <w:rsid w:val="00DD6B8B"/>
    <w:rsid w:val="00DE0986"/>
    <w:rsid w:val="00DE0EC4"/>
    <w:rsid w:val="00DE2DF4"/>
    <w:rsid w:val="00DE3575"/>
    <w:rsid w:val="00DE5ECC"/>
    <w:rsid w:val="00DE6BC0"/>
    <w:rsid w:val="00DF16C7"/>
    <w:rsid w:val="00DF2748"/>
    <w:rsid w:val="00DF370D"/>
    <w:rsid w:val="00DF3FBE"/>
    <w:rsid w:val="00DF4FF2"/>
    <w:rsid w:val="00DF52B9"/>
    <w:rsid w:val="00DF7228"/>
    <w:rsid w:val="00E0046A"/>
    <w:rsid w:val="00E01F29"/>
    <w:rsid w:val="00E023AD"/>
    <w:rsid w:val="00E024DA"/>
    <w:rsid w:val="00E028FF"/>
    <w:rsid w:val="00E02A3D"/>
    <w:rsid w:val="00E02C8E"/>
    <w:rsid w:val="00E058F1"/>
    <w:rsid w:val="00E06EA3"/>
    <w:rsid w:val="00E06EC8"/>
    <w:rsid w:val="00E10395"/>
    <w:rsid w:val="00E12A07"/>
    <w:rsid w:val="00E131B1"/>
    <w:rsid w:val="00E132E0"/>
    <w:rsid w:val="00E148CD"/>
    <w:rsid w:val="00E174E4"/>
    <w:rsid w:val="00E21CAC"/>
    <w:rsid w:val="00E220AF"/>
    <w:rsid w:val="00E23AAC"/>
    <w:rsid w:val="00E24D2B"/>
    <w:rsid w:val="00E24E53"/>
    <w:rsid w:val="00E25889"/>
    <w:rsid w:val="00E25EDC"/>
    <w:rsid w:val="00E27116"/>
    <w:rsid w:val="00E2779D"/>
    <w:rsid w:val="00E311F7"/>
    <w:rsid w:val="00E31F32"/>
    <w:rsid w:val="00E31FD2"/>
    <w:rsid w:val="00E329CC"/>
    <w:rsid w:val="00E32AAD"/>
    <w:rsid w:val="00E36355"/>
    <w:rsid w:val="00E36414"/>
    <w:rsid w:val="00E41A1B"/>
    <w:rsid w:val="00E43429"/>
    <w:rsid w:val="00E441BB"/>
    <w:rsid w:val="00E463B9"/>
    <w:rsid w:val="00E469EB"/>
    <w:rsid w:val="00E47448"/>
    <w:rsid w:val="00E50978"/>
    <w:rsid w:val="00E51FFD"/>
    <w:rsid w:val="00E53C58"/>
    <w:rsid w:val="00E57EB5"/>
    <w:rsid w:val="00E57EB7"/>
    <w:rsid w:val="00E62926"/>
    <w:rsid w:val="00E63CEC"/>
    <w:rsid w:val="00E6506F"/>
    <w:rsid w:val="00E66FD5"/>
    <w:rsid w:val="00E6737A"/>
    <w:rsid w:val="00E67545"/>
    <w:rsid w:val="00E7146B"/>
    <w:rsid w:val="00E7271C"/>
    <w:rsid w:val="00E753F7"/>
    <w:rsid w:val="00E755FE"/>
    <w:rsid w:val="00E7613D"/>
    <w:rsid w:val="00E7690B"/>
    <w:rsid w:val="00E76F1B"/>
    <w:rsid w:val="00E7711C"/>
    <w:rsid w:val="00E80717"/>
    <w:rsid w:val="00E8179A"/>
    <w:rsid w:val="00E8237A"/>
    <w:rsid w:val="00E82AE0"/>
    <w:rsid w:val="00E83C81"/>
    <w:rsid w:val="00E879E8"/>
    <w:rsid w:val="00E87CC0"/>
    <w:rsid w:val="00E905AC"/>
    <w:rsid w:val="00E913D5"/>
    <w:rsid w:val="00E93AC3"/>
    <w:rsid w:val="00E954AE"/>
    <w:rsid w:val="00E956C3"/>
    <w:rsid w:val="00EA0613"/>
    <w:rsid w:val="00EA18F2"/>
    <w:rsid w:val="00EA371D"/>
    <w:rsid w:val="00EA3F9F"/>
    <w:rsid w:val="00EA4416"/>
    <w:rsid w:val="00EA5999"/>
    <w:rsid w:val="00EA7594"/>
    <w:rsid w:val="00EB0538"/>
    <w:rsid w:val="00EB2348"/>
    <w:rsid w:val="00EB6B51"/>
    <w:rsid w:val="00EC1DC3"/>
    <w:rsid w:val="00EC2D71"/>
    <w:rsid w:val="00EC4615"/>
    <w:rsid w:val="00EC4C3C"/>
    <w:rsid w:val="00EC4D9C"/>
    <w:rsid w:val="00ED5A77"/>
    <w:rsid w:val="00EE1252"/>
    <w:rsid w:val="00EE2805"/>
    <w:rsid w:val="00EE4138"/>
    <w:rsid w:val="00EE48A9"/>
    <w:rsid w:val="00EE6373"/>
    <w:rsid w:val="00EE6F26"/>
    <w:rsid w:val="00EF0C3F"/>
    <w:rsid w:val="00EF0E6C"/>
    <w:rsid w:val="00EF4BC3"/>
    <w:rsid w:val="00EF66D4"/>
    <w:rsid w:val="00EF6D8A"/>
    <w:rsid w:val="00EF7953"/>
    <w:rsid w:val="00F00C68"/>
    <w:rsid w:val="00F02DDB"/>
    <w:rsid w:val="00F039D8"/>
    <w:rsid w:val="00F03F31"/>
    <w:rsid w:val="00F0529B"/>
    <w:rsid w:val="00F05928"/>
    <w:rsid w:val="00F12A27"/>
    <w:rsid w:val="00F133C7"/>
    <w:rsid w:val="00F1451C"/>
    <w:rsid w:val="00F15019"/>
    <w:rsid w:val="00F15FD2"/>
    <w:rsid w:val="00F20ECF"/>
    <w:rsid w:val="00F21EA4"/>
    <w:rsid w:val="00F22248"/>
    <w:rsid w:val="00F22AE8"/>
    <w:rsid w:val="00F22F58"/>
    <w:rsid w:val="00F22FBA"/>
    <w:rsid w:val="00F2662A"/>
    <w:rsid w:val="00F307CD"/>
    <w:rsid w:val="00F307E5"/>
    <w:rsid w:val="00F31262"/>
    <w:rsid w:val="00F3172D"/>
    <w:rsid w:val="00F33EFD"/>
    <w:rsid w:val="00F35472"/>
    <w:rsid w:val="00F3636E"/>
    <w:rsid w:val="00F4036E"/>
    <w:rsid w:val="00F41534"/>
    <w:rsid w:val="00F50A01"/>
    <w:rsid w:val="00F50EE0"/>
    <w:rsid w:val="00F50FC6"/>
    <w:rsid w:val="00F511CA"/>
    <w:rsid w:val="00F51817"/>
    <w:rsid w:val="00F51F80"/>
    <w:rsid w:val="00F53160"/>
    <w:rsid w:val="00F53719"/>
    <w:rsid w:val="00F56F85"/>
    <w:rsid w:val="00F600A2"/>
    <w:rsid w:val="00F61CBE"/>
    <w:rsid w:val="00F62D8F"/>
    <w:rsid w:val="00F63D65"/>
    <w:rsid w:val="00F705CC"/>
    <w:rsid w:val="00F707FC"/>
    <w:rsid w:val="00F70FC6"/>
    <w:rsid w:val="00F75B36"/>
    <w:rsid w:val="00F76C24"/>
    <w:rsid w:val="00F76DCB"/>
    <w:rsid w:val="00F77D79"/>
    <w:rsid w:val="00F77F44"/>
    <w:rsid w:val="00F80E16"/>
    <w:rsid w:val="00F81EE2"/>
    <w:rsid w:val="00F828C6"/>
    <w:rsid w:val="00F838AE"/>
    <w:rsid w:val="00F86C60"/>
    <w:rsid w:val="00FA1BBD"/>
    <w:rsid w:val="00FA28C4"/>
    <w:rsid w:val="00FA2E3C"/>
    <w:rsid w:val="00FA3DD0"/>
    <w:rsid w:val="00FA43B7"/>
    <w:rsid w:val="00FA7A4D"/>
    <w:rsid w:val="00FB1394"/>
    <w:rsid w:val="00FB17FB"/>
    <w:rsid w:val="00FB1FA4"/>
    <w:rsid w:val="00FB5E19"/>
    <w:rsid w:val="00FC5BD8"/>
    <w:rsid w:val="00FC7A2F"/>
    <w:rsid w:val="00FD075B"/>
    <w:rsid w:val="00FD1C4D"/>
    <w:rsid w:val="00FD3E36"/>
    <w:rsid w:val="00FD4AB0"/>
    <w:rsid w:val="00FD4ABA"/>
    <w:rsid w:val="00FD4FB7"/>
    <w:rsid w:val="00FD5063"/>
    <w:rsid w:val="00FD7B30"/>
    <w:rsid w:val="00FE1E35"/>
    <w:rsid w:val="00FE263C"/>
    <w:rsid w:val="00FE26A2"/>
    <w:rsid w:val="00FE3ED9"/>
    <w:rsid w:val="00FE47F8"/>
    <w:rsid w:val="00FE48D1"/>
    <w:rsid w:val="00FE500E"/>
    <w:rsid w:val="00FF3BFE"/>
    <w:rsid w:val="00FF49AD"/>
    <w:rsid w:val="00FF63F4"/>
    <w:rsid w:val="00FF6551"/>
    <w:rsid w:val="00FF6AD3"/>
    <w:rsid w:val="00FF6BD3"/>
    <w:rsid w:val="010B11D3"/>
    <w:rsid w:val="019C0FF1"/>
    <w:rsid w:val="01D82CC4"/>
    <w:rsid w:val="01E005CD"/>
    <w:rsid w:val="024E68F9"/>
    <w:rsid w:val="025657AD"/>
    <w:rsid w:val="0267707D"/>
    <w:rsid w:val="027D4F23"/>
    <w:rsid w:val="02D526C4"/>
    <w:rsid w:val="030B388D"/>
    <w:rsid w:val="03847E01"/>
    <w:rsid w:val="040C22A8"/>
    <w:rsid w:val="0475638A"/>
    <w:rsid w:val="04D02B00"/>
    <w:rsid w:val="04D855D4"/>
    <w:rsid w:val="056C7424"/>
    <w:rsid w:val="062F7E62"/>
    <w:rsid w:val="06565833"/>
    <w:rsid w:val="0739271F"/>
    <w:rsid w:val="075F1E8B"/>
    <w:rsid w:val="07E11084"/>
    <w:rsid w:val="08297BEC"/>
    <w:rsid w:val="08442237"/>
    <w:rsid w:val="085C6E7F"/>
    <w:rsid w:val="094F0C04"/>
    <w:rsid w:val="0986298C"/>
    <w:rsid w:val="0999523A"/>
    <w:rsid w:val="09FC4E8C"/>
    <w:rsid w:val="0A6F565E"/>
    <w:rsid w:val="0AED0450"/>
    <w:rsid w:val="0B293767"/>
    <w:rsid w:val="0B57301C"/>
    <w:rsid w:val="0BB6080B"/>
    <w:rsid w:val="0BFD08EE"/>
    <w:rsid w:val="0BFF3B79"/>
    <w:rsid w:val="0C5D0C7D"/>
    <w:rsid w:val="0C9E7BC0"/>
    <w:rsid w:val="0D532C44"/>
    <w:rsid w:val="0D621EF5"/>
    <w:rsid w:val="0D7C110B"/>
    <w:rsid w:val="0DFD2082"/>
    <w:rsid w:val="0E345A4C"/>
    <w:rsid w:val="0EB3626A"/>
    <w:rsid w:val="0F944ED5"/>
    <w:rsid w:val="1066305F"/>
    <w:rsid w:val="108C058F"/>
    <w:rsid w:val="10C02CE5"/>
    <w:rsid w:val="11AA463D"/>
    <w:rsid w:val="12254CFC"/>
    <w:rsid w:val="1251201C"/>
    <w:rsid w:val="12794814"/>
    <w:rsid w:val="127C38A6"/>
    <w:rsid w:val="129C5C74"/>
    <w:rsid w:val="12B77B56"/>
    <w:rsid w:val="12C0114D"/>
    <w:rsid w:val="130A770E"/>
    <w:rsid w:val="134F24D1"/>
    <w:rsid w:val="1364301F"/>
    <w:rsid w:val="13740A0D"/>
    <w:rsid w:val="13D75DF6"/>
    <w:rsid w:val="14AD6408"/>
    <w:rsid w:val="14DB2BCD"/>
    <w:rsid w:val="152B6F63"/>
    <w:rsid w:val="15745D0F"/>
    <w:rsid w:val="157D5CA5"/>
    <w:rsid w:val="15D74B6F"/>
    <w:rsid w:val="15E30B8F"/>
    <w:rsid w:val="15F31839"/>
    <w:rsid w:val="168D6551"/>
    <w:rsid w:val="16B502AA"/>
    <w:rsid w:val="16DD4CBF"/>
    <w:rsid w:val="170035C9"/>
    <w:rsid w:val="17126B97"/>
    <w:rsid w:val="173E25C5"/>
    <w:rsid w:val="176D6FC6"/>
    <w:rsid w:val="17992F94"/>
    <w:rsid w:val="17A7232C"/>
    <w:rsid w:val="17C52D61"/>
    <w:rsid w:val="17DD360F"/>
    <w:rsid w:val="17F96F71"/>
    <w:rsid w:val="180B680D"/>
    <w:rsid w:val="18180413"/>
    <w:rsid w:val="18AC64AD"/>
    <w:rsid w:val="19353F17"/>
    <w:rsid w:val="19537A57"/>
    <w:rsid w:val="19FC0591"/>
    <w:rsid w:val="1A382DB7"/>
    <w:rsid w:val="1A4408B5"/>
    <w:rsid w:val="1B256297"/>
    <w:rsid w:val="1B4F17DB"/>
    <w:rsid w:val="1B8F0338"/>
    <w:rsid w:val="1C224C26"/>
    <w:rsid w:val="1C8C0B49"/>
    <w:rsid w:val="1CC664F3"/>
    <w:rsid w:val="1CDF602F"/>
    <w:rsid w:val="1CF917A7"/>
    <w:rsid w:val="1CFD3156"/>
    <w:rsid w:val="1D7E5BAC"/>
    <w:rsid w:val="1DAD693B"/>
    <w:rsid w:val="1DB31A87"/>
    <w:rsid w:val="1E342977"/>
    <w:rsid w:val="1E8063E6"/>
    <w:rsid w:val="1E897EB4"/>
    <w:rsid w:val="1EC30732"/>
    <w:rsid w:val="1EFA509E"/>
    <w:rsid w:val="1F955D08"/>
    <w:rsid w:val="1FB42563"/>
    <w:rsid w:val="1FB7220A"/>
    <w:rsid w:val="1FBF0FF0"/>
    <w:rsid w:val="20A25CDF"/>
    <w:rsid w:val="223B3EEA"/>
    <w:rsid w:val="226338A3"/>
    <w:rsid w:val="226F7C8D"/>
    <w:rsid w:val="22AD16D9"/>
    <w:rsid w:val="22C32616"/>
    <w:rsid w:val="22DC521E"/>
    <w:rsid w:val="238D775D"/>
    <w:rsid w:val="23970AF1"/>
    <w:rsid w:val="23A3264F"/>
    <w:rsid w:val="23E1011C"/>
    <w:rsid w:val="2458490B"/>
    <w:rsid w:val="245E2574"/>
    <w:rsid w:val="246D72C9"/>
    <w:rsid w:val="24927D70"/>
    <w:rsid w:val="24B30B11"/>
    <w:rsid w:val="24C26F7B"/>
    <w:rsid w:val="24C75E0E"/>
    <w:rsid w:val="24FE2E45"/>
    <w:rsid w:val="255319AC"/>
    <w:rsid w:val="25CB1E8B"/>
    <w:rsid w:val="260F0289"/>
    <w:rsid w:val="26633E71"/>
    <w:rsid w:val="268A0EDE"/>
    <w:rsid w:val="26C96D06"/>
    <w:rsid w:val="26F05D70"/>
    <w:rsid w:val="26F44B0E"/>
    <w:rsid w:val="27102ED4"/>
    <w:rsid w:val="271E7242"/>
    <w:rsid w:val="27616FE8"/>
    <w:rsid w:val="279D07C3"/>
    <w:rsid w:val="27B362AB"/>
    <w:rsid w:val="27ED736F"/>
    <w:rsid w:val="28033B5E"/>
    <w:rsid w:val="284A40DE"/>
    <w:rsid w:val="28AB23FE"/>
    <w:rsid w:val="29502AF7"/>
    <w:rsid w:val="2A0F7F3F"/>
    <w:rsid w:val="2A4C35E7"/>
    <w:rsid w:val="2AA05003"/>
    <w:rsid w:val="2BBC2AA0"/>
    <w:rsid w:val="2C4836E6"/>
    <w:rsid w:val="2CCB4C25"/>
    <w:rsid w:val="2CEC6B9E"/>
    <w:rsid w:val="2CEE243A"/>
    <w:rsid w:val="2D057796"/>
    <w:rsid w:val="2D8E7B1A"/>
    <w:rsid w:val="2E276D6E"/>
    <w:rsid w:val="2E2C3D21"/>
    <w:rsid w:val="2E461C41"/>
    <w:rsid w:val="2E6469D8"/>
    <w:rsid w:val="2E7532AE"/>
    <w:rsid w:val="2EF2593B"/>
    <w:rsid w:val="2FAD7C24"/>
    <w:rsid w:val="2FC260AC"/>
    <w:rsid w:val="2FC31066"/>
    <w:rsid w:val="302E5F76"/>
    <w:rsid w:val="303139E4"/>
    <w:rsid w:val="30B35590"/>
    <w:rsid w:val="30D77936"/>
    <w:rsid w:val="319C34C1"/>
    <w:rsid w:val="31E52DA7"/>
    <w:rsid w:val="32DD2A54"/>
    <w:rsid w:val="336A0030"/>
    <w:rsid w:val="349A525F"/>
    <w:rsid w:val="34BC4314"/>
    <w:rsid w:val="34DE4287"/>
    <w:rsid w:val="35226463"/>
    <w:rsid w:val="354E2190"/>
    <w:rsid w:val="355621B7"/>
    <w:rsid w:val="363052A3"/>
    <w:rsid w:val="36426689"/>
    <w:rsid w:val="364F6C53"/>
    <w:rsid w:val="36581519"/>
    <w:rsid w:val="36DB0D8A"/>
    <w:rsid w:val="37644924"/>
    <w:rsid w:val="382320EE"/>
    <w:rsid w:val="3866365A"/>
    <w:rsid w:val="387B329C"/>
    <w:rsid w:val="38AC25A9"/>
    <w:rsid w:val="38D806EF"/>
    <w:rsid w:val="39737207"/>
    <w:rsid w:val="398F5EA6"/>
    <w:rsid w:val="39DE69BF"/>
    <w:rsid w:val="3A725DEC"/>
    <w:rsid w:val="3A830B2E"/>
    <w:rsid w:val="3D902FEA"/>
    <w:rsid w:val="3DB0744F"/>
    <w:rsid w:val="3DE11DF4"/>
    <w:rsid w:val="3DFD4754"/>
    <w:rsid w:val="3E074DA9"/>
    <w:rsid w:val="3EFB6EE5"/>
    <w:rsid w:val="3F012022"/>
    <w:rsid w:val="3F087854"/>
    <w:rsid w:val="3F862CC7"/>
    <w:rsid w:val="3FD82A71"/>
    <w:rsid w:val="4070745F"/>
    <w:rsid w:val="4093731B"/>
    <w:rsid w:val="40B14030"/>
    <w:rsid w:val="41510AA7"/>
    <w:rsid w:val="41946CC7"/>
    <w:rsid w:val="41E656E5"/>
    <w:rsid w:val="42D71A17"/>
    <w:rsid w:val="431E3A9E"/>
    <w:rsid w:val="442A77E5"/>
    <w:rsid w:val="44DF1057"/>
    <w:rsid w:val="45753959"/>
    <w:rsid w:val="459A14E0"/>
    <w:rsid w:val="462A65A2"/>
    <w:rsid w:val="463E1211"/>
    <w:rsid w:val="46550474"/>
    <w:rsid w:val="465B51F3"/>
    <w:rsid w:val="466753B0"/>
    <w:rsid w:val="46F838A8"/>
    <w:rsid w:val="47546A21"/>
    <w:rsid w:val="47F768EB"/>
    <w:rsid w:val="488E7E21"/>
    <w:rsid w:val="48E374F8"/>
    <w:rsid w:val="48EA36F6"/>
    <w:rsid w:val="493106C1"/>
    <w:rsid w:val="49DE18DD"/>
    <w:rsid w:val="49DE6D23"/>
    <w:rsid w:val="4A0516E8"/>
    <w:rsid w:val="4A0C375F"/>
    <w:rsid w:val="4ABB5B1E"/>
    <w:rsid w:val="4B49547C"/>
    <w:rsid w:val="4BDA3DAA"/>
    <w:rsid w:val="4C4D381C"/>
    <w:rsid w:val="4CC2657E"/>
    <w:rsid w:val="4CCC3C6F"/>
    <w:rsid w:val="4D7E3ACD"/>
    <w:rsid w:val="4D99279A"/>
    <w:rsid w:val="4E320092"/>
    <w:rsid w:val="4EA223CA"/>
    <w:rsid w:val="4EEE6F85"/>
    <w:rsid w:val="4F0C0C9A"/>
    <w:rsid w:val="4F651131"/>
    <w:rsid w:val="4FDB243F"/>
    <w:rsid w:val="508F7316"/>
    <w:rsid w:val="50A22688"/>
    <w:rsid w:val="511907D8"/>
    <w:rsid w:val="511F77A0"/>
    <w:rsid w:val="514C4DA2"/>
    <w:rsid w:val="516A1CA8"/>
    <w:rsid w:val="517B4C5C"/>
    <w:rsid w:val="519F390E"/>
    <w:rsid w:val="51DC39EF"/>
    <w:rsid w:val="520619D1"/>
    <w:rsid w:val="52110A39"/>
    <w:rsid w:val="5239053E"/>
    <w:rsid w:val="523C0560"/>
    <w:rsid w:val="526B22C9"/>
    <w:rsid w:val="5273460B"/>
    <w:rsid w:val="52DC2EE9"/>
    <w:rsid w:val="531D273D"/>
    <w:rsid w:val="536C4496"/>
    <w:rsid w:val="53F1045F"/>
    <w:rsid w:val="54004D75"/>
    <w:rsid w:val="54400B16"/>
    <w:rsid w:val="54B51D52"/>
    <w:rsid w:val="552F05A7"/>
    <w:rsid w:val="56877EDB"/>
    <w:rsid w:val="569215C0"/>
    <w:rsid w:val="56BB39E9"/>
    <w:rsid w:val="572B3C88"/>
    <w:rsid w:val="575B27BF"/>
    <w:rsid w:val="57DC5E04"/>
    <w:rsid w:val="57EF1159"/>
    <w:rsid w:val="581D220E"/>
    <w:rsid w:val="58626DC3"/>
    <w:rsid w:val="58754A86"/>
    <w:rsid w:val="59464DA9"/>
    <w:rsid w:val="5950538F"/>
    <w:rsid w:val="598A113A"/>
    <w:rsid w:val="599124C8"/>
    <w:rsid w:val="59BD06F7"/>
    <w:rsid w:val="59D877FE"/>
    <w:rsid w:val="5A211E74"/>
    <w:rsid w:val="5A7A4B36"/>
    <w:rsid w:val="5AB60729"/>
    <w:rsid w:val="5ABD553F"/>
    <w:rsid w:val="5AF310B4"/>
    <w:rsid w:val="5BCD2D4A"/>
    <w:rsid w:val="5BF40AEC"/>
    <w:rsid w:val="5C4A62F8"/>
    <w:rsid w:val="5C526ED7"/>
    <w:rsid w:val="5C9563A9"/>
    <w:rsid w:val="5CA12CFF"/>
    <w:rsid w:val="5D4810F0"/>
    <w:rsid w:val="5D6E6F4D"/>
    <w:rsid w:val="5DE151A9"/>
    <w:rsid w:val="5E164EA2"/>
    <w:rsid w:val="5E241C14"/>
    <w:rsid w:val="5E624433"/>
    <w:rsid w:val="5F352438"/>
    <w:rsid w:val="5FA35013"/>
    <w:rsid w:val="60065292"/>
    <w:rsid w:val="60797996"/>
    <w:rsid w:val="60BD1125"/>
    <w:rsid w:val="6164193C"/>
    <w:rsid w:val="621E6653"/>
    <w:rsid w:val="624C05D4"/>
    <w:rsid w:val="632324E6"/>
    <w:rsid w:val="63310878"/>
    <w:rsid w:val="63A64FAD"/>
    <w:rsid w:val="63DF2857"/>
    <w:rsid w:val="63ED6FCB"/>
    <w:rsid w:val="63F83144"/>
    <w:rsid w:val="640A0EEE"/>
    <w:rsid w:val="646157DF"/>
    <w:rsid w:val="64F137B0"/>
    <w:rsid w:val="65264F48"/>
    <w:rsid w:val="65C92FEA"/>
    <w:rsid w:val="65FD149A"/>
    <w:rsid w:val="66144089"/>
    <w:rsid w:val="663B68C7"/>
    <w:rsid w:val="665D1788"/>
    <w:rsid w:val="66DA3FFA"/>
    <w:rsid w:val="66DB6DAB"/>
    <w:rsid w:val="66F26570"/>
    <w:rsid w:val="6723470C"/>
    <w:rsid w:val="673A3A26"/>
    <w:rsid w:val="67B73F6F"/>
    <w:rsid w:val="684626D0"/>
    <w:rsid w:val="685444D8"/>
    <w:rsid w:val="686D1B74"/>
    <w:rsid w:val="6898375B"/>
    <w:rsid w:val="695B05E7"/>
    <w:rsid w:val="69676F39"/>
    <w:rsid w:val="69704EEF"/>
    <w:rsid w:val="6A23521E"/>
    <w:rsid w:val="6A736E34"/>
    <w:rsid w:val="6A7F28CF"/>
    <w:rsid w:val="6AA3205B"/>
    <w:rsid w:val="6AC7069C"/>
    <w:rsid w:val="6B036F9E"/>
    <w:rsid w:val="6B0E5632"/>
    <w:rsid w:val="6B4328E0"/>
    <w:rsid w:val="6B4B660D"/>
    <w:rsid w:val="6B4F608B"/>
    <w:rsid w:val="6B6B701B"/>
    <w:rsid w:val="6BCD4C6B"/>
    <w:rsid w:val="6BE32FA2"/>
    <w:rsid w:val="6C1D5AE4"/>
    <w:rsid w:val="6CA53317"/>
    <w:rsid w:val="6CCD1611"/>
    <w:rsid w:val="6CDC482D"/>
    <w:rsid w:val="6CF13E8D"/>
    <w:rsid w:val="6D045452"/>
    <w:rsid w:val="6DD461A9"/>
    <w:rsid w:val="6E09457C"/>
    <w:rsid w:val="6E745C57"/>
    <w:rsid w:val="6F135AF0"/>
    <w:rsid w:val="6F5B73A8"/>
    <w:rsid w:val="6FC10EC1"/>
    <w:rsid w:val="6FC96806"/>
    <w:rsid w:val="6FE42431"/>
    <w:rsid w:val="6FFC3B4B"/>
    <w:rsid w:val="70081C44"/>
    <w:rsid w:val="704E7F85"/>
    <w:rsid w:val="707C55FA"/>
    <w:rsid w:val="707E4B28"/>
    <w:rsid w:val="70AF3D3C"/>
    <w:rsid w:val="70D51C49"/>
    <w:rsid w:val="717604C9"/>
    <w:rsid w:val="72EF04FC"/>
    <w:rsid w:val="72FD00FA"/>
    <w:rsid w:val="732D4BB8"/>
    <w:rsid w:val="73D414D7"/>
    <w:rsid w:val="73ED4347"/>
    <w:rsid w:val="748713D8"/>
    <w:rsid w:val="74982505"/>
    <w:rsid w:val="75981359"/>
    <w:rsid w:val="75A248BA"/>
    <w:rsid w:val="75DF4163"/>
    <w:rsid w:val="761B4E46"/>
    <w:rsid w:val="77604F55"/>
    <w:rsid w:val="77EA669B"/>
    <w:rsid w:val="784360C9"/>
    <w:rsid w:val="7860158C"/>
    <w:rsid w:val="78B35B5F"/>
    <w:rsid w:val="792D6617"/>
    <w:rsid w:val="79E555CE"/>
    <w:rsid w:val="7A9250D8"/>
    <w:rsid w:val="7B137A28"/>
    <w:rsid w:val="7B323F78"/>
    <w:rsid w:val="7B565FE8"/>
    <w:rsid w:val="7B5C2F6E"/>
    <w:rsid w:val="7C0E5F66"/>
    <w:rsid w:val="7C3C798F"/>
    <w:rsid w:val="7D585F36"/>
    <w:rsid w:val="7D6E49FE"/>
    <w:rsid w:val="7D7E4262"/>
    <w:rsid w:val="7D7F0706"/>
    <w:rsid w:val="7D9A4968"/>
    <w:rsid w:val="7DA43CC8"/>
    <w:rsid w:val="7DD32800"/>
    <w:rsid w:val="7DE94D98"/>
    <w:rsid w:val="7E0B2542"/>
    <w:rsid w:val="7E267457"/>
    <w:rsid w:val="7E7C4C45"/>
    <w:rsid w:val="7EA627F9"/>
    <w:rsid w:val="7F842003"/>
    <w:rsid w:val="7F9B245D"/>
    <w:rsid w:val="7FCD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next w:val="1"/>
    <w:link w:val="42"/>
    <w:qFormat/>
    <w:uiPriority w:val="9"/>
    <w:pPr>
      <w:keepNext/>
      <w:keepLines/>
      <w:pageBreakBefore/>
      <w:numPr>
        <w:ilvl w:val="0"/>
        <w:numId w:val="1"/>
      </w:numPr>
      <w:spacing w:line="360" w:lineRule="auto"/>
      <w:ind w:firstLine="0"/>
      <w:jc w:val="center"/>
      <w:outlineLvl w:val="0"/>
    </w:pPr>
    <w:rPr>
      <w:rFonts w:ascii="Times New Roman" w:hAnsi="Times New Roman" w:eastAsia="黑体" w:cstheme="majorBidi"/>
      <w:b/>
      <w:kern w:val="2"/>
      <w:sz w:val="32"/>
      <w:szCs w:val="44"/>
      <w:lang w:val="en-US" w:eastAsia="zh-CN" w:bidi="ar-SA"/>
      <w14:ligatures w14:val="standardContextual"/>
    </w:rPr>
  </w:style>
  <w:style w:type="paragraph" w:styleId="3">
    <w:name w:val="heading 2"/>
    <w:next w:val="1"/>
    <w:link w:val="43"/>
    <w:unhideWhenUsed/>
    <w:qFormat/>
    <w:uiPriority w:val="9"/>
    <w:pPr>
      <w:keepNext/>
      <w:keepLines/>
      <w:numPr>
        <w:ilvl w:val="1"/>
        <w:numId w:val="1"/>
      </w:numPr>
      <w:spacing w:line="360" w:lineRule="auto"/>
      <w:ind w:firstLine="0"/>
      <w:jc w:val="center"/>
      <w:outlineLvl w:val="1"/>
    </w:pPr>
    <w:rPr>
      <w:rFonts w:ascii="Times New Roman" w:hAnsi="Times New Roman" w:eastAsia="方正楷体_GBK" w:cstheme="majorBidi"/>
      <w:b/>
      <w:color w:val="000000" w:themeColor="text1"/>
      <w:kern w:val="2"/>
      <w:sz w:val="32"/>
      <w:szCs w:val="32"/>
      <w:lang w:val="en-US" w:eastAsia="zh-CN" w:bidi="ar-SA"/>
      <w14:textFill>
        <w14:solidFill>
          <w14:schemeClr w14:val="tx1"/>
        </w14:solidFill>
      </w14:textFill>
      <w14:ligatures w14:val="standardContextual"/>
    </w:rPr>
  </w:style>
  <w:style w:type="paragraph" w:styleId="4">
    <w:name w:val="heading 3"/>
    <w:next w:val="1"/>
    <w:link w:val="44"/>
    <w:unhideWhenUsed/>
    <w:qFormat/>
    <w:uiPriority w:val="9"/>
    <w:pPr>
      <w:keepNext/>
      <w:keepLines/>
      <w:numPr>
        <w:ilvl w:val="2"/>
        <w:numId w:val="1"/>
      </w:numPr>
      <w:spacing w:line="360" w:lineRule="auto"/>
      <w:ind w:firstLine="643" w:firstLineChars="200"/>
      <w:outlineLvl w:val="2"/>
    </w:pPr>
    <w:rPr>
      <w:rFonts w:ascii="Times New Roman" w:hAnsi="Times New Roman" w:eastAsia="方正仿宋_GBK" w:cstheme="majorBidi"/>
      <w:b/>
      <w:color w:val="000000" w:themeColor="text1"/>
      <w:kern w:val="2"/>
      <w:sz w:val="32"/>
      <w:szCs w:val="32"/>
      <w:lang w:val="en-US" w:eastAsia="zh-CN" w:bidi="ar-SA"/>
      <w14:textFill>
        <w14:solidFill>
          <w14:schemeClr w14:val="tx1"/>
        </w14:solidFill>
      </w14:textFill>
      <w14:ligatures w14:val="standardContextual"/>
    </w:rPr>
  </w:style>
  <w:style w:type="paragraph" w:styleId="5">
    <w:name w:val="heading 4"/>
    <w:basedOn w:val="1"/>
    <w:next w:val="1"/>
    <w:link w:val="45"/>
    <w:unhideWhenUsed/>
    <w:qFormat/>
    <w:uiPriority w:val="9"/>
    <w:pPr>
      <w:keepNext/>
      <w:keepLines/>
      <w:numPr>
        <w:ilvl w:val="3"/>
        <w:numId w:val="2"/>
      </w:numPr>
      <w:spacing w:line="360" w:lineRule="auto"/>
      <w:outlineLvl w:val="3"/>
    </w:pPr>
    <w:rPr>
      <w:rFonts w:ascii="Times New Roman" w:hAnsi="Times New Roman" w:eastAsia="宋体" w:cstheme="majorBidi"/>
      <w:b/>
      <w:color w:val="000000" w:themeColor="text1"/>
      <w:kern w:val="2"/>
      <w:sz w:val="24"/>
      <w:szCs w:val="28"/>
      <w:lang w:val="en-US" w:eastAsia="zh-CN" w:bidi="ar-SA"/>
      <w14:textFill>
        <w14:solidFill>
          <w14:schemeClr w14:val="tx1"/>
        </w14:solidFill>
      </w14:textFill>
      <w14:ligatures w14:val="standardContextual"/>
    </w:rPr>
  </w:style>
  <w:style w:type="paragraph" w:styleId="6">
    <w:name w:val="heading 5"/>
    <w:next w:val="1"/>
    <w:link w:val="46"/>
    <w:unhideWhenUsed/>
    <w:qFormat/>
    <w:uiPriority w:val="9"/>
    <w:pPr>
      <w:keepNext/>
      <w:keepLines/>
      <w:numPr>
        <w:ilvl w:val="4"/>
        <w:numId w:val="2"/>
      </w:numPr>
      <w:spacing w:line="360" w:lineRule="auto"/>
      <w:outlineLvl w:val="4"/>
    </w:pPr>
    <w:rPr>
      <w:rFonts w:ascii="Times New Roman" w:hAnsi="Times New Roman" w:eastAsia="宋体" w:cstheme="majorBidi"/>
      <w:b/>
      <w:kern w:val="2"/>
      <w:sz w:val="24"/>
      <w:szCs w:val="24"/>
      <w:lang w:val="en-US" w:eastAsia="zh-CN" w:bidi="ar-SA"/>
      <w14:ligatures w14:val="standardContextual"/>
    </w:rPr>
  </w:style>
  <w:style w:type="paragraph" w:styleId="7">
    <w:name w:val="heading 6"/>
    <w:basedOn w:val="1"/>
    <w:next w:val="1"/>
    <w:link w:val="4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12">
    <w:name w:val="caption"/>
    <w:next w:val="1"/>
    <w:unhideWhenUsed/>
    <w:qFormat/>
    <w:uiPriority w:val="35"/>
    <w:pPr>
      <w:jc w:val="center"/>
    </w:pPr>
    <w:rPr>
      <w:rFonts w:ascii="Times New Roman" w:hAnsi="Times New Roman" w:eastAsia="宋体" w:cstheme="majorBidi"/>
      <w:b/>
      <w:kern w:val="2"/>
      <w:sz w:val="24"/>
      <w:szCs w:val="20"/>
      <w:lang w:val="en-US" w:eastAsia="zh-CN" w:bidi="ar-SA"/>
      <w14:ligatures w14:val="standardContextual"/>
    </w:rPr>
  </w:style>
  <w:style w:type="paragraph" w:styleId="13">
    <w:name w:val="annotation text"/>
    <w:basedOn w:val="1"/>
    <w:link w:val="70"/>
    <w:unhideWhenUsed/>
    <w:qFormat/>
    <w:uiPriority w:val="99"/>
    <w:pPr>
      <w:jc w:val="left"/>
    </w:pPr>
  </w:style>
  <w:style w:type="paragraph" w:styleId="14">
    <w:name w:val="Body Text"/>
    <w:basedOn w:val="1"/>
    <w:next w:val="1"/>
    <w:link w:val="76"/>
    <w:qFormat/>
    <w:uiPriority w:val="0"/>
    <w:pPr>
      <w:spacing w:after="120"/>
    </w:pPr>
  </w:style>
  <w:style w:type="paragraph" w:styleId="15">
    <w:name w:val="Body Text Indent"/>
    <w:basedOn w:val="1"/>
    <w:next w:val="5"/>
    <w:link w:val="85"/>
    <w:semiHidden/>
    <w:unhideWhenUsed/>
    <w:qFormat/>
    <w:uiPriority w:val="99"/>
    <w:pPr>
      <w:spacing w:after="120"/>
      <w:ind w:left="420" w:leftChars="200"/>
    </w:pPr>
  </w:style>
  <w:style w:type="paragraph" w:styleId="16">
    <w:name w:val="Block Text"/>
    <w:basedOn w:val="1"/>
    <w:qFormat/>
    <w:uiPriority w:val="99"/>
    <w:pPr>
      <w:widowControl/>
      <w:ind w:left="-113" w:right="-113"/>
      <w:jc w:val="center"/>
    </w:pPr>
    <w:rPr>
      <w:rFonts w:ascii="宋体" w:hAnsi="宋体" w:eastAsia="仿宋" w:cs="宋体"/>
      <w:kern w:val="0"/>
      <w:szCs w:val="21"/>
    </w:rPr>
  </w:style>
  <w:style w:type="paragraph" w:styleId="17">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8">
    <w:name w:val="toc 3"/>
    <w:next w:val="1"/>
    <w:autoRedefine/>
    <w:unhideWhenUsed/>
    <w:qFormat/>
    <w:uiPriority w:val="39"/>
    <w:pPr>
      <w:spacing w:line="360" w:lineRule="auto"/>
      <w:ind w:left="400" w:leftChars="400"/>
    </w:pPr>
    <w:rPr>
      <w:rFonts w:ascii="Times New Roman" w:hAnsi="Times New Roman" w:eastAsia="宋体" w:cstheme="minorBidi"/>
      <w:kern w:val="2"/>
      <w:sz w:val="24"/>
      <w:szCs w:val="22"/>
      <w:lang w:val="en-US" w:eastAsia="zh-CN" w:bidi="ar-SA"/>
      <w14:ligatures w14:val="standardContextual"/>
    </w:rPr>
  </w:style>
  <w:style w:type="paragraph" w:styleId="19">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20">
    <w:name w:val="Date"/>
    <w:basedOn w:val="1"/>
    <w:next w:val="1"/>
    <w:link w:val="60"/>
    <w:semiHidden/>
    <w:unhideWhenUsed/>
    <w:qFormat/>
    <w:uiPriority w:val="99"/>
    <w:pPr>
      <w:ind w:left="100" w:leftChars="2500"/>
    </w:pPr>
  </w:style>
  <w:style w:type="paragraph" w:styleId="21">
    <w:name w:val="footer"/>
    <w:basedOn w:val="1"/>
    <w:link w:val="62"/>
    <w:unhideWhenUsed/>
    <w:qFormat/>
    <w:uiPriority w:val="99"/>
    <w:pPr>
      <w:tabs>
        <w:tab w:val="center" w:pos="4153"/>
        <w:tab w:val="right" w:pos="8306"/>
      </w:tabs>
      <w:snapToGrid w:val="0"/>
      <w:spacing w:line="240" w:lineRule="auto"/>
      <w:jc w:val="left"/>
    </w:pPr>
    <w:rPr>
      <w:sz w:val="18"/>
      <w:szCs w:val="18"/>
    </w:rPr>
  </w:style>
  <w:style w:type="paragraph" w:styleId="22">
    <w:name w:val="header"/>
    <w:basedOn w:val="1"/>
    <w:link w:val="61"/>
    <w:unhideWhenUsed/>
    <w:qFormat/>
    <w:uiPriority w:val="99"/>
    <w:pPr>
      <w:tabs>
        <w:tab w:val="center" w:pos="4153"/>
        <w:tab w:val="right" w:pos="8306"/>
      </w:tabs>
      <w:snapToGrid w:val="0"/>
      <w:spacing w:line="240" w:lineRule="auto"/>
      <w:jc w:val="center"/>
    </w:pPr>
    <w:rPr>
      <w:sz w:val="18"/>
      <w:szCs w:val="18"/>
    </w:rPr>
  </w:style>
  <w:style w:type="paragraph" w:styleId="23">
    <w:name w:val="toc 1"/>
    <w:next w:val="1"/>
    <w:autoRedefine/>
    <w:unhideWhenUsed/>
    <w:qFormat/>
    <w:uiPriority w:val="39"/>
    <w:pPr>
      <w:tabs>
        <w:tab w:val="right" w:leader="dot" w:pos="8296"/>
      </w:tabs>
      <w:spacing w:line="360" w:lineRule="auto"/>
      <w:jc w:val="center"/>
    </w:pPr>
    <w:rPr>
      <w:rFonts w:ascii="Times New Roman" w:hAnsi="Times New Roman" w:eastAsia="宋体" w:cstheme="minorBidi"/>
      <w:b/>
      <w:kern w:val="2"/>
      <w:sz w:val="32"/>
      <w:szCs w:val="22"/>
      <w:lang w:val="en-US" w:eastAsia="zh-CN" w:bidi="ar-SA"/>
      <w14:ligatures w14:val="standardContextual"/>
    </w:rPr>
  </w:style>
  <w:style w:type="paragraph" w:styleId="24">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25">
    <w:name w:val="Subtitle"/>
    <w:basedOn w:val="1"/>
    <w:next w:val="1"/>
    <w:link w:val="52"/>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footnote text"/>
    <w:basedOn w:val="1"/>
    <w:link w:val="98"/>
    <w:qFormat/>
    <w:uiPriority w:val="0"/>
    <w:pPr>
      <w:snapToGrid w:val="0"/>
      <w:spacing w:line="240" w:lineRule="auto"/>
      <w:ind w:firstLine="0" w:firstLineChars="0"/>
      <w:jc w:val="left"/>
    </w:pPr>
    <w:rPr>
      <w:rFonts w:eastAsia="仿宋_GB2312" w:cs="Times New Roman"/>
      <w:sz w:val="21"/>
      <w:szCs w:val="24"/>
      <w14:ligatures w14:val="none"/>
    </w:rPr>
  </w:style>
  <w:style w:type="paragraph" w:styleId="27">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8">
    <w:name w:val="toc 2"/>
    <w:next w:val="1"/>
    <w:autoRedefine/>
    <w:unhideWhenUsed/>
    <w:qFormat/>
    <w:uiPriority w:val="39"/>
    <w:pPr>
      <w:spacing w:line="360" w:lineRule="auto"/>
      <w:ind w:left="200" w:leftChars="200"/>
    </w:pPr>
    <w:rPr>
      <w:rFonts w:ascii="Times New Roman" w:hAnsi="Times New Roman" w:eastAsia="宋体" w:cstheme="minorBidi"/>
      <w:kern w:val="2"/>
      <w:sz w:val="30"/>
      <w:szCs w:val="22"/>
      <w:lang w:val="en-US" w:eastAsia="zh-CN" w:bidi="ar-SA"/>
      <w14:ligatures w14:val="standardContextual"/>
    </w:rPr>
  </w:style>
  <w:style w:type="paragraph" w:styleId="29">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30">
    <w:name w:val="Normal (Web)"/>
    <w:basedOn w:val="1"/>
    <w:semiHidden/>
    <w:unhideWhenUsed/>
    <w:qFormat/>
    <w:uiPriority w:val="99"/>
    <w:pPr>
      <w:autoSpaceDE w:val="0"/>
      <w:autoSpaceDN w:val="0"/>
      <w:adjustRightInd w:val="0"/>
      <w:spacing w:beforeAutospacing="1" w:after="160" w:afterAutospacing="1" w:line="278" w:lineRule="auto"/>
      <w:ind w:firstLine="0" w:firstLineChars="0"/>
      <w:jc w:val="left"/>
    </w:pPr>
    <w:rPr>
      <w:rFonts w:ascii="宋体" w:cs="Times New Roman"/>
      <w:kern w:val="0"/>
      <w14:ligatures w14:val="none"/>
    </w:rPr>
  </w:style>
  <w:style w:type="paragraph" w:styleId="31">
    <w:name w:val="Title"/>
    <w:basedOn w:val="1"/>
    <w:next w:val="1"/>
    <w:link w:val="5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2">
    <w:name w:val="annotation subject"/>
    <w:basedOn w:val="13"/>
    <w:next w:val="13"/>
    <w:link w:val="71"/>
    <w:semiHidden/>
    <w:unhideWhenUsed/>
    <w:qFormat/>
    <w:uiPriority w:val="99"/>
    <w:rPr>
      <w:b/>
      <w:bCs/>
    </w:rPr>
  </w:style>
  <w:style w:type="paragraph" w:styleId="33">
    <w:name w:val="Body Text First Indent"/>
    <w:basedOn w:val="14"/>
    <w:next w:val="1"/>
    <w:link w:val="93"/>
    <w:qFormat/>
    <w:uiPriority w:val="0"/>
    <w:pPr>
      <w:ind w:firstLine="420" w:firstLineChars="100"/>
    </w:pPr>
    <w:rPr>
      <w:rFonts w:cs="Times New Roman"/>
      <w:szCs w:val="24"/>
    </w:rPr>
  </w:style>
  <w:style w:type="paragraph" w:styleId="34">
    <w:name w:val="Body Text First Indent 2"/>
    <w:basedOn w:val="15"/>
    <w:link w:val="86"/>
    <w:unhideWhenUsed/>
    <w:qFormat/>
    <w:uiPriority w:val="99"/>
    <w:pPr>
      <w:ind w:firstLine="42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rPr>
  </w:style>
  <w:style w:type="character" w:styleId="39">
    <w:name w:val="Hyperlink"/>
    <w:basedOn w:val="37"/>
    <w:unhideWhenUsed/>
    <w:qFormat/>
    <w:uiPriority w:val="99"/>
    <w:rPr>
      <w:color w:val="467886" w:themeColor="hyperlink"/>
      <w:u w:val="single"/>
      <w14:textFill>
        <w14:solidFill>
          <w14:schemeClr w14:val="hlink"/>
        </w14:solidFill>
      </w14:textFill>
    </w:rPr>
  </w:style>
  <w:style w:type="character" w:styleId="40">
    <w:name w:val="annotation reference"/>
    <w:basedOn w:val="37"/>
    <w:semiHidden/>
    <w:unhideWhenUsed/>
    <w:qFormat/>
    <w:uiPriority w:val="99"/>
    <w:rPr>
      <w:sz w:val="21"/>
      <w:szCs w:val="21"/>
    </w:rPr>
  </w:style>
  <w:style w:type="character" w:styleId="41">
    <w:name w:val="footnote reference"/>
    <w:qFormat/>
    <w:uiPriority w:val="0"/>
    <w:rPr>
      <w:vertAlign w:val="superscript"/>
    </w:rPr>
  </w:style>
  <w:style w:type="character" w:customStyle="1" w:styleId="42">
    <w:name w:val="标题 1 字符"/>
    <w:basedOn w:val="37"/>
    <w:link w:val="2"/>
    <w:qFormat/>
    <w:uiPriority w:val="9"/>
    <w:rPr>
      <w:rFonts w:ascii="Times New Roman" w:hAnsi="Times New Roman" w:eastAsia="黑体" w:cstheme="majorBidi"/>
      <w:b/>
      <w:sz w:val="32"/>
      <w:szCs w:val="44"/>
    </w:rPr>
  </w:style>
  <w:style w:type="character" w:customStyle="1" w:styleId="43">
    <w:name w:val="标题 2 字符"/>
    <w:basedOn w:val="37"/>
    <w:link w:val="3"/>
    <w:qFormat/>
    <w:uiPriority w:val="9"/>
    <w:rPr>
      <w:rFonts w:ascii="Times New Roman" w:hAnsi="Times New Roman" w:eastAsia="方正楷体_GBK" w:cstheme="majorBidi"/>
      <w:b/>
      <w:color w:val="000000" w:themeColor="text1"/>
      <w:sz w:val="32"/>
      <w:szCs w:val="32"/>
      <w14:textFill>
        <w14:solidFill>
          <w14:schemeClr w14:val="tx1"/>
        </w14:solidFill>
      </w14:textFill>
    </w:rPr>
  </w:style>
  <w:style w:type="character" w:customStyle="1" w:styleId="44">
    <w:name w:val="标题 3 字符"/>
    <w:basedOn w:val="37"/>
    <w:link w:val="4"/>
    <w:qFormat/>
    <w:uiPriority w:val="9"/>
    <w:rPr>
      <w:rFonts w:ascii="Times New Roman" w:hAnsi="Times New Roman" w:eastAsia="方正仿宋_GBK" w:cstheme="majorBidi"/>
      <w:b/>
      <w:color w:val="000000" w:themeColor="text1"/>
      <w:sz w:val="32"/>
      <w:szCs w:val="32"/>
      <w14:textFill>
        <w14:solidFill>
          <w14:schemeClr w14:val="tx1"/>
        </w14:solidFill>
      </w14:textFill>
    </w:rPr>
  </w:style>
  <w:style w:type="character" w:customStyle="1" w:styleId="45">
    <w:name w:val="标题 4 字符"/>
    <w:basedOn w:val="37"/>
    <w:link w:val="5"/>
    <w:qFormat/>
    <w:uiPriority w:val="9"/>
    <w:rPr>
      <w:rFonts w:ascii="Times New Roman" w:hAnsi="Times New Roman" w:eastAsia="宋体" w:cstheme="majorBidi"/>
      <w:b/>
      <w:color w:val="000000" w:themeColor="text1"/>
      <w:sz w:val="24"/>
      <w:szCs w:val="28"/>
      <w14:textFill>
        <w14:solidFill>
          <w14:schemeClr w14:val="tx1"/>
        </w14:solidFill>
      </w14:textFill>
    </w:rPr>
  </w:style>
  <w:style w:type="character" w:customStyle="1" w:styleId="46">
    <w:name w:val="标题 5 字符"/>
    <w:basedOn w:val="37"/>
    <w:link w:val="6"/>
    <w:qFormat/>
    <w:uiPriority w:val="9"/>
    <w:rPr>
      <w:rFonts w:ascii="Times New Roman" w:hAnsi="Times New Roman" w:eastAsia="宋体" w:cstheme="majorBidi"/>
      <w:b/>
      <w:sz w:val="24"/>
      <w:szCs w:val="24"/>
    </w:rPr>
  </w:style>
  <w:style w:type="character" w:customStyle="1" w:styleId="47">
    <w:name w:val="标题 6 字符"/>
    <w:basedOn w:val="37"/>
    <w:link w:val="7"/>
    <w:semiHidden/>
    <w:qFormat/>
    <w:uiPriority w:val="9"/>
    <w:rPr>
      <w:rFonts w:cstheme="majorBidi"/>
      <w:b/>
      <w:bCs/>
      <w:color w:val="104862" w:themeColor="accent1" w:themeShade="BF"/>
    </w:rPr>
  </w:style>
  <w:style w:type="character" w:customStyle="1" w:styleId="48">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9">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0">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标题 字符"/>
    <w:basedOn w:val="37"/>
    <w:link w:val="31"/>
    <w:qFormat/>
    <w:uiPriority w:val="10"/>
    <w:rPr>
      <w:rFonts w:asciiTheme="majorHAnsi" w:hAnsiTheme="majorHAnsi" w:eastAsiaTheme="majorEastAsia" w:cstheme="majorBidi"/>
      <w:spacing w:val="-10"/>
      <w:kern w:val="28"/>
      <w:sz w:val="56"/>
      <w:szCs w:val="56"/>
    </w:rPr>
  </w:style>
  <w:style w:type="character" w:customStyle="1" w:styleId="52">
    <w:name w:val="副标题 字符"/>
    <w:basedOn w:val="37"/>
    <w:link w:val="2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37"/>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34"/>
    <w:pPr>
      <w:ind w:left="720"/>
      <w:contextualSpacing/>
    </w:pPr>
  </w:style>
  <w:style w:type="character" w:customStyle="1" w:styleId="56">
    <w:name w:val="Intense Emphasis"/>
    <w:basedOn w:val="37"/>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字符"/>
    <w:basedOn w:val="37"/>
    <w:link w:val="57"/>
    <w:qFormat/>
    <w:uiPriority w:val="30"/>
    <w:rPr>
      <w:i/>
      <w:iCs/>
      <w:color w:val="104862" w:themeColor="accent1" w:themeShade="BF"/>
    </w:rPr>
  </w:style>
  <w:style w:type="character" w:customStyle="1" w:styleId="59">
    <w:name w:val="Intense Reference"/>
    <w:basedOn w:val="37"/>
    <w:qFormat/>
    <w:uiPriority w:val="32"/>
    <w:rPr>
      <w:b/>
      <w:bCs/>
      <w:smallCaps/>
      <w:color w:val="104862" w:themeColor="accent1" w:themeShade="BF"/>
      <w:spacing w:val="5"/>
    </w:rPr>
  </w:style>
  <w:style w:type="character" w:customStyle="1" w:styleId="60">
    <w:name w:val="日期 字符"/>
    <w:basedOn w:val="37"/>
    <w:link w:val="20"/>
    <w:semiHidden/>
    <w:qFormat/>
    <w:uiPriority w:val="99"/>
    <w:rPr>
      <w:rFonts w:ascii="Times New Roman" w:hAnsi="Times New Roman" w:eastAsia="宋体"/>
      <w:sz w:val="24"/>
    </w:rPr>
  </w:style>
  <w:style w:type="character" w:customStyle="1" w:styleId="61">
    <w:name w:val="页眉 字符"/>
    <w:basedOn w:val="37"/>
    <w:link w:val="22"/>
    <w:qFormat/>
    <w:uiPriority w:val="99"/>
    <w:rPr>
      <w:rFonts w:ascii="Times New Roman" w:hAnsi="Times New Roman" w:eastAsia="宋体"/>
      <w:sz w:val="18"/>
      <w:szCs w:val="18"/>
    </w:rPr>
  </w:style>
  <w:style w:type="character" w:customStyle="1" w:styleId="62">
    <w:name w:val="页脚 字符"/>
    <w:basedOn w:val="37"/>
    <w:link w:val="21"/>
    <w:qFormat/>
    <w:uiPriority w:val="99"/>
    <w:rPr>
      <w:rFonts w:ascii="Times New Roman" w:hAnsi="Times New Roman" w:eastAsia="宋体"/>
      <w:sz w:val="18"/>
      <w:szCs w:val="18"/>
    </w:rPr>
  </w:style>
  <w:style w:type="character" w:customStyle="1" w:styleId="63">
    <w:name w:val="font31"/>
    <w:basedOn w:val="37"/>
    <w:qFormat/>
    <w:uiPriority w:val="0"/>
    <w:rPr>
      <w:rFonts w:hint="eastAsia" w:ascii="宋体" w:hAnsi="宋体" w:eastAsia="宋体"/>
      <w:color w:val="000000"/>
      <w:sz w:val="36"/>
      <w:szCs w:val="36"/>
      <w:u w:val="none"/>
    </w:rPr>
  </w:style>
  <w:style w:type="character" w:customStyle="1" w:styleId="64">
    <w:name w:val="font21"/>
    <w:basedOn w:val="37"/>
    <w:qFormat/>
    <w:uiPriority w:val="0"/>
    <w:rPr>
      <w:rFonts w:hint="eastAsia" w:ascii="宋体" w:hAnsi="宋体" w:eastAsia="宋体"/>
      <w:color w:val="00803C"/>
      <w:sz w:val="36"/>
      <w:szCs w:val="36"/>
      <w:u w:val="none"/>
    </w:rPr>
  </w:style>
  <w:style w:type="character" w:customStyle="1" w:styleId="65">
    <w:name w:val="font61"/>
    <w:basedOn w:val="37"/>
    <w:qFormat/>
    <w:uiPriority w:val="0"/>
    <w:rPr>
      <w:rFonts w:hint="eastAsia" w:ascii="宋体" w:hAnsi="宋体" w:eastAsia="宋体"/>
      <w:color w:val="00774B"/>
      <w:sz w:val="36"/>
      <w:szCs w:val="36"/>
      <w:u w:val="none"/>
    </w:rPr>
  </w:style>
  <w:style w:type="character" w:customStyle="1" w:styleId="66">
    <w:name w:val="font71"/>
    <w:basedOn w:val="37"/>
    <w:qFormat/>
    <w:uiPriority w:val="0"/>
    <w:rPr>
      <w:rFonts w:hint="eastAsia" w:ascii="宋体" w:hAnsi="宋体" w:eastAsia="宋体"/>
      <w:color w:val="008A3C"/>
      <w:sz w:val="36"/>
      <w:szCs w:val="36"/>
      <w:u w:val="none"/>
    </w:rPr>
  </w:style>
  <w:style w:type="character" w:customStyle="1" w:styleId="67">
    <w:name w:val="font91"/>
    <w:basedOn w:val="37"/>
    <w:qFormat/>
    <w:uiPriority w:val="0"/>
    <w:rPr>
      <w:rFonts w:hint="eastAsia" w:ascii="宋体" w:hAnsi="宋体" w:eastAsia="宋体"/>
      <w:color w:val="009B39"/>
      <w:sz w:val="36"/>
      <w:szCs w:val="36"/>
      <w:u w:val="none"/>
    </w:rPr>
  </w:style>
  <w:style w:type="character" w:customStyle="1" w:styleId="68">
    <w:name w:val="font101"/>
    <w:basedOn w:val="37"/>
    <w:qFormat/>
    <w:uiPriority w:val="0"/>
    <w:rPr>
      <w:rFonts w:hint="eastAsia" w:ascii="宋体" w:hAnsi="宋体" w:eastAsia="宋体"/>
      <w:color w:val="007432"/>
      <w:sz w:val="36"/>
      <w:szCs w:val="36"/>
      <w:u w:val="none"/>
    </w:rPr>
  </w:style>
  <w:style w:type="paragraph" w:customStyle="1" w:styleId="69">
    <w:name w:val="表格文字"/>
    <w:qFormat/>
    <w:uiPriority w:val="0"/>
    <w:pPr>
      <w:jc w:val="center"/>
    </w:pPr>
    <w:rPr>
      <w:rFonts w:ascii="Times New Roman" w:hAnsi="Times New Roman" w:eastAsia="宋体" w:cs="Arial"/>
      <w:color w:val="000000"/>
      <w:kern w:val="0"/>
      <w:sz w:val="21"/>
      <w:szCs w:val="36"/>
      <w:lang w:val="en-US" w:eastAsia="zh-CN" w:bidi="ar-SA"/>
      <w14:ligatures w14:val="none"/>
    </w:rPr>
  </w:style>
  <w:style w:type="character" w:customStyle="1" w:styleId="70">
    <w:name w:val="批注文字 字符"/>
    <w:basedOn w:val="37"/>
    <w:link w:val="13"/>
    <w:qFormat/>
    <w:uiPriority w:val="99"/>
    <w:rPr>
      <w:rFonts w:ascii="Times New Roman" w:hAnsi="Times New Roman" w:eastAsia="宋体"/>
      <w:sz w:val="24"/>
    </w:rPr>
  </w:style>
  <w:style w:type="character" w:customStyle="1" w:styleId="71">
    <w:name w:val="批注主题 字符"/>
    <w:basedOn w:val="70"/>
    <w:link w:val="32"/>
    <w:semiHidden/>
    <w:qFormat/>
    <w:uiPriority w:val="99"/>
    <w:rPr>
      <w:rFonts w:ascii="Times New Roman" w:hAnsi="Times New Roman" w:eastAsia="宋体"/>
      <w:b/>
      <w:bCs/>
      <w:sz w:val="24"/>
    </w:rPr>
  </w:style>
  <w:style w:type="paragraph" w:styleId="72">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customStyle="1" w:styleId="73">
    <w:name w:val="TOC Heading"/>
    <w:basedOn w:val="2"/>
    <w:next w:val="1"/>
    <w:unhideWhenUsed/>
    <w:qFormat/>
    <w:uiPriority w:val="39"/>
    <w:pPr>
      <w:pageBreakBefore w:val="0"/>
      <w:numPr>
        <w:numId w:val="0"/>
      </w:numPr>
      <w:spacing w:before="240" w:line="259" w:lineRule="auto"/>
      <w:outlineLvl w:val="9"/>
    </w:pPr>
    <w:rPr>
      <w:rFonts w:asciiTheme="majorHAnsi" w:hAnsiTheme="majorHAnsi" w:eastAsiaTheme="majorEastAsia"/>
      <w:b w:val="0"/>
      <w:color w:val="104862" w:themeColor="accent1" w:themeShade="BF"/>
      <w:kern w:val="0"/>
      <w:szCs w:val="32"/>
      <w14:ligatures w14:val="none"/>
    </w:rPr>
  </w:style>
  <w:style w:type="character" w:customStyle="1" w:styleId="74">
    <w:name w:val="Unresolved Mention"/>
    <w:basedOn w:val="37"/>
    <w:semiHidden/>
    <w:unhideWhenUsed/>
    <w:qFormat/>
    <w:uiPriority w:val="99"/>
    <w:rPr>
      <w:color w:val="605E5C"/>
      <w:shd w:val="clear" w:color="auto" w:fill="E1DFDD"/>
    </w:rPr>
  </w:style>
  <w:style w:type="character" w:customStyle="1" w:styleId="75">
    <w:name w:val="font11"/>
    <w:basedOn w:val="37"/>
    <w:qFormat/>
    <w:uiPriority w:val="0"/>
    <w:rPr>
      <w:rFonts w:hint="eastAsia" w:ascii="宋体" w:hAnsi="宋体" w:eastAsia="宋体"/>
      <w:color w:val="FFFFFF"/>
      <w:sz w:val="36"/>
      <w:szCs w:val="36"/>
      <w:u w:val="none"/>
    </w:rPr>
  </w:style>
  <w:style w:type="character" w:customStyle="1" w:styleId="76">
    <w:name w:val="正文文本 字符"/>
    <w:basedOn w:val="37"/>
    <w:link w:val="14"/>
    <w:qFormat/>
    <w:uiPriority w:val="0"/>
    <w:rPr>
      <w:rFonts w:ascii="Times New Roman" w:hAnsi="Times New Roman" w:eastAsia="宋体"/>
      <w:sz w:val="24"/>
    </w:rPr>
  </w:style>
  <w:style w:type="character" w:customStyle="1" w:styleId="77">
    <w:name w:val="明显强调1"/>
    <w:basedOn w:val="37"/>
    <w:qFormat/>
    <w:uiPriority w:val="21"/>
    <w:rPr>
      <w:i/>
      <w:iCs/>
      <w:color w:val="104862" w:themeColor="accent1" w:themeShade="BF"/>
    </w:rPr>
  </w:style>
  <w:style w:type="character" w:customStyle="1" w:styleId="78">
    <w:name w:val="明显参考1"/>
    <w:basedOn w:val="37"/>
    <w:qFormat/>
    <w:uiPriority w:val="32"/>
    <w:rPr>
      <w:b/>
      <w:bCs/>
      <w:smallCaps/>
      <w:color w:val="104862" w:themeColor="accent1" w:themeShade="BF"/>
      <w:spacing w:val="5"/>
    </w:rPr>
  </w:style>
  <w:style w:type="paragraph" w:customStyle="1" w:styleId="79">
    <w:name w:val="TOC 标题1"/>
    <w:basedOn w:val="2"/>
    <w:next w:val="1"/>
    <w:unhideWhenUsed/>
    <w:qFormat/>
    <w:uiPriority w:val="39"/>
    <w:pPr>
      <w:pageBreakBefore w:val="0"/>
      <w:numPr>
        <w:numId w:val="0"/>
      </w:numPr>
      <w:spacing w:before="240" w:line="259" w:lineRule="auto"/>
      <w:outlineLvl w:val="9"/>
    </w:pPr>
    <w:rPr>
      <w:rFonts w:asciiTheme="majorHAnsi" w:hAnsiTheme="majorHAnsi" w:eastAsiaTheme="majorEastAsia"/>
      <w:b w:val="0"/>
      <w:color w:val="104862" w:themeColor="accent1" w:themeShade="BF"/>
      <w:kern w:val="0"/>
      <w:szCs w:val="32"/>
      <w14:ligatures w14:val="none"/>
    </w:rPr>
  </w:style>
  <w:style w:type="character" w:customStyle="1" w:styleId="80">
    <w:name w:val="未处理的提及1"/>
    <w:basedOn w:val="37"/>
    <w:semiHidden/>
    <w:unhideWhenUsed/>
    <w:qFormat/>
    <w:uiPriority w:val="99"/>
    <w:rPr>
      <w:color w:val="605E5C"/>
      <w:shd w:val="clear" w:color="auto" w:fill="E1DFDD"/>
    </w:rPr>
  </w:style>
  <w:style w:type="paragraph" w:customStyle="1" w:styleId="8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14:ligatures w14:val="none"/>
    </w:rPr>
  </w:style>
  <w:style w:type="character" w:customStyle="1" w:styleId="82">
    <w:name w:val="font41"/>
    <w:basedOn w:val="37"/>
    <w:qFormat/>
    <w:uiPriority w:val="0"/>
    <w:rPr>
      <w:rFonts w:hint="default" w:ascii="仿宋_GB2312" w:eastAsia="仿宋_GB2312" w:cs="仿宋_GB2312"/>
      <w:color w:val="000000"/>
      <w:sz w:val="20"/>
      <w:szCs w:val="20"/>
      <w:u w:val="none"/>
    </w:rPr>
  </w:style>
  <w:style w:type="paragraph" w:customStyle="1" w:styleId="83">
    <w:name w:val="列出段落8"/>
    <w:basedOn w:val="1"/>
    <w:autoRedefine/>
    <w:unhideWhenUsed/>
    <w:qFormat/>
    <w:uiPriority w:val="34"/>
    <w:pPr>
      <w:adjustRightInd w:val="0"/>
      <w:snapToGrid w:val="0"/>
      <w:ind w:firstLine="420"/>
    </w:pPr>
    <w:rPr>
      <w:rFonts w:ascii="Calibri" w:hAnsi="Calibri" w:eastAsia="仿宋" w:cs="Times New Roman"/>
      <w:sz w:val="28"/>
      <w:szCs w:val="20"/>
      <w:lang w:bidi="en-US"/>
    </w:rPr>
  </w:style>
  <w:style w:type="paragraph" w:customStyle="1" w:styleId="84">
    <w:name w:val="表格格式1"/>
    <w:autoRedefine/>
    <w:qFormat/>
    <w:uiPriority w:val="0"/>
    <w:pPr>
      <w:jc w:val="center"/>
    </w:pPr>
    <w:rPr>
      <w:rFonts w:ascii="Times New Roman" w:hAnsi="Times New Roman" w:eastAsia="宋体" w:cs="Times New Roman"/>
      <w:kern w:val="2"/>
      <w:sz w:val="21"/>
      <w:szCs w:val="21"/>
      <w:lang w:val="en-US" w:eastAsia="zh-CN" w:bidi="ar-SA"/>
      <w14:ligatures w14:val="none"/>
    </w:rPr>
  </w:style>
  <w:style w:type="character" w:customStyle="1" w:styleId="85">
    <w:name w:val="正文文本缩进 字符"/>
    <w:basedOn w:val="37"/>
    <w:link w:val="15"/>
    <w:semiHidden/>
    <w:qFormat/>
    <w:uiPriority w:val="99"/>
    <w:rPr>
      <w:rFonts w:ascii="Times New Roman" w:hAnsi="Times New Roman" w:eastAsia="宋体"/>
      <w:sz w:val="24"/>
    </w:rPr>
  </w:style>
  <w:style w:type="character" w:customStyle="1" w:styleId="86">
    <w:name w:val="正文文本首行缩进 2 字符"/>
    <w:basedOn w:val="85"/>
    <w:link w:val="34"/>
    <w:qFormat/>
    <w:uiPriority w:val="99"/>
    <w:rPr>
      <w:rFonts w:ascii="Times New Roman" w:hAnsi="Times New Roman" w:eastAsia="宋体"/>
      <w:sz w:val="24"/>
    </w:rPr>
  </w:style>
  <w:style w:type="paragraph" w:customStyle="1" w:styleId="87">
    <w:name w:val="表格内容"/>
    <w:link w:val="88"/>
    <w:qFormat/>
    <w:uiPriority w:val="0"/>
    <w:rPr>
      <w:rFonts w:ascii="Times New Roman" w:hAnsi="Times New Roman" w:eastAsia="宋体" w:cstheme="minorBidi"/>
      <w:kern w:val="2"/>
      <w:sz w:val="21"/>
      <w:szCs w:val="22"/>
      <w:lang w:val="en-US" w:eastAsia="zh-CN" w:bidi="ar-SA"/>
      <w14:ligatures w14:val="standardContextual"/>
    </w:rPr>
  </w:style>
  <w:style w:type="character" w:customStyle="1" w:styleId="88">
    <w:name w:val="表格内容 字符"/>
    <w:basedOn w:val="37"/>
    <w:link w:val="87"/>
    <w:qFormat/>
    <w:uiPriority w:val="0"/>
    <w:rPr>
      <w:rFonts w:ascii="Times New Roman" w:hAnsi="Times New Roman" w:eastAsia="宋体"/>
    </w:rPr>
  </w:style>
  <w:style w:type="table" w:customStyle="1" w:styleId="89">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character" w:customStyle="1" w:styleId="90">
    <w:name w:val="font51"/>
    <w:basedOn w:val="37"/>
    <w:qFormat/>
    <w:uiPriority w:val="0"/>
    <w:rPr>
      <w:rFonts w:hint="eastAsia" w:ascii="宋体" w:hAnsi="宋体" w:eastAsia="宋体"/>
      <w:color w:val="000000"/>
      <w:sz w:val="40"/>
      <w:szCs w:val="40"/>
      <w:u w:val="none"/>
    </w:rPr>
  </w:style>
  <w:style w:type="table" w:customStyle="1" w:styleId="91">
    <w:name w:val="Grid Table Light"/>
    <w:basedOn w:val="3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92">
    <w:name w:val="Revision"/>
    <w:hidden/>
    <w:semiHidden/>
    <w:qFormat/>
    <w:uiPriority w:val="99"/>
    <w:rPr>
      <w:rFonts w:ascii="Times New Roman" w:hAnsi="Times New Roman" w:eastAsia="宋体" w:cstheme="minorBidi"/>
      <w:kern w:val="2"/>
      <w:sz w:val="24"/>
      <w:szCs w:val="22"/>
      <w:lang w:val="en-US" w:eastAsia="zh-CN" w:bidi="ar-SA"/>
      <w14:ligatures w14:val="standardContextual"/>
    </w:rPr>
  </w:style>
  <w:style w:type="character" w:customStyle="1" w:styleId="93">
    <w:name w:val="正文文本首行缩进 字符"/>
    <w:basedOn w:val="76"/>
    <w:link w:val="33"/>
    <w:qFormat/>
    <w:uiPriority w:val="0"/>
    <w:rPr>
      <w:rFonts w:ascii="Times New Roman" w:hAnsi="Times New Roman" w:eastAsia="宋体" w:cs="Times New Roman"/>
      <w:sz w:val="24"/>
      <w:szCs w:val="24"/>
    </w:rPr>
  </w:style>
  <w:style w:type="table" w:customStyle="1" w:styleId="94">
    <w:name w:val="网格型浅色1"/>
    <w:basedOn w:val="35"/>
    <w:qFormat/>
    <w:uiPriority w:val="40"/>
    <w:rPr>
      <w:rFonts w:ascii="Times New Roman" w:hAnsi="Times New Roman" w:eastAsia="宋体" w:cs="Times New Roman"/>
      <w:kern w:val="0"/>
      <w:sz w:val="20"/>
      <w:szCs w:val="20"/>
      <w14:ligatures w14:val="none"/>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95">
    <w:name w:val="修订1"/>
    <w:hidden/>
    <w:semiHidden/>
    <w:qFormat/>
    <w:uiPriority w:val="99"/>
    <w:rPr>
      <w:rFonts w:ascii="Times New Roman" w:hAnsi="Times New Roman" w:eastAsia="宋体" w:cstheme="minorBidi"/>
      <w:kern w:val="2"/>
      <w:sz w:val="24"/>
      <w:szCs w:val="22"/>
      <w:lang w:val="en-US" w:eastAsia="zh-CN" w:bidi="ar-SA"/>
      <w14:ligatures w14:val="standardContextual"/>
    </w:rPr>
  </w:style>
  <w:style w:type="paragraph" w:customStyle="1" w:styleId="96">
    <w:name w:val="Table Text"/>
    <w:basedOn w:val="1"/>
    <w:semiHidden/>
    <w:qFormat/>
    <w:uiPriority w:val="0"/>
    <w:rPr>
      <w:rFonts w:eastAsia="Times New Roman" w:cs="Times New Roman"/>
      <w:sz w:val="20"/>
      <w:szCs w:val="20"/>
      <w:lang w:eastAsia="en-US"/>
    </w:rPr>
  </w:style>
  <w:style w:type="character" w:customStyle="1" w:styleId="97">
    <w:name w:val="NormalCharacter"/>
    <w:qFormat/>
    <w:uiPriority w:val="0"/>
  </w:style>
  <w:style w:type="character" w:customStyle="1" w:styleId="98">
    <w:name w:val="脚注文本 字符"/>
    <w:basedOn w:val="37"/>
    <w:link w:val="26"/>
    <w:qFormat/>
    <w:uiPriority w:val="0"/>
    <w:rPr>
      <w:rFonts w:ascii="Times New Roman" w:hAnsi="Times New Roman" w:eastAsia="仿宋_GB2312" w:cs="Times New Roman"/>
      <w:szCs w:val="24"/>
      <w14:ligatures w14:val="none"/>
    </w:rPr>
  </w:style>
  <w:style w:type="paragraph" w:customStyle="1" w:styleId="99">
    <w:name w:val="专栏标题"/>
    <w:basedOn w:val="1"/>
    <w:link w:val="100"/>
    <w:qFormat/>
    <w:uiPriority w:val="0"/>
    <w:pPr>
      <w:overflowPunct w:val="0"/>
      <w:spacing w:line="560" w:lineRule="exact"/>
      <w:ind w:firstLine="0" w:firstLineChars="0"/>
      <w:jc w:val="center"/>
    </w:pPr>
    <w:rPr>
      <w:rFonts w:ascii="黑体" w:hAnsi="黑体" w:eastAsia="黑体" w:cs="黑体"/>
      <w:sz w:val="28"/>
      <w:szCs w:val="28"/>
      <w14:ligatures w14:val="none"/>
    </w:rPr>
  </w:style>
  <w:style w:type="character" w:customStyle="1" w:styleId="100">
    <w:name w:val="专栏标题 字符"/>
    <w:link w:val="99"/>
    <w:qFormat/>
    <w:uiPriority w:val="0"/>
    <w:rPr>
      <w:rFonts w:ascii="黑体" w:hAnsi="黑体" w:eastAsia="黑体" w:cs="黑体"/>
      <w:sz w:val="28"/>
      <w:szCs w:val="28"/>
      <w14:ligatures w14:val="none"/>
    </w:rPr>
  </w:style>
  <w:style w:type="paragraph" w:customStyle="1" w:styleId="101">
    <w:name w:val="专栏正文"/>
    <w:basedOn w:val="1"/>
    <w:link w:val="102"/>
    <w:qFormat/>
    <w:uiPriority w:val="0"/>
    <w:pPr>
      <w:overflowPunct w:val="0"/>
      <w:spacing w:line="560" w:lineRule="exact"/>
      <w:ind w:firstLine="562"/>
    </w:pPr>
    <w:rPr>
      <w:rFonts w:ascii="仿宋_GB2312" w:hAnsi="仿宋_GB2312" w:eastAsia="仿宋_GB2312" w:cs="仿宋_GB2312"/>
      <w:szCs w:val="28"/>
      <w14:ligatures w14:val="none"/>
    </w:rPr>
  </w:style>
  <w:style w:type="character" w:customStyle="1" w:styleId="102">
    <w:name w:val="专栏正文 字符"/>
    <w:link w:val="101"/>
    <w:qFormat/>
    <w:uiPriority w:val="0"/>
    <w:rPr>
      <w:rFonts w:ascii="仿宋_GB2312" w:hAnsi="仿宋_GB2312" w:eastAsia="仿宋_GB2312" w:cs="仿宋_GB2312"/>
      <w:sz w:val="24"/>
      <w:szCs w:val="28"/>
      <w14:ligatures w14:val="none"/>
    </w:rPr>
  </w:style>
  <w:style w:type="character" w:customStyle="1" w:styleId="103">
    <w:name w:val="font0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e96ff204-1b92-4a26-a675-507d62a791c3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48067527</paraID>
      <start>66</start>
      <end>67</end>
      <status>modified</status>
      <modifiedWord>—</modifiedWord>
      <trackRevisions>false</trackRevisions>
    </reviewItem>
    <reviewItem>
      <errorID>b5e17298-6ad4-4ff2-90bd-a6f7355a4ef7</errorID>
      <errorWord>创新</errorWord>
      <group>L1_Word</group>
      <groupName>字词问题</groupName>
      <ability>L2_Typo</ability>
      <abilityName>字词错误</abilityName>
      <candidateList>
        <item>新</item>
      </candidateList>
      <explain/>
      <paraID>18075C0A</paraID>
      <start>302</start>
      <end>304</end>
      <status>unmodified</status>
      <modifiedWord/>
      <trackRevisions>false</trackRevisions>
    </reviewItem>
    <reviewItem>
      <errorID>fbdfb77a-99cc-46f1-b4cc-a60bbfaa6ac3</errorID>
      <errorWord>"</errorWord>
      <group>L1_Format</group>
      <groupName>格式问题</groupName>
      <ability>L2_HalfPunc</ability>
      <abilityName>全半角检查</abilityName>
      <candidateList>
        <item>“</item>
      </candidateList>
      <explain>文本全半角错误。</explain>
      <paraID>24491449</paraID>
      <start>232</start>
      <end>233</end>
      <status>modified</status>
      <modifiedWord>“</modifiedWord>
      <trackRevisions>false</trackRevisions>
    </reviewItem>
    <reviewItem>
      <errorID>6022da91-60ba-411e-a5e2-44b7796656dd</errorID>
      <errorWord>"</errorWord>
      <group>L1_Format</group>
      <groupName>格式问题</groupName>
      <ability>L2_HalfPunc</ability>
      <abilityName>全半角检查</abilityName>
      <candidateList>
        <item>”</item>
      </candidateList>
      <explain>文本全半角错误。</explain>
      <paraID>24491449</paraID>
      <start>237</start>
      <end>238</end>
      <status>modified</status>
      <modifiedWord>”</modifiedWord>
      <trackRevisions>false</trackRevisions>
    </reviewItem>
    <reviewItem>
      <errorID>e3a78f81-17cf-478a-9c3d-5e4472dbcb3f</errorID>
      <errorWord>-</errorWord>
      <group>L1_Format</group>
      <groupName>格式问题</groupName>
      <ability>L2_HalfPunc</ability>
      <abilityName>全半角检查</abilityName>
      <candidateList>
        <item>－</item>
      </candidateList>
      <explain>文本全半角错误。</explain>
      <paraID>7CFFC6EE</paraID>
      <start>99</start>
      <end>100</end>
      <status>modified</status>
      <modifiedWord>－</modifiedWord>
      <trackRevisions>false</trackRevisions>
    </reviewItem>
    <reviewItem>
      <errorID>f7e8f434-4aac-4e1d-88ce-9dbc28cffda8</errorID>
      <errorWord>-</errorWord>
      <group>L1_Format</group>
      <groupName>格式问题</groupName>
      <ability>L2_HalfPunc</ability>
      <abilityName>全半角检查</abilityName>
      <candidateList>
        <item>－</item>
      </candidateList>
      <explain>文本全半角错误。</explain>
      <paraID>7CFFC6EE</paraID>
      <start>102</start>
      <end>103</end>
      <status>modified</status>
      <modifiedWord>－</modifiedWord>
      <trackRevisions>false</trackRevisions>
    </reviewItem>
    <reviewItem>
      <errorID>71786495-a07f-4ce1-a330-abc7965a2dab</errorID>
      <errorWord>减污、降碳、扩绿、增长</errorWord>
      <group>L1_Political</group>
      <groupName>政治性问题</groupName>
      <ability>L2_Keyword</ability>
      <abilityName>固定表述</abilityName>
      <candidateList>
        <item>降碳、减污、扩绿、增长</item>
      </candidateList>
      <explain>词汇“降碳、减污、扩绿、增长”在特定场景下为固定表述形式，请确认此处的“减污、降碳、扩绿、增长”是否存在不当。</explain>
      <paraID> D36C577</paraID>
      <start>147</start>
      <end>158</end>
      <status>modified</status>
      <modifiedWord>降碳、减污、扩绿、增长</modifiedWord>
      <trackRevisions>false</trackRevisions>
    </reviewItem>
    <reviewItem>
      <errorID>d1ee6bbc-e471-4d2c-802c-3c622eedb72d</errorID>
      <errorWord>(</errorWord>
      <group>L1_Format</group>
      <groupName>格式问题</groupName>
      <ability>L2_HalfPunc</ability>
      <abilityName>全半角检查</abilityName>
      <candidateList>
        <item>（</item>
      </candidateList>
      <explain>文本全半角错误。</explain>
      <paraID>756221F4</paraID>
      <start>34</start>
      <end>35</end>
      <status>modified</status>
      <modifiedWord>（</modifiedWord>
      <trackRevisions>false</trackRevisions>
    </reviewItem>
    <reviewItem>
      <errorID>5d205e20-65ed-4215-89d3-cfbec2455fec</errorID>
      <errorWord>)</errorWord>
      <group>L1_Format</group>
      <groupName>格式问题</groupName>
      <ability>L2_HalfPunc</ability>
      <abilityName>全半角检查</abilityName>
      <candidateList>
        <item>）</item>
      </candidateList>
      <explain>文本全半角错误。</explain>
      <paraID>756221F4</paraID>
      <start>36</start>
      <end>37</end>
      <status>modified</status>
      <modifiedWord>）</modifiedWord>
      <trackRevisions>false</trackRevisions>
    </reviewItem>
    <reviewItem>
      <errorID>3d86e5b8-6617-48d7-bc37-26ee9e1088d5</errorID>
      <errorWord>农业农村污染防治攻坚战</errorWord>
      <group>L1_Political</group>
      <groupName>政治性问题</groupName>
      <ability>L2_Keyword</ability>
      <abilityName>固定表述</abilityName>
      <candidateList>
        <item>农业农村污染治理攻坚战</item>
      </candidateList>
      <explain>词汇“农业农村污染治理攻坚战”在特定场景下为固定表述形式，请确认此处的“农业农村污染防治攻坚战”是否存在不当。</explain>
      <paraID>10316916</paraID>
      <start>46</start>
      <end>57</end>
      <status>modified</status>
      <modifiedWord>农业农村污染治理攻坚战</modifiedWord>
      <trackRevisions>false</trackRevisions>
    </reviewItem>
    <reviewItem>
      <errorID>93374e8b-c980-47ed-8f58-97e8d7f28ee9</errorID>
      <errorWord>“绿水青山就是金山银山”实践基地</errorWord>
      <group>L1_Political</group>
      <groupName>政治性问题</groupName>
      <ability>L2_Keyword</ability>
      <abilityName>固定表述</abilityName>
      <candidateList>
        <item>“绿水青山就是金山银山”实践创新基地</item>
      </candidateList>
      <explain>词汇““绿水青山就是金山银山”实践创新基地”在特定场景下为固定表述形式，请确认此处的““绿水青山就是金山银山”实践基地”是否存在不当。</explain>
      <paraID>17B782D7</paraID>
      <start>94</start>
      <end>112</end>
      <status>modified</status>
      <modifiedWord>“绿水青山就是金山银山”实践创新基地</modifiedWord>
      <trackRevisions>false</trackRevisions>
    </reviewItem>
    <reviewItem>
      <errorID>21741150-b307-4398-9058-65914315c308</errorID>
      <errorWord>源</errorWord>
      <group>L1_Word</group>
      <groupName>字词问题</groupName>
      <ability>L2_Typo</ability>
      <abilityName>字词错误</abilityName>
      <candidateList>
        <item>源汽</item>
      </candidateList>
      <explain/>
      <paraID>2AF9BAD4</paraID>
      <start>116</start>
      <end>118</end>
      <status>modified</status>
      <modifiedWord>源汽</modifiedWord>
      <trackRevisions>false</trackRevisions>
    </reviewItem>
    <reviewItem>
      <errorID>f41a641b-f142-4c6a-84d5-bcd4901a7dfd</errorID>
      <errorWord>、就</errorWord>
      <group>L1_Punc</group>
      <groupName>标点问题</groupName>
      <ability>L2_Punc</ability>
      <abilityName>标点符号检查</abilityName>
      <candidateList>
        <item>，就</item>
      </candidateList>
      <explain>连接词前后不宜使用顿号，建议使用逗号。</explain>
      <paraID>79A04A1E</paraID>
      <start>196</start>
      <end>198</end>
      <status>modified</status>
      <modifiedWord>，就</modifiedWord>
      <trackRevisions>false</trackRevisions>
    </reviewItem>
    <reviewItem>
      <errorID>f833fe9b-506f-4088-a94e-08ecd9e96914</errorID>
      <errorWord>圾</errorWord>
      <group>L1_Word</group>
      <groupName>字词问题</groupName>
      <ability>L2_Typo</ability>
      <abilityName>字词错误</abilityName>
      <candidateList>
        <item>圾和</item>
      </candidateList>
      <explain/>
      <paraID>1E4788FE</paraID>
      <start>5</start>
      <end>7</end>
      <status>modified</status>
      <modifiedWord>圾和</modifiedWord>
      <trackRevisions>false</trackRevisions>
    </reviewItem>
    <reviewItem>
      <errorID>99966612-67ea-4058-bc11-c0db4b3180b5</errorID>
      <errorWord>，</errorWord>
      <group>L1_Word</group>
      <groupName>字词问题</groupName>
      <ability>L2_Typo</ability>
      <abilityName>字词错误</abilityName>
      <candidateList>
        <item>，在</item>
      </candidateList>
      <explain/>
      <paraID>194BA5C9</paraID>
      <start>31</start>
      <end>32</end>
      <status>unmodified</status>
      <modifiedWord/>
      <trackRevisions>false</trackRevisions>
    </reviewItem>
    <reviewItem>
      <errorID>7691366b-5013-4558-9c8c-4d576304caa8</errorID>
      <errorWord>(</errorWord>
      <group>L1_Format</group>
      <groupName>格式问题</groupName>
      <ability>L2_HalfPunc</ability>
      <abilityName>全半角检查</abilityName>
      <candidateList>
        <item>（</item>
      </candidateList>
      <explain>文本全半角错误。</explain>
      <paraID>7C623AB2</paraID>
      <start>58</start>
      <end>59</end>
      <status>modified</status>
      <modifiedWord>（</modifiedWord>
      <trackRevisions>false</trackRevisions>
    </reviewItem>
    <reviewItem>
      <errorID>91f2e3e2-ddb7-424b-8f5c-8c4dcc4af18e</errorID>
      <errorWord>)</errorWord>
      <group>L1_Format</group>
      <groupName>格式问题</groupName>
      <ability>L2_HalfPunc</ability>
      <abilityName>全半角检查</abilityName>
      <candidateList>
        <item>）</item>
      </candidateList>
      <explain>文本全半角错误。</explain>
      <paraID>7C623AB2</paraID>
      <start>60</start>
      <end>61</end>
      <status>modified</status>
      <modifiedWord>）</modifiedWord>
      <trackRevisions>false</trackRevisions>
    </reviewItem>
    <reviewItem>
      <errorID>e7768cca-3582-4129-b17c-d4815b36266d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18B1A6A8</paraID>
      <start>0</start>
      <end>2</end>
      <status>modified</status>
      <modifiedWord>2.</modifiedWord>
      <trackRevisions>false</trackRevisions>
    </reviewItem>
    <reviewItem>
      <errorID>42893357-d504-4bfa-a376-684da5a5b402</errorID>
      <errorWord>(</errorWord>
      <group>L1_Format</group>
      <groupName>格式问题</groupName>
      <ability>L2_HalfPunc</ability>
      <abilityName>全半角检查</abilityName>
      <candidateList>
        <item>（</item>
      </candidateList>
      <explain>文本全半角错误。</explain>
      <paraID>64C14999</paraID>
      <start>108</start>
      <end>109</end>
      <status>modified</status>
      <modifiedWord>（</modifiedWord>
      <trackRevisions>false</trackRevisions>
    </reviewItem>
    <reviewItem>
      <errorID>4be02dac-a439-4996-9251-90289d6a4ef7</errorID>
      <errorWord>)</errorWord>
      <group>L1_Format</group>
      <groupName>格式问题</groupName>
      <ability>L2_HalfPunc</ability>
      <abilityName>全半角检查</abilityName>
      <candidateList>
        <item>）</item>
      </candidateList>
      <explain>文本全半角错误。</explain>
      <paraID>64C14999</paraID>
      <start>110</start>
      <end>111</end>
      <status>modified</status>
      <modifiedWord>）</modifiedWord>
      <trackRevisions>false</trackRevisions>
    </reviewItem>
    <reviewItem>
      <errorID>635e91df-51db-45b7-a34c-ea246e27a7ed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2D2C2C44</paraID>
      <start>0</start>
      <end>2</end>
      <status>modified</status>
      <modifiedWord>2.</modifiedWord>
      <trackRevisions>false</trackRevisions>
    </reviewItem>
    <reviewItem>
      <errorID>5f44120d-2e98-41b4-8539-e0c27d3597f6</errorID>
      <errorWord>,</errorWord>
      <group>L1_Format</group>
      <groupName>格式问题</groupName>
      <ability>L2_HalfPunc</ability>
      <abilityName>全半角检查</abilityName>
      <candidateList>
        <item>，</item>
      </candidateList>
      <explain>文本全半角错误。</explain>
      <paraID>7ED14D6F</paraID>
      <start>34</start>
      <end>35</end>
      <status>modified</status>
      <modifiedWord>，</modifiedWord>
      <trackRevisions>false</trackRevisions>
    </reviewItem>
    <reviewItem>
      <errorID>20cabf70-6bb0-4cbf-bfac-6b0bcf40526a</errorID>
      <errorWord>(</errorWord>
      <group>L1_Format</group>
      <groupName>格式问题</groupName>
      <ability>L2_HalfPunc</ability>
      <abilityName>全半角检查</abilityName>
      <candidateList>
        <item>（</item>
      </candidateList>
      <explain>文本全半角错误。</explain>
      <paraID>5694C40D</paraID>
      <start>249</start>
      <end>250</end>
      <status>modified</status>
      <modifiedWord>（</modifiedWord>
      <trackRevisions>false</trackRevisions>
    </reviewItem>
    <reviewItem>
      <errorID>0fec9d34-936a-44ae-89bd-90df54273617</errorID>
      <errorWord>)</errorWord>
      <group>L1_Format</group>
      <groupName>格式问题</groupName>
      <ability>L2_HalfPunc</ability>
      <abilityName>全半角检查</abilityName>
      <candidateList>
        <item>）</item>
      </candidateList>
      <explain>文本全半角错误。</explain>
      <paraID>5694C40D</paraID>
      <start>254</start>
      <end>255</end>
      <status>modified</status>
      <modifiedWord>）</modifiedWord>
      <trackRevisions>false</trackRevisions>
    </reviewItem>
    <reviewItem>
      <errorID>a83b1e0a-b492-4053-a3eb-4ff4345c989f</errorID>
      <errorWord>碳排放核算制度</errorWord>
      <group>L1_Political</group>
      <groupName>政治性问题</groupName>
      <ability>L2_Keyword</ability>
      <abilityName>固定表述</abilityName>
      <candidateList>
        <item>碳排放统计核算制度</item>
      </candidateList>
      <explain>词汇“碳排放统计核算制度”在特定场景下为固定表述形式，请确认此处的“碳排放核算制度”是否存在不当。</explain>
      <paraID>3072B1AC</paraID>
      <start>103</start>
      <end>112</end>
      <status>modified</status>
      <modifiedWord>碳排放统计核算制度</modifiedWord>
      <trackRevisions>false</trackRevisions>
    </reviewItem>
    <reviewItem>
      <errorID>0717f32e-8ad6-43be-acc6-89ddb8d4e876</errorID>
      <errorWord>碳排放核算制度</errorWord>
      <group>L1_Political</group>
      <groupName>政治性问题</groupName>
      <ability>L2_Keyword</ability>
      <abilityName>固定表述</abilityName>
      <candidateList>
        <item>碳排放统计核算制度</item>
      </candidateList>
      <explain>词汇“碳排放统计核算制度”在特定场景下为固定表述形式，请确认此处的“碳排放核算制度”是否存在不当。</explain>
      <paraID>24BF8A9A</paraID>
      <start>12</start>
      <end>21</end>
      <status>modified</status>
      <modifiedWord>碳排放统计核算制度</modifiedWord>
      <trackRevisions>false</trackRevisions>
    </reviewItem>
    <reviewItem>
      <errorID>087e7e6d-e91c-477b-b380-f8e5d012eb1f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38B222A3</paraID>
      <start>196</start>
      <end>197</end>
      <status>modified</status>
      <modifiedWord>—</modifiedWord>
      <trackRevisions>false</trackRevisions>
    </reviewItem>
    <reviewItem>
      <errorID>b7891a9f-f04e-41ff-87cb-005a7c3f5808</errorID>
      <errorWord>生物多样性保护工程</errorWord>
      <group>L1_Political</group>
      <groupName>政治性问题</groupName>
      <ability>L2_Keyword</ability>
      <abilityName>固定表述</abilityName>
      <candidateList>
        <item>生物多样性保护重大工程</item>
      </candidateList>
      <explain>词汇“生物多样性保护重大工程”在特定场景下为固定表述形式，请确认此处的“生物多样性保护工程”是否存在不当。</explain>
      <paraID>118771E9</paraID>
      <start>273</start>
      <end>282</end>
      <status>unmodified</status>
      <modifiedWord/>
      <trackRevisions>false</trackRevisions>
    </reviewItem>
    <reviewItem>
      <errorID>4eac3844-4878-4553-b6b0-2cafbdc6832a</errorID>
      <errorWord>(</errorWord>
      <group>L1_Format</group>
      <groupName>格式问题</groupName>
      <ability>L2_HalfPunc</ability>
      <abilityName>全半角检查</abilityName>
      <candidateList>
        <item>（</item>
      </candidateList>
      <explain>文本全半角错误。</explain>
      <paraID>74ED183C</paraID>
      <start>108</start>
      <end>109</end>
      <status>modified</status>
      <modifiedWord>（</modifiedWord>
      <trackRevisions>false</trackRevisions>
    </reviewItem>
    <reviewItem>
      <errorID>b672288e-a40c-42b5-909c-93e263cb2e19</errorID>
      <errorWord>)</errorWord>
      <group>L1_Format</group>
      <groupName>格式问题</groupName>
      <ability>L2_HalfPunc</ability>
      <abilityName>全半角检查</abilityName>
      <candidateList>
        <item>）</item>
      </candidateList>
      <explain>文本全半角错误。</explain>
      <paraID>74ED183C</paraID>
      <start>110</start>
      <end>111</end>
      <status>modified</status>
      <modifiedWord>）</modifiedWord>
      <trackRevisions>false</trackRevisions>
    </reviewItem>
    <reviewItem>
      <errorID>f727ace1-7fd8-4175-a766-633fd5914033</errorID>
      <errorWord>(</errorWord>
      <group>L1_Format</group>
      <groupName>格式问题</groupName>
      <ability>L2_HalfPunc</ability>
      <abilityName>全半角检查</abilityName>
      <candidateList>
        <item>（</item>
      </candidateList>
      <explain>文本全半角错误。</explain>
      <paraID>306593FC</paraID>
      <start>59</start>
      <end>60</end>
      <status>modified</status>
      <modifiedWord>（</modifiedWord>
      <trackRevisions>false</trackRevisions>
    </reviewItem>
    <reviewItem>
      <errorID>0038bd74-e3ac-47b5-9488-5fc2af137b94</errorID>
      <errorWord>)</errorWord>
      <group>L1_Format</group>
      <groupName>格式问题</groupName>
      <ability>L2_HalfPunc</ability>
      <abilityName>全半角检查</abilityName>
      <candidateList>
        <item>）</item>
      </candidateList>
      <explain>文本全半角错误。</explain>
      <paraID>306593FC</paraID>
      <start>61</start>
      <end>62</end>
      <status>modified</status>
      <modifiedWord>）</modifiedWord>
      <trackRevisions>false</trackRevisions>
    </reviewItem>
    <reviewItem>
      <errorID>4b18411b-e0e5-430c-abaa-3d5ff4746a50</errorID>
      <errorWord>报送</errorWord>
      <group>L1_Word</group>
      <groupName>字词问题</groupName>
      <ability>L2_Typo</ability>
      <abilityName>字词错误</abilityName>
      <candidateList>
        <item>报</item>
      </candidateList>
      <explain/>
      <paraID>2BA5AA99</paraID>
      <start>47</start>
      <end>48</end>
      <status>modified</status>
      <modifiedWord>报</modifiedWord>
      <trackRevisions>false</trackRevisions>
    </reviewItem>
    <reviewItem>
      <errorID>8a245f2d-da7a-4945-8ea9-6b467a66fb28</errorID>
      <errorWord>物资</errorWord>
      <group>L1_Grammar</group>
      <groupName>语法问题</groupName>
      <ability>L2_Grammar</ability>
      <abilityName>语法错误</abilityName>
      <candidateList>
        <item>补给</item>
      </candidateList>
      <explain>“物资～能力”搭配不当，建议修改为“补给～能力”。</explain>
      <paraID>2BA5AA99</paraID>
      <start>197</start>
      <end>199</end>
      <status>unmodified</status>
      <modifiedWord/>
      <trackRevisions>false</trackRevisions>
    </reviewItem>
    <reviewItem>
      <errorID>52e0cf70-cbfb-4541-9bb9-309cdee39e3b</errorID>
      <errorWord>５</errorWord>
      <group>L1_Format</group>
      <groupName>格式问题</groupName>
      <ability>L2_HalfPunc</ability>
      <abilityName>全半角检查</abilityName>
      <candidateList>
        <item>5</item>
      </candidateList>
      <explain>文本全半角错误。</explain>
      <paraID>406F1EDB</paraID>
      <start>51</start>
      <end>52</end>
      <status>modified</status>
      <modifiedWord>5</modifiedWord>
      <trackRevisions>false</trackRevisions>
    </reviewItem>
    <reviewItem>
      <errorID>66582c49-28ae-40b6-a844-1b8b49a1dc61</errorID>
      <errorWord>提升提升</errorWord>
      <group>L1_Word</group>
      <groupName>字词问题</groupName>
      <ability>L2_Typo</ability>
      <abilityName>字词错误</abilityName>
      <candidateList>
        <item>提升</item>
      </candidateList>
      <explain/>
      <paraID>701BC382</paraID>
      <start>80</start>
      <end>82</end>
      <status>modified</status>
      <modifiedWord>提升</modifiedWord>
      <trackRevisions>false</trackRevisions>
    </reviewItem>
    <reviewItem>
      <errorID>bd3ca569-ce90-45d3-9bd8-d57c8ca0a0be</errorID>
      <errorWord>(</errorWord>
      <group>L1_Format</group>
      <groupName>格式问题</groupName>
      <ability>L2_HalfPunc</ability>
      <abilityName>全半角检查</abilityName>
      <candidateList>
        <item>（</item>
      </candidateList>
      <explain>文本全半角错误。</explain>
      <paraID>6CAC1390</paraID>
      <start>97</start>
      <end>98</end>
      <status>modified</status>
      <modifiedWord>（</modifiedWord>
      <trackRevisions>false</trackRevisions>
    </reviewItem>
    <reviewItem>
      <errorID>946e4a24-843f-4598-9015-94b35869cec5</errorID>
      <errorWord>)</errorWord>
      <group>L1_Format</group>
      <groupName>格式问题</groupName>
      <ability>L2_HalfPunc</ability>
      <abilityName>全半角检查</abilityName>
      <candidateList>
        <item>）</item>
      </candidateList>
      <explain>文本全半角错误。</explain>
      <paraID>6CAC1390</paraID>
      <start>101</start>
      <end>102</end>
      <status>modified</status>
      <modifiedWord>）</modifiedWord>
      <trackRevisions>false</trackRevisions>
    </reviewItem>
    <reviewItem>
      <errorID>3c4e3bb1-1b9f-4bac-b285-349b3714c8ad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1AC19357</paraID>
      <start>107</start>
      <end>109</end>
      <status>modified</status>
      <modifiedWord>”“</modifiedWord>
      <trackRevisions>false</trackRevisions>
    </reviewItem>
    <reviewItem>
      <errorID>3d6af332-6c60-410d-a468-2547b5412e0a</errorID>
      <errorWord>域</errorWord>
      <group>L1_Word</group>
      <groupName>字词问题</groupName>
      <ability>L2_Typo</ability>
      <abilityName>字词错误</abilityName>
      <candidateList>
        <item>域监</item>
      </candidateList>
      <explain/>
      <paraID>2B9B4951</paraID>
      <start>74</start>
      <end>76</end>
      <status>modified</status>
      <modifiedWord>域监</modifiedWord>
      <trackRevisions>false</trackRevisions>
    </reviewItem>
    <reviewItem>
      <errorID>c5b0f530-3c11-49d6-8262-5114d41de40a</errorID>
      <errorWord>测</errorWord>
      <group>L1_Word</group>
      <groupName>字词问题</groupName>
      <ability>L2_Typo</ability>
      <abilityName>字词错误</abilityName>
      <candidateList>
        <item>的</item>
      </candidateList>
      <explain>存在发音相近字词的误用。</explain>
      <paraID>2B9B4951</paraID>
      <start>76</start>
      <end>77</end>
      <status>unmodified</status>
      <modifiedWord/>
      <trackRevisions>false</trackRevisions>
    </reviewItem>
    <reviewItem>
      <errorID>7fa0d1b2-c977-4b42-8a6e-8193b819c642</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47C6D31B</paraID>
      <start>92</start>
      <end>96</end>
      <status>unmodified</status>
      <modifiedWord/>
      <trackRevisions>false</trackRevisions>
    </reviewItem>
    <reviewItem>
      <errorID>5de62b91-90a3-4951-bd3e-a0fc68240b17</errorID>
      <errorWord>核心关键技术</errorWord>
      <group>L1_Word</group>
      <groupName>字词问题</groupName>
      <ability>L2_Typo</ability>
      <abilityName>字词错误</abilityName>
      <candidateList>
        <item>关键核心技术</item>
      </candidateList>
      <explain/>
      <paraID>38A63DA6</paraID>
      <start>39</start>
      <end>45</end>
      <status>modified</status>
      <modifiedWord>关键核心技术</modifiedWord>
      <trackRevisions>false</trackRevisions>
    </reviewItem>
    <reviewItem>
      <errorID>cccfab71-6742-466f-8874-74fa57d718b6</errorID>
      <errorWord>污水厂</errorWord>
      <group>L1_Word</group>
      <groupName>字词问题</groupName>
      <ability>L2_Typo</ability>
      <abilityName>字词错误</abilityName>
      <candidateList>
        <item>污水处理厂</item>
      </candidateList>
      <explain/>
      <paraID>69D85211</paraID>
      <start>14</start>
      <end>19</end>
      <status>modified</status>
      <modifiedWord>污水处理厂</modifiedWord>
      <trackRevisions>false</trackRevisions>
    </reviewItem>
    <reviewItem>
      <errorID>837722fa-8cc6-4f1e-a1e6-d5042c64a964</errorID>
      <errorWord>,</errorWord>
      <group>L1_Format</group>
      <groupName>格式问题</groupName>
      <ability>L2_HalfPunc</ability>
      <abilityName>全半角检查</abilityName>
      <candidateList>
        <item>，</item>
      </candidateList>
      <explain>文本全半角错误。</explain>
      <paraID>5F8CEDC7</paraID>
      <start>57</start>
      <end>58</end>
      <status>modified</status>
      <modifiedWord>，</modifiedWord>
      <trackRevisions>false</trackRevisions>
    </reviewItem>
    <reviewItem>
      <errorID>e22ede68-e39e-41d7-b2aa-175e10be6fb7</errorID>
      <errorWord>公</errorWord>
      <group>L1_Word</group>
      <groupName>字词问题</groupName>
      <ability>L2_Typo</ability>
      <abilityName>字词错误</abilityName>
      <candidateList>
        <item>共</item>
      </candidateList>
      <explain>存在发音相同字词的误用。</explain>
      <paraID>664295D3</paraID>
      <start>14</start>
      <end>15</end>
      <status>modified</status>
      <modifiedWord>共</modifiedWord>
      <trackRevisions>false</trackRevisions>
    </reviewItem>
    <reviewItem>
      <errorID>b6bf6666-f8bb-4cab-9300-dec9e626c581</errorID>
      <errorWord>接至接至</errorWord>
      <group>L1_Word</group>
      <groupName>字词问题</groupName>
      <ability>L2_Typo</ability>
      <abilityName>字词错误</abilityName>
      <candidateList>
        <item>接至</item>
      </candidateList>
      <explain/>
      <paraID>49BFEBCD</paraID>
      <start>143</start>
      <end>145</end>
      <status>modified</status>
      <modifiedWord>接至</modifiedWord>
      <trackRevisions>false</trackRevisions>
    </reviewItem>
    <reviewItem>
      <errorID>034ce31c-5153-4d77-99b8-b6e93e3cc4f4</errorID>
      <errorWord>泄露</errorWord>
      <group>L1_Word</group>
      <groupName>字词问题</groupName>
      <ability>L2_Typo</ability>
      <abilityName>字词错误</abilityName>
      <candidateList>
        <item>泄漏</item>
      </candidateList>
      <explain>存在发音相同字词的误用。</explain>
      <paraID>2F0FF056</paraID>
      <start>108</start>
      <end>110</end>
      <status>modified</status>
      <modifiedWord>泄漏</modifiedWord>
      <trackRevisions>false</trackRevisions>
    </reviewItem>
    <reviewItem>
      <errorID>4a5ef10f-5ff8-4aec-8bca-4c7f9226acb5</errorID>
      <errorWord>域</errorWord>
      <group>L1_Word</group>
      <groupName>字词问题</groupName>
      <ability>L2_Typo</ability>
      <abilityName>字词错误</abilityName>
      <candidateList>
        <item>域监</item>
      </candidateList>
      <explain/>
      <paraID>2090821A</paraID>
      <start>309</start>
      <end>311</end>
      <status>modified</status>
      <modifiedWord>域监</modifiedWord>
      <trackRevisions>false</trackRevisions>
    </reviewItem>
    <reviewItem>
      <errorID>de110e5e-fd19-48c0-85e5-57d6a239f8e0</errorID>
      <errorWord>测</errorWord>
      <group>L1_Word</group>
      <groupName>字词问题</groupName>
      <ability>L2_Typo</ability>
      <abilityName>字词错误</abilityName>
      <candidateList>
        <item>的</item>
      </candidateList>
      <explain>存在发音相近字词的误用。</explain>
      <paraID>2090821A</paraID>
      <start>311</start>
      <end>312</end>
      <status>unmodified</status>
      <modifiedWord/>
      <trackRevisions>false</trackRevisions>
    </reviewItem>
    <reviewItem>
      <errorID>aeadeea5-0fe8-47d5-8b31-45433177f473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15A56A1A</paraID>
      <start>0</start>
      <end>3</end>
      <status>modified</status>
      <modifiedWord>（一）</modifiedWord>
      <trackRevisions>false</trackRevisions>
    </reviewItem>
    <reviewItem>
      <errorID>ab226893-9eb6-4bbd-b143-ef7021f3351a</errorID>
      <errorWord>形成监</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15A56A1A</paraID>
      <start>244</start>
      <end>246</end>
      <status>modified</status>
      <modifiedWord>形成</modifiedWord>
      <trackRevisions>false</trackRevisions>
    </reviewItem>
    <reviewItem>
      <errorID>53d12d7b-9c67-4289-88aa-c80cae2f0489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4BEC41DE</paraID>
      <start>0</start>
      <end>3</end>
      <status>modified</status>
      <modifiedWord>（二）</modifiedWord>
      <trackRevisions>false</trackRevisions>
    </reviewItem>
    <reviewItem>
      <errorID>22f09582-d80c-4809-bd9a-0e8e381a6f0c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3E738C36</paraID>
      <start>0</start>
      <end>3</end>
      <status>modified</status>
      <modifiedWord>（三）</modifiedWord>
      <trackRevisions>false</trackRevisions>
    </reviewItem>
    <reviewItem>
      <errorID>d75d44cc-8845-4665-b4e5-0b5db816527b</errorID>
      <errorWord>便携式便携式</errorWord>
      <group>L1_Word</group>
      <groupName>字词问题</groupName>
      <ability>L2_Typo</ability>
      <abilityName>字词错误</abilityName>
      <candidateList>
        <item>便携式</item>
      </candidateList>
      <explain/>
      <paraID>1046E2C5</paraID>
      <start>46</start>
      <end>49</end>
      <status>modified</status>
      <modifiedWord>便携式</modifiedWord>
      <trackRevisions>false</trackRevisions>
    </reviewItem>
    <reviewItem>
      <errorID>52b62a3a-b56c-425c-b093-bb372ee2a043</errorID>
      <errorWord>泄露</errorWord>
      <group>L1_Word</group>
      <groupName>字词问题</groupName>
      <ability>L2_Typo</ability>
      <abilityName>字词错误</abilityName>
      <candidateList>
        <item>泄漏</item>
      </candidateList>
      <explain>存在发音相同字词的误用。</explain>
      <paraID>1046E2C5</paraID>
      <start>58</start>
      <end>60</end>
      <status>modified</status>
      <modifiedWord>泄漏</modifiedWord>
      <trackRevisions>false</trackRevisions>
    </reviewItem>
  </reviewItems>
  <config/>
</contractReview>
</file>

<file path=customXml/itemProps1.xml><?xml version="1.0" encoding="utf-8"?>
<ds:datastoreItem xmlns:ds="http://schemas.openxmlformats.org/officeDocument/2006/customXml" ds:itemID="{FC54CC73-7890-43DB-A8A1-34261BE20EEE}">
  <ds:schemaRefs/>
</ds:datastoreItem>
</file>

<file path=customXml/itemProps2.xml><?xml version="1.0" encoding="utf-8"?>
<ds:datastoreItem xmlns:ds="http://schemas.openxmlformats.org/officeDocument/2006/customXml" ds:itemID="{0cd0acd7-a8d2-4eea-8e6f-5f49ac288d25}">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4553</Words>
  <Characters>4804</Characters>
  <Lines>952</Lines>
  <Paragraphs>214</Paragraphs>
  <TotalTime>2</TotalTime>
  <ScaleCrop>false</ScaleCrop>
  <LinksUpToDate>false</LinksUpToDate>
  <CharactersWithSpaces>4915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2025-09-21T10:11:00Z</dcterms:created>
  <dc:creator>xuchuan lu</dc:creator>
  <cp:lastModifiedBy>辛苗苗</cp:lastModifiedBy>
  <dcterms:modified xsi:type="dcterms:W3CDTF">2026-05-19T03:31:44Z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eyJoZGlkIjoiMDQzNjY1ZmFhODNjY2Y2NTAyMTUzYjVkNWRiNDM1OGIiLCJ1c2VySWQiOiIyMjcyNzkwNDUifQ==</vt:lpwstr>
  </property>
  <property fmtid="{D5CDD505-2E9C-101B-9397-08002B2CF9AE}" pid="3" name="KSOProductBuildVer">
    <vt:lpwstr>2052-12.1.0.26375</vt:lpwstr>
  </property>
  <property fmtid="{D5CDD505-2E9C-101B-9397-08002B2CF9AE}" pid="4" name="ICV">
    <vt:lpwstr>5F576404529A491EAE841F17E539FFB7_13</vt:lpwstr>
  </property>
</Properties>
</file>