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sz w:val="52"/>
          <w:szCs w:val="52"/>
        </w:rPr>
      </w:pPr>
      <w:r>
        <w:rPr>
          <w:rFonts w:eastAsia="黑体"/>
          <w:sz w:val="52"/>
          <w:szCs w:val="52"/>
        </w:rPr>
        <w:t>产品质量监督抽查实施细则</w:t>
      </w:r>
    </w:p>
    <w:p>
      <w:pPr>
        <w:spacing w:line="440" w:lineRule="exact"/>
        <w:jc w:val="center"/>
        <w:rPr>
          <w:rFonts w:eastAsia="黑体"/>
          <w:sz w:val="44"/>
          <w:szCs w:val="44"/>
        </w:rPr>
      </w:pPr>
      <w:r>
        <w:rPr>
          <w:rFonts w:eastAsia="黑体"/>
          <w:sz w:val="44"/>
          <w:szCs w:val="44"/>
        </w:rPr>
        <w:pict>
          <v:line id="直线 18" o:spid="_x0000_s1026" o:spt="20" style="position:absolute;left:0pt;flip:y;margin-left:5.4pt;margin-top:7.95pt;height:0.15pt;width:409.5pt;z-index:251664384;mso-width-relative:page;mso-height-relative:page;" coordsize="21600,21600" o:gfxdata="UEsDBAoAAAAAAIdO4kAAAAAAAAAAAAAAAAAEAAAAZHJzL1BLAwQUAAAACACHTuJAEUCA3tYAAAAI&#10;AQAADwAAAGRycy9kb3ducmV2LnhtbE2PT0/DMAzF70h8h8hI3FjSShtbaboDfyQkVCEGl928xrQV&#10;jVM1WTe+PeYEJ+u9Zz3/XG7PflAzTbEPbCFbGFDETXA9txY+3p9u1qBiQnY4BCYL3xRhW11elFi4&#10;cOI3mnepVVLCsUALXUpjoXVsOvIYF2EkluwzTB6TyKnVbsKTlPtB58astMee5UKHI9131Hztjt7C&#10;nNX8+vy4Dw8vWLfLrHb75jZZe32VmTtQic7pbxl+8QUdKmE6hCO7qAbRRsiTzOUGlOTrfCPGQYxV&#10;Droq9f8Hqh9QSwMEFAAAAAgAh07iQAUZKOjfAQAAsAMAAA4AAABkcnMvZTJvRG9jLnhtbK1TwW7b&#10;MAy9D9g/CLovdgJk64w4PSToLt0WoN3uiizHwiRREJXY+Zb9xk677HP6G6NkL127Sw/zQRBF8pHv&#10;kV5dD9awkwqowdV8Pis5U05Co92h5l/ub95ccYZRuEYYcKrmZ4X8ev361ar3lVpAB6ZRgRGIw6r3&#10;Ne9i9FVRoOyUFTgDrxw5WwhWRDLDoWiC6AndmmJRlm+LHkLjA0iFSK/b0cknxPASQGhbLdUW5NEq&#10;F0fUoIyIRAk77ZGvc7dtq2T83LaoIjM1J6Yxn1SE7vt0FuuVqA5B+E7LqQXxkhaecbJCOyp6gdqK&#10;KNgx6H+grJYBENo4k2CLkUhWhFjMy2fa3HXCq8yFpEZ/ER3/H6z8dNoFppuaLzlzwtLAH77/ePj5&#10;i82vkji9x4piNm4XEj05uDt/C/IbMgebTriDyk3enz1lzlNG8SQlGeipxL7/CA3FiGOErNTQBsta&#10;o/3XlJjASQ025NGcL6NRQ2SSHpdpdZY0NUm++ftymUuJKqGkXB8wflBgWbrU3GiXhBOVON1iTF09&#10;hqRnBzfamDx841hPkIt3ZZkzEIxukjfFYTjsNyawk0j7k7+p8JOwAEfXjFWMmyRIrEf99tCcd+GP&#10;NDTI3M60dGlT/rZz9uOPt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UCA3tYAAAAIAQAADwAA&#10;AAAAAAABACAAAAAiAAAAZHJzL2Rvd25yZXYueG1sUEsBAhQAFAAAAAgAh07iQAUZKOjfAQAAsAMA&#10;AA4AAAAAAAAAAQAgAAAAJQEAAGRycy9lMm9Eb2MueG1sUEsFBgAAAAAGAAYAWQEAAHYFAAAAAA==&#10;">
            <v:path arrowok="t"/>
            <v:fill focussize="0,0"/>
            <v:stroke weight="1pt"/>
            <v:imagedata o:title=""/>
            <o:lock v:ext="edit"/>
          </v:line>
        </w:pict>
      </w: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p>
    <w:p>
      <w:pPr>
        <w:adjustRightInd w:val="0"/>
        <w:snapToGrid w:val="0"/>
        <w:spacing w:before="240" w:line="360" w:lineRule="exact"/>
        <w:jc w:val="center"/>
        <w:rPr>
          <w:rFonts w:eastAsia="黑体"/>
          <w:color w:val="000000"/>
          <w:spacing w:val="20"/>
          <w:w w:val="105"/>
          <w:sz w:val="44"/>
          <w:szCs w:val="44"/>
        </w:rPr>
      </w:pPr>
      <w:r>
        <w:rPr>
          <w:b/>
          <w:sz w:val="44"/>
          <w:szCs w:val="44"/>
        </w:rPr>
        <w:pict>
          <v:line id="Line 2" o:spid="_x0000_s1030" o:spt="20" style="position:absolute;left:0pt;margin-left:9pt;margin-top:42.55pt;height:0pt;width:454.5pt;z-index:251660288;mso-width-relative:page;mso-height-relative:page;" stroked="t" coordsize="21600,21600" o:gfxdata="UEsDBAoAAAAAAIdO4kAAAAAAAAAAAAAAAAAEAAAAZHJzL1BLAwQUAAAACACHTuJAGfGHmtUAAAAI&#10;AQAADwAAAGRycy9kb3ducmV2LnhtbE2PwU7DMBBE70j8g7VI3KiTSpCQxukBUQHHFqRy3MZuEtVe&#10;R7bbpnw9izjAcWZWs2/q5eSsOJkQB08K8lkGwlDr9UCdgo/31V0JIiYkjdaTUXAxEZbN9VWNlfZn&#10;WpvTJnWCSyhWqKBPaaykjG1vHMaZHw1xtvfBYWIZOqkDnrncWTnPsgfpcCD+0ONonnrTHjZHp6B7&#10;Xq0L3Ia3y/blULjp67Ow8lWp25s8W4BIZkp/x/CDz+jQMNPOH0lHYVmXPCUpKO9zEJw/zgs2dr+G&#10;bGr5f0DzDVBLAwQUAAAACACHTuJAa6/YQskBAACgAwAADgAAAGRycy9lMm9Eb2MueG1srVPBjtsg&#10;EL1X6j8g7o0dV9tUVpw9JEovaRtptx9AMLZRgUEMiZO/74CT7HZ72UN9QMDMvHnvDV4+nq1hJxVQ&#10;g2v4fFZyppyEVru+4b+et5++coZRuFYYcKrhF4X8cfXxw3L0tapgANOqwAjEYT36hg8x+rooUA7K&#10;CpyBV46CHQQrIh1DX7RBjIRuTVGV5ZdihND6AFIh0u1mCvIrYngPIHSdlmoD8miVixNqUEZEkoSD&#10;9shXmW3XKRl/dh2qyEzDSWnMKzWh/SGtxWop6j4IP2h5pSDeQ+GNJiu0o6Z3qI2Igh2D/gfKahkA&#10;oYszCbaYhGRHSMW8fOPN0yC8ylrIavR30/H/wcofp31gum34Z86csDTwnXaKVcmZ0WNNCWu3D0mb&#10;PLsnvwP5G5mD9SBcrzLD54unsnmqKP4qSQf0hH8Yv0NLOeIYIdt07oJNkGQAO+dpXO7TUOfIJF0+&#10;LBbV/IEGJW+xQtS3Qh8wflNgWdo03BDnDCxOO4yJiKhvKamPg602Jg/bODYS22pRlrkCweg2RVMe&#10;hv6wNoGdBL2Xbf6yLIq8TgtwdO3Uxbir6iR0suwA7WUfbm7Q4DKd6yNLL+P1OVe//Fi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nxh5rVAAAACAEAAA8AAAAAAAAAAQAgAAAAIgAAAGRycy9kb3du&#10;cmV2LnhtbFBLAQIUABQAAAAIAIdO4kBrr9hCyQEAAKADAAAOAAAAAAAAAAEAIAAAACQBAABkcnMv&#10;ZTJvRG9jLnhtbFBLBQYAAAAABgAGAFkBAABfBQAAAAA=&#10;">
            <v:path arrowok="t"/>
            <v:fill focussize="0,0"/>
            <v:stroke weight="1pt" color="#FFFFFF"/>
            <v:imagedata o:title=""/>
            <o:lock v:ext="edit"/>
          </v:line>
        </w:pict>
      </w:r>
    </w:p>
    <w:p>
      <w:pPr>
        <w:adjustRightInd w:val="0"/>
        <w:snapToGrid w:val="0"/>
        <w:spacing w:line="360" w:lineRule="auto"/>
        <w:jc w:val="center"/>
        <w:rPr>
          <w:b/>
          <w:sz w:val="44"/>
          <w:szCs w:val="44"/>
        </w:rPr>
      </w:pPr>
    </w:p>
    <w:p>
      <w:pPr>
        <w:jc w:val="center"/>
        <w:rPr>
          <w:rFonts w:eastAsia="黑体"/>
          <w:color w:val="000000"/>
          <w:spacing w:val="20"/>
          <w:w w:val="105"/>
          <w:sz w:val="36"/>
          <w:szCs w:val="36"/>
        </w:rPr>
      </w:pPr>
    </w:p>
    <w:p>
      <w:pPr>
        <w:spacing w:line="600" w:lineRule="exact"/>
        <w:jc w:val="center"/>
        <w:rPr>
          <w:rFonts w:ascii="黑体" w:hAnsi="黑体" w:eastAsia="黑体"/>
          <w:b w:val="0"/>
          <w:bCs w:val="0"/>
          <w:sz w:val="44"/>
          <w:szCs w:val="44"/>
        </w:rPr>
      </w:pPr>
      <w:r>
        <w:rPr>
          <w:rFonts w:ascii="黑体" w:hAnsi="黑体" w:eastAsia="黑体"/>
          <w:b/>
          <w:bCs/>
          <w:sz w:val="44"/>
          <w:szCs w:val="44"/>
        </w:rPr>
        <w:t>202</w:t>
      </w:r>
      <w:r>
        <w:rPr>
          <w:rFonts w:hint="eastAsia" w:ascii="黑体" w:hAnsi="黑体" w:eastAsia="黑体"/>
          <w:b/>
          <w:bCs/>
          <w:sz w:val="44"/>
          <w:szCs w:val="44"/>
          <w:lang w:val="en-US" w:eastAsia="zh-CN"/>
        </w:rPr>
        <w:t>4</w:t>
      </w:r>
      <w:r>
        <w:rPr>
          <w:rFonts w:ascii="黑体" w:hAnsi="黑体" w:eastAsia="黑体"/>
          <w:b/>
          <w:bCs/>
          <w:sz w:val="44"/>
          <w:szCs w:val="44"/>
        </w:rPr>
        <w:t>年新疆生产建设兵团</w:t>
      </w:r>
      <w:r>
        <w:rPr>
          <w:rFonts w:hint="eastAsia" w:ascii="黑体" w:hAnsi="黑体" w:eastAsia="黑体"/>
          <w:b/>
          <w:bCs/>
          <w:sz w:val="44"/>
          <w:szCs w:val="44"/>
          <w:lang w:val="en-US" w:eastAsia="zh-CN"/>
        </w:rPr>
        <w:t>第五师双河市</w:t>
      </w:r>
      <w:r>
        <w:rPr>
          <w:rFonts w:ascii="黑体" w:hAnsi="黑体" w:eastAsia="黑体"/>
          <w:b/>
          <w:bCs/>
          <w:sz w:val="44"/>
          <w:szCs w:val="44"/>
        </w:rPr>
        <w:t>滴灌带产品质量监督抽查实施细则</w:t>
      </w:r>
    </w:p>
    <w:p>
      <w:pPr>
        <w:spacing w:line="360" w:lineRule="auto"/>
        <w:jc w:val="center"/>
        <w:rPr>
          <w:sz w:val="44"/>
          <w:szCs w:val="44"/>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tabs>
          <w:tab w:val="left" w:pos="3765"/>
        </w:tabs>
        <w:spacing w:line="360" w:lineRule="auto"/>
      </w:pPr>
      <w:r>
        <w:tab/>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pPr>
    </w:p>
    <w:p>
      <w:pPr>
        <w:adjustRightInd w:val="0"/>
        <w:spacing w:line="480" w:lineRule="exact"/>
        <w:jc w:val="left"/>
        <w:rPr>
          <w:rFonts w:ascii="黑体" w:hAnsi="黑体" w:eastAsia="黑体"/>
          <w:bCs/>
          <w:sz w:val="24"/>
        </w:rPr>
      </w:pPr>
      <w:r>
        <w:rPr>
          <w:rFonts w:ascii="黑体" w:hAnsi="黑体" w:eastAsia="黑体"/>
          <w:color w:val="000000"/>
          <w:spacing w:val="20"/>
          <w:w w:val="105"/>
          <w:sz w:val="36"/>
          <w:szCs w:val="36"/>
        </w:rPr>
        <w:pict>
          <v:line id="Line 3" o:spid="_x0000_s1029" o:spt="20" style="position:absolute;left:0pt;margin-left:-9pt;margin-top:2.95pt;height:0pt;width:450pt;z-index:251661312;mso-width-relative:page;mso-height-relative:page;" stroked="t" coordsize="21600,21600" o:gfxdata="UEsDBAoAAAAAAIdO4kAAAAAAAAAAAAAAAAAEAAAAZHJzL1BLAwQUAAAACACHTuJAAjb529UAAAAH&#10;AQAADwAAAGRycy9kb3ducmV2LnhtbE2PwU7DMBBE70j8g7VI3FonlSAhxOkBUQHHtkjluI1NEtVe&#10;R7bbpnw9Cxc4Ps1q5m29nJwVJxPi4ElBPs9AGGq9HqhT8L5dzUoQMSFptJ6MgouJsGyur2qstD/T&#10;2pw2qRNcQrFCBX1KYyVlbHvjMM79aIizTx8cJsbQSR3wzOXOykWW3UuHA/FCj6N56k172Bydgu55&#10;tS5wF94uu5dD4aavj8LKV6Vub/LsEUQyU/o7hh99VoeGnfb+SDoKq2CWl/xLUnD3AILzslww739Z&#10;NrX87998A1BLAwQUAAAACACHTuJAIF0ooscBAACgAwAADgAAAGRycy9lMm9Eb2MueG1srVPBjtsg&#10;EL1X6j8g7o2drLZbWXH2kCi9pG2k3X7ABGMbFRgEJHb+vgNO0m162UN9QAwz83jvDV4+j0azk/RB&#10;oa35fFZyJq3ARtmu5j9ft5++cBYi2AY0Wlnzswz8efXxw3JwlVxgj7qRnhGIDdXgat7H6KqiCKKX&#10;BsIMnbSUbNEbiBT6rmg8DIRudLEoy8/FgL5xHoUMgU43U5JfEP17ALFtlZAbFEcjbZxQvdQQSVLo&#10;lQt8ldm2rRTxR9sGGZmuOSmNeaVLaH9Ia7FaQtV5cL0SFwrwHgp3mgwoS5feoDYQgR29+gfKKOEx&#10;YBtnAk0xCcmOkIp5eefNSw9OZi1kdXA308P/gxXfT3vPVFPzBWcWDA18p6xkD8mZwYWKCtZ275M2&#10;MdoXt0PxKzCL6x5sJzPD17OjtnnqKP5qSUFwhH8YvmFDNXCMmG0aW28SJBnAxjyN820acoxM0OHj&#10;0/yxLGlQ4poroLo2Oh/iV4mGpU3NNXHOwHDahZiIQHUtSfdY3Cqt87C1ZQOxXTwRdEoF1KpJ2Rz4&#10;7rDWnp2A3ss2f1nWXZnHo22mW7S9qE5CJ8sO2Jz3/uoGDS7TuTyy9DLexrn7z4+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Nvnb1QAAAAcBAAAPAAAAAAAAAAEAIAAAACIAAABkcnMvZG93bnJl&#10;di54bWxQSwECFAAUAAAACACHTuJAIF0ooscBAACgAwAADgAAAAAAAAABACAAAAAkAQAAZHJzL2Uy&#10;b0RvYy54bWxQSwUGAAAAAAYABgBZAQAAXQUAAAAA&#10;">
            <v:path arrowok="t"/>
            <v:fill focussize="0,0"/>
            <v:stroke weight="1pt" color="#FFFFFF"/>
            <v:imagedata o:title=""/>
            <o:lock v:ext="edit"/>
          </v:line>
        </w:pict>
      </w:r>
      <w:r>
        <w:rPr>
          <w:rFonts w:ascii="黑体" w:hAnsi="黑体" w:eastAsia="黑体"/>
          <w:bCs/>
          <w:sz w:val="24"/>
        </w:rPr>
        <w:t>202</w:t>
      </w:r>
      <w:r>
        <w:rPr>
          <w:rFonts w:hint="eastAsia" w:ascii="黑体" w:hAnsi="黑体" w:eastAsia="黑体"/>
          <w:bCs/>
          <w:sz w:val="24"/>
          <w:lang w:val="en-US" w:eastAsia="zh-CN"/>
        </w:rPr>
        <w:t>4</w:t>
      </w:r>
      <w:r>
        <w:rPr>
          <w:rFonts w:ascii="黑体" w:hAnsi="黑体" w:eastAsia="黑体"/>
          <w:bCs/>
          <w:sz w:val="24"/>
        </w:rPr>
        <w:t>-</w:t>
      </w:r>
      <w:r>
        <w:rPr>
          <w:rFonts w:hint="eastAsia" w:ascii="黑体" w:hAnsi="黑体" w:eastAsia="黑体"/>
          <w:bCs/>
          <w:sz w:val="24"/>
        </w:rPr>
        <w:t>0</w:t>
      </w:r>
      <w:r>
        <w:rPr>
          <w:rFonts w:hint="eastAsia" w:ascii="黑体" w:hAnsi="黑体" w:eastAsia="黑体"/>
          <w:bCs/>
          <w:sz w:val="24"/>
          <w:lang w:val="en-US" w:eastAsia="zh-CN"/>
        </w:rPr>
        <w:t>3</w:t>
      </w:r>
      <w:r>
        <w:rPr>
          <w:rFonts w:ascii="黑体" w:hAnsi="黑体" w:eastAsia="黑体"/>
          <w:bCs/>
          <w:sz w:val="24"/>
        </w:rPr>
        <w:t>-</w:t>
      </w:r>
      <w:r>
        <w:rPr>
          <w:rFonts w:hint="eastAsia" w:ascii="黑体" w:hAnsi="黑体" w:eastAsia="黑体"/>
          <w:bCs/>
          <w:sz w:val="24"/>
          <w:lang w:val="en-US" w:eastAsia="zh-CN"/>
        </w:rPr>
        <w:t>12</w:t>
      </w:r>
      <w:r>
        <w:rPr>
          <w:rFonts w:ascii="黑体" w:hAnsi="黑体" w:eastAsia="黑体"/>
          <w:bCs/>
          <w:sz w:val="24"/>
        </w:rPr>
        <w:t>发布                                        202</w:t>
      </w:r>
      <w:r>
        <w:rPr>
          <w:rFonts w:hint="eastAsia" w:ascii="黑体" w:hAnsi="黑体" w:eastAsia="黑体"/>
          <w:bCs/>
          <w:sz w:val="24"/>
          <w:lang w:val="en-US" w:eastAsia="zh-CN"/>
        </w:rPr>
        <w:t>4</w:t>
      </w:r>
      <w:r>
        <w:rPr>
          <w:rFonts w:ascii="黑体" w:hAnsi="黑体" w:eastAsia="黑体"/>
          <w:bCs/>
          <w:sz w:val="24"/>
        </w:rPr>
        <w:t>-</w:t>
      </w:r>
      <w:r>
        <w:rPr>
          <w:rFonts w:hint="eastAsia" w:ascii="黑体" w:hAnsi="黑体" w:eastAsia="黑体"/>
          <w:bCs/>
          <w:sz w:val="24"/>
        </w:rPr>
        <w:t>0</w:t>
      </w:r>
      <w:r>
        <w:rPr>
          <w:rFonts w:hint="eastAsia" w:ascii="黑体" w:hAnsi="黑体" w:eastAsia="黑体"/>
          <w:bCs/>
          <w:sz w:val="24"/>
          <w:lang w:val="en-US" w:eastAsia="zh-CN"/>
        </w:rPr>
        <w:t>3</w:t>
      </w:r>
      <w:r>
        <w:rPr>
          <w:rFonts w:ascii="黑体" w:hAnsi="黑体" w:eastAsia="黑体"/>
          <w:bCs/>
          <w:sz w:val="24"/>
        </w:rPr>
        <w:t>-</w:t>
      </w:r>
      <w:r>
        <w:rPr>
          <w:rFonts w:hint="eastAsia" w:ascii="黑体" w:hAnsi="黑体" w:eastAsia="黑体"/>
          <w:bCs/>
          <w:sz w:val="24"/>
          <w:lang w:val="en-US" w:eastAsia="zh-CN"/>
        </w:rPr>
        <w:t>13</w:t>
      </w:r>
      <w:r>
        <w:rPr>
          <w:rFonts w:ascii="黑体" w:hAnsi="黑体" w:eastAsia="黑体"/>
          <w:bCs/>
          <w:sz w:val="24"/>
        </w:rPr>
        <w:t>实施</w:t>
      </w:r>
    </w:p>
    <w:p>
      <w:pPr>
        <w:jc w:val="center"/>
        <w:rPr>
          <w:rFonts w:eastAsia="黑体"/>
          <w:color w:val="000000"/>
          <w:spacing w:val="20"/>
          <w:sz w:val="32"/>
          <w:szCs w:val="32"/>
        </w:rPr>
      </w:pPr>
      <w:r>
        <w:rPr>
          <w:rFonts w:ascii="黑体" w:hAnsi="黑体" w:eastAsia="黑体"/>
          <w:bCs/>
          <w:sz w:val="32"/>
          <w:szCs w:val="32"/>
        </w:rPr>
        <w:pict>
          <v:line id="_x0000_s1028" o:spid="_x0000_s1028" o:spt="20" style="position:absolute;left:0pt;margin-left:-2.45pt;margin-top:0pt;height:0pt;width:429.85pt;z-index:251663360;mso-width-relative:page;mso-height-relative:page;" stroked="t" coordsize="21600,21600" o:gfxdata="UEsDBAoAAAAAAIdO4kAAAAAAAAAAAAAAAAAEAAAAZHJzL1BLAwQUAAAACACHTuJAZkKIatIAAAAE&#10;AQAADwAAAGRycy9kb3ducmV2LnhtbE2PQUvDQBSE74L/YXmCF2l3K6m0aTYFBcGrtVC8vWZfk9Ds&#10;25DdJvXf+3rS4zDDzDfF9uo7NdIQ28AWFnMDirgKruXawv7rfbYCFROywy4wWfihCNvy/q7A3IWJ&#10;P2ncpVpJCcccLTQp9bnWsWrIY5yHnli8Uxg8JpFDrd2Ak5T7Tj8b86I9tiwLDfb01lB13l28henw&#10;oavv9ZPxy3Gf9Mlkr8YHax8fFmYDKtE1/YXhhi/oUArTMVzYRdVZmGVrSVqQQ+KulpkcOd6kLgv9&#10;H778BVBLAwQUAAAACACHTuJAnFmu+uwBAAC5AwAADgAAAGRycy9lMm9Eb2MueG1srVO9jhMxEO6R&#10;eAfLPdlNlMDdKpsrEh3NAZHueADH681a2B7L42STl+AFkOigoqTnbTgeg7Hzw3E0V7CF5fHMfDPf&#10;N7PTq501bKsCanA1Hw5KzpST0Gi3rvn7u+sXF5xhFK4RBpyq+V4hv5o9fzbtfaVG0IFpVGAE4rDq&#10;fc27GH1VFCg7ZQUOwCtHzhaCFZHMsC6aIHpCt6YYleXLoofQ+ABSIdLr4uDkR8TwFEBoWy3VAuTG&#10;KhcPqEEZEYkSdtojn+Vu21bJ+K5tUUVmak5MYz6pCN1X6SxmU1Gtg/CdlscWxFNaeMTJCu2o6Blq&#10;IaJgm6D/gbJaBkBo40CCLQ5EsiLEYlg+0ua2E15lLiQ1+rPo+P9g5dvtMjDd1HzMmROWBn7/6fvP&#10;j19+/fhM5/23r2ycROo9VhQ7d8uQaMqdu/U3ID8gczDvhFur3Ozd3hPCMGUUf6UkAz2VWvVvoKEY&#10;sYmQFdu1wSZI0oLt8mD258GoXWSSHifjyWV5OeFMnnyFqE6JPmB8rcCydKm50S5pJiqxvcGYGhHV&#10;KSQ9O7jWxuS5G8d66nb0qixzBoLRTfKmOAzr1dwEthW0OhclfReZFnkehgXYuOZQxbiUp/LWHUuf&#10;aB8EXEGzX4aTNjTR3Nxx+9LKPLSzgn/+uN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kKIatIA&#10;AAAEAQAADwAAAAAAAAABACAAAAAiAAAAZHJzL2Rvd25yZXYueG1sUEsBAhQAFAAAAAgAh07iQJxZ&#10;rvrsAQAAuQMAAA4AAAAAAAAAAQAgAAAAIQEAAGRycy9lMm9Eb2MueG1sUEsFBgAAAAAGAAYAWQEA&#10;AH8FAAAAAA==&#10;">
            <v:path arrowok="t"/>
            <v:fill focussize="0,0"/>
            <v:stroke weight="1pt" color="#800008"/>
            <v:imagedata o:title=""/>
            <o:lock v:ext="edit"/>
          </v:line>
        </w:pict>
      </w:r>
      <w:r>
        <w:rPr>
          <w:rFonts w:ascii="黑体" w:hAnsi="黑体" w:eastAsia="黑体"/>
          <w:bCs/>
          <w:sz w:val="32"/>
          <w:szCs w:val="32"/>
        </w:rPr>
        <w:t>新疆生产建设兵团</w:t>
      </w:r>
      <w:r>
        <w:rPr>
          <w:rFonts w:hint="eastAsia" w:ascii="黑体" w:hAnsi="黑体" w:eastAsia="黑体"/>
          <w:bCs/>
          <w:sz w:val="32"/>
          <w:szCs w:val="32"/>
          <w:lang w:val="en-US" w:eastAsia="zh-CN"/>
        </w:rPr>
        <w:t>第五师双河市</w:t>
      </w:r>
      <w:r>
        <w:rPr>
          <w:rFonts w:ascii="黑体" w:hAnsi="黑体" w:eastAsia="黑体"/>
          <w:bCs/>
          <w:sz w:val="32"/>
          <w:szCs w:val="32"/>
        </w:rPr>
        <w:t>市场监督管理局</w:t>
      </w:r>
    </w:p>
    <w:p>
      <w:pPr>
        <w:spacing w:line="440" w:lineRule="exact"/>
        <w:jc w:val="center"/>
        <w:rPr>
          <w:rFonts w:ascii="方正小标宋简体" w:hAnsi="仿宋" w:eastAsia="方正小标宋简体" w:cs="方正仿宋简体"/>
          <w:b/>
          <w:color w:val="000000"/>
          <w:sz w:val="32"/>
          <w:szCs w:val="32"/>
        </w:rPr>
        <w:sectPr>
          <w:pgSz w:w="11906" w:h="16838"/>
          <w:pgMar w:top="1440" w:right="1800" w:bottom="1440" w:left="1800" w:header="851" w:footer="992" w:gutter="0"/>
          <w:cols w:space="425" w:num="1"/>
          <w:docGrid w:type="lines" w:linePitch="312" w:charSpace="0"/>
        </w:sectPr>
      </w:pPr>
    </w:p>
    <w:p>
      <w:pPr>
        <w:spacing w:line="440" w:lineRule="exact"/>
        <w:jc w:val="center"/>
        <w:rPr>
          <w:rFonts w:ascii="方正小标宋简体" w:hAnsi="仿宋" w:eastAsia="方正小标宋简体" w:cs="方正仿宋简体"/>
          <w:b/>
          <w:color w:val="000000"/>
          <w:sz w:val="32"/>
          <w:szCs w:val="32"/>
        </w:rPr>
      </w:pPr>
      <w:r>
        <w:rPr>
          <w:rFonts w:ascii="方正小标宋简体" w:hAnsi="仿宋" w:eastAsia="方正小标宋简体" w:cs="方正仿宋简体"/>
          <w:b/>
          <w:color w:val="000000"/>
          <w:sz w:val="32"/>
          <w:szCs w:val="32"/>
        </w:rPr>
        <w:t>202</w:t>
      </w:r>
      <w:r>
        <w:rPr>
          <w:rFonts w:hint="eastAsia" w:ascii="方正小标宋简体" w:hAnsi="仿宋" w:eastAsia="方正小标宋简体" w:cs="方正仿宋简体"/>
          <w:b/>
          <w:color w:val="000000"/>
          <w:sz w:val="32"/>
          <w:szCs w:val="32"/>
          <w:lang w:val="en-US" w:eastAsia="zh-CN"/>
        </w:rPr>
        <w:t>4</w:t>
      </w:r>
      <w:r>
        <w:rPr>
          <w:rFonts w:ascii="方正小标宋简体" w:hAnsi="仿宋" w:eastAsia="方正小标宋简体" w:cs="方正仿宋简体"/>
          <w:b/>
          <w:color w:val="000000"/>
          <w:sz w:val="32"/>
          <w:szCs w:val="32"/>
        </w:rPr>
        <w:t>年新疆生产建设兵团</w:t>
      </w:r>
      <w:r>
        <w:rPr>
          <w:rFonts w:hint="eastAsia" w:ascii="方正小标宋简体" w:hAnsi="仿宋" w:eastAsia="方正小标宋简体" w:cs="方正仿宋简体"/>
          <w:b/>
          <w:color w:val="000000"/>
          <w:sz w:val="32"/>
          <w:szCs w:val="32"/>
          <w:lang w:val="en-US" w:eastAsia="zh-CN"/>
        </w:rPr>
        <w:t>第五师双河市</w:t>
      </w:r>
      <w:r>
        <w:rPr>
          <w:rFonts w:ascii="方正小标宋简体" w:hAnsi="仿宋" w:eastAsia="方正小标宋简体" w:cs="方正仿宋简体"/>
          <w:b/>
          <w:color w:val="000000"/>
          <w:sz w:val="32"/>
          <w:szCs w:val="32"/>
        </w:rPr>
        <w:t>滴灌带</w:t>
      </w:r>
    </w:p>
    <w:p>
      <w:pPr>
        <w:spacing w:line="440" w:lineRule="exact"/>
        <w:jc w:val="center"/>
        <w:rPr>
          <w:rFonts w:ascii="方正小标宋简体" w:hAnsi="仿宋" w:eastAsia="方正小标宋简体" w:cs="方正仿宋简体"/>
          <w:b/>
          <w:color w:val="000000"/>
          <w:sz w:val="32"/>
          <w:szCs w:val="32"/>
        </w:rPr>
      </w:pPr>
      <w:r>
        <w:rPr>
          <w:rFonts w:ascii="方正小标宋简体" w:hAnsi="仿宋" w:eastAsia="方正小标宋简体" w:cs="方正仿宋简体"/>
          <w:b/>
          <w:color w:val="000000"/>
          <w:sz w:val="32"/>
          <w:szCs w:val="32"/>
        </w:rPr>
        <w:t>产品质量监督抽查实施细则</w:t>
      </w:r>
    </w:p>
    <w:p>
      <w:pPr>
        <w:snapToGrid w:val="0"/>
        <w:spacing w:line="360" w:lineRule="auto"/>
        <w:jc w:val="center"/>
        <w:rPr>
          <w:rFonts w:eastAsia="方正小标宋简体"/>
          <w:sz w:val="32"/>
          <w:szCs w:val="32"/>
        </w:rPr>
      </w:pPr>
    </w:p>
    <w:p>
      <w:pPr>
        <w:snapToGrid w:val="0"/>
        <w:spacing w:line="440" w:lineRule="exact"/>
        <w:rPr>
          <w:rFonts w:ascii="黑体" w:hAnsi="宋体" w:eastAsia="黑体"/>
          <w:b/>
          <w:bCs/>
          <w:szCs w:val="21"/>
        </w:rPr>
      </w:pPr>
      <w:r>
        <w:rPr>
          <w:rFonts w:hint="eastAsia" w:ascii="黑体" w:hAnsi="宋体" w:eastAsia="黑体"/>
          <w:b/>
          <w:bCs/>
          <w:szCs w:val="21"/>
        </w:rPr>
        <w:t>1 抽样方法</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在生产企业的待销产品中随机抽取有产品质量检验合格证明或者以其他形式表明合格的滴灌带产品。</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抽取样品应为</w:t>
      </w:r>
      <w:r>
        <w:rPr>
          <w:rFonts w:hint="eastAsia" w:ascii="宋体" w:hAnsi="宋体"/>
          <w:color w:val="000000"/>
          <w:szCs w:val="21"/>
          <w:lang w:val="zh-CN"/>
        </w:rPr>
        <w:t>同一原料配方、</w:t>
      </w:r>
      <w:r>
        <w:rPr>
          <w:rFonts w:hint="eastAsia" w:ascii="宋体" w:hAnsi="宋体"/>
          <w:color w:val="000000"/>
          <w:szCs w:val="21"/>
        </w:rPr>
        <w:t>同一型号规格、同一批次的产品。</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抽查样品基数满足抽样数量即可。</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在企业认定的合格产品中随机抽取样品，样品数量为一卷（每卷长度不少于1500米）；将1卷样品按编号1、2号标明，共抽取</w:t>
      </w:r>
      <w:r>
        <w:rPr>
          <w:rFonts w:ascii="宋体" w:hAnsi="宋体"/>
          <w:color w:val="000000"/>
          <w:szCs w:val="21"/>
        </w:rPr>
        <w:t>2</w:t>
      </w:r>
      <w:r>
        <w:rPr>
          <w:rFonts w:hint="eastAsia" w:ascii="宋体" w:hAnsi="宋体"/>
          <w:color w:val="000000"/>
          <w:szCs w:val="21"/>
        </w:rPr>
        <w:t>卷×</w:t>
      </w:r>
      <w:r>
        <w:rPr>
          <w:rFonts w:ascii="宋体" w:hAnsi="宋体"/>
          <w:color w:val="000000"/>
          <w:szCs w:val="21"/>
        </w:rPr>
        <w:t>100</w:t>
      </w:r>
      <w:r>
        <w:rPr>
          <w:rFonts w:hint="eastAsia" w:ascii="宋体" w:hAnsi="宋体"/>
          <w:color w:val="000000"/>
          <w:szCs w:val="21"/>
        </w:rPr>
        <w:t>米，其中1号卷抽取</w:t>
      </w:r>
      <w:r>
        <w:rPr>
          <w:rFonts w:ascii="宋体" w:hAnsi="宋体"/>
          <w:color w:val="000000"/>
          <w:szCs w:val="21"/>
        </w:rPr>
        <w:t>1</w:t>
      </w:r>
      <w:r>
        <w:rPr>
          <w:rFonts w:hint="eastAsia" w:ascii="宋体" w:hAnsi="宋体"/>
          <w:color w:val="000000"/>
          <w:szCs w:val="21"/>
        </w:rPr>
        <w:t>00米签封标明为检验样品，2号卷抽取</w:t>
      </w:r>
      <w:r>
        <w:rPr>
          <w:rFonts w:ascii="宋体" w:hAnsi="宋体"/>
          <w:color w:val="000000"/>
          <w:szCs w:val="21"/>
        </w:rPr>
        <w:t>1</w:t>
      </w:r>
      <w:r>
        <w:rPr>
          <w:rFonts w:hint="eastAsia" w:ascii="宋体" w:hAnsi="宋体"/>
          <w:color w:val="000000"/>
          <w:szCs w:val="21"/>
        </w:rPr>
        <w:t>00米签封标明为备用样品。</w:t>
      </w:r>
    </w:p>
    <w:p>
      <w:pPr>
        <w:adjustRightInd w:val="0"/>
        <w:snapToGrid w:val="0"/>
        <w:spacing w:line="360" w:lineRule="auto"/>
        <w:ind w:firstLine="403" w:firstLineChars="192"/>
        <w:rPr>
          <w:rFonts w:ascii="宋体" w:hAnsi="宋体"/>
          <w:color w:val="000000"/>
          <w:szCs w:val="21"/>
        </w:rPr>
      </w:pPr>
      <w:r>
        <w:rPr>
          <w:rFonts w:hint="eastAsia" w:ascii="宋体" w:hAnsi="宋体"/>
          <w:szCs w:val="21"/>
        </w:rPr>
        <w:t>随机数使用随机数表等方法产生</w:t>
      </w:r>
      <w:r>
        <w:rPr>
          <w:rFonts w:hint="eastAsia" w:ascii="宋体" w:hAnsi="宋体"/>
          <w:color w:val="000000"/>
          <w:szCs w:val="21"/>
        </w:rPr>
        <w:t>。</w:t>
      </w:r>
    </w:p>
    <w:p>
      <w:pPr>
        <w:snapToGrid w:val="0"/>
        <w:spacing w:line="440" w:lineRule="exact"/>
        <w:rPr>
          <w:rFonts w:ascii="黑体" w:hAnsi="宋体" w:eastAsia="黑体"/>
          <w:b/>
          <w:bCs/>
          <w:szCs w:val="21"/>
        </w:rPr>
      </w:pPr>
      <w:r>
        <w:rPr>
          <w:rFonts w:ascii="黑体" w:hAnsi="宋体" w:eastAsia="黑体"/>
          <w:b/>
          <w:bCs/>
          <w:szCs w:val="21"/>
        </w:rPr>
        <w:t>2 检验依据</w:t>
      </w:r>
    </w:p>
    <w:p>
      <w:pPr>
        <w:snapToGrid w:val="0"/>
        <w:spacing w:line="440" w:lineRule="exact"/>
        <w:ind w:firstLine="420" w:firstLineChars="200"/>
        <w:rPr>
          <w:rFonts w:ascii="宋体" w:hAnsi="宋体"/>
          <w:szCs w:val="21"/>
        </w:rPr>
      </w:pPr>
      <w:r>
        <w:rPr>
          <w:rFonts w:ascii="宋体" w:hAnsi="宋体"/>
          <w:szCs w:val="21"/>
        </w:rPr>
        <w:t>检验项目、</w:t>
      </w:r>
      <w:r>
        <w:rPr>
          <w:rFonts w:hint="eastAsia" w:ascii="宋体" w:hAnsi="宋体"/>
          <w:szCs w:val="21"/>
        </w:rPr>
        <w:t>检验</w:t>
      </w:r>
      <w:r>
        <w:rPr>
          <w:rFonts w:ascii="宋体" w:hAnsi="宋体"/>
          <w:szCs w:val="21"/>
        </w:rPr>
        <w:t>方法见表</w:t>
      </w:r>
      <w:r>
        <w:rPr>
          <w:rFonts w:hint="eastAsia" w:ascii="宋体" w:hAnsi="宋体"/>
          <w:szCs w:val="21"/>
        </w:rPr>
        <w:t>1、表2。</w:t>
      </w:r>
    </w:p>
    <w:p>
      <w:pPr>
        <w:adjustRightInd w:val="0"/>
        <w:snapToGrid w:val="0"/>
        <w:spacing w:line="300" w:lineRule="exact"/>
        <w:ind w:firstLine="2700" w:firstLineChars="1500"/>
        <w:jc w:val="both"/>
        <w:rPr>
          <w:color w:val="000000"/>
          <w:kern w:val="0"/>
          <w:sz w:val="18"/>
          <w:szCs w:val="18"/>
        </w:rPr>
      </w:pPr>
      <w:r>
        <w:rPr>
          <w:rFonts w:hAnsi="宋体"/>
          <w:color w:val="000000"/>
          <w:kern w:val="0"/>
          <w:sz w:val="18"/>
          <w:szCs w:val="18"/>
        </w:rPr>
        <w:t>表</w:t>
      </w:r>
      <w:r>
        <w:rPr>
          <w:rFonts w:hint="eastAsia"/>
          <w:color w:val="000000"/>
          <w:kern w:val="0"/>
          <w:sz w:val="18"/>
          <w:szCs w:val="18"/>
        </w:rPr>
        <w:t>1</w:t>
      </w:r>
      <w:r>
        <w:rPr>
          <w:rFonts w:hAnsi="宋体"/>
          <w:bCs/>
          <w:sz w:val="18"/>
          <w:szCs w:val="18"/>
        </w:rPr>
        <w:t>单翼迷宫式滴灌带</w:t>
      </w:r>
      <w:r>
        <w:rPr>
          <w:rFonts w:hAnsi="宋体"/>
          <w:color w:val="000000"/>
          <w:kern w:val="0"/>
          <w:sz w:val="18"/>
          <w:szCs w:val="18"/>
        </w:rPr>
        <w:t>检验项目、</w:t>
      </w:r>
      <w:r>
        <w:rPr>
          <w:rFonts w:hint="eastAsia" w:hAnsi="宋体"/>
          <w:color w:val="000000"/>
          <w:kern w:val="0"/>
          <w:sz w:val="18"/>
          <w:szCs w:val="18"/>
        </w:rPr>
        <w:t>检验</w:t>
      </w:r>
      <w:r>
        <w:rPr>
          <w:rFonts w:hAnsi="宋体"/>
          <w:color w:val="000000"/>
          <w:kern w:val="0"/>
          <w:sz w:val="18"/>
          <w:szCs w:val="18"/>
        </w:rPr>
        <w:t>方法</w:t>
      </w:r>
    </w:p>
    <w:tbl>
      <w:tblPr>
        <w:tblStyle w:val="10"/>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277"/>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3277"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检验项目</w:t>
            </w:r>
          </w:p>
        </w:tc>
        <w:tc>
          <w:tcPr>
            <w:tcW w:w="4759"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Merge w:val="continue"/>
            <w:vAlign w:val="center"/>
          </w:tcPr>
          <w:p>
            <w:pPr>
              <w:adjustRightInd w:val="0"/>
              <w:snapToGrid w:val="0"/>
              <w:jc w:val="center"/>
              <w:rPr>
                <w:rFonts w:ascii="宋体" w:hAnsi="宋体"/>
                <w:color w:val="000000"/>
                <w:sz w:val="18"/>
                <w:szCs w:val="18"/>
              </w:rPr>
            </w:pPr>
          </w:p>
        </w:tc>
        <w:tc>
          <w:tcPr>
            <w:tcW w:w="3277" w:type="dxa"/>
            <w:vMerge w:val="continue"/>
            <w:vAlign w:val="center"/>
          </w:tcPr>
          <w:p>
            <w:pPr>
              <w:adjustRightInd w:val="0"/>
              <w:snapToGrid w:val="0"/>
              <w:jc w:val="center"/>
              <w:rPr>
                <w:rFonts w:ascii="宋体" w:hAnsi="宋体"/>
                <w:color w:val="000000"/>
                <w:sz w:val="18"/>
                <w:szCs w:val="18"/>
              </w:rPr>
            </w:pPr>
          </w:p>
        </w:tc>
        <w:tc>
          <w:tcPr>
            <w:tcW w:w="4759"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耐水压</w:t>
            </w:r>
          </w:p>
        </w:tc>
        <w:tc>
          <w:tcPr>
            <w:tcW w:w="475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爆破压力</w:t>
            </w:r>
          </w:p>
        </w:tc>
        <w:tc>
          <w:tcPr>
            <w:tcW w:w="475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耐拉拔性能</w:t>
            </w:r>
          </w:p>
        </w:tc>
        <w:tc>
          <w:tcPr>
            <w:tcW w:w="475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流量均匀性</w:t>
            </w:r>
          </w:p>
        </w:tc>
        <w:tc>
          <w:tcPr>
            <w:tcW w:w="475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5</w:t>
            </w:r>
          </w:p>
        </w:tc>
        <w:tc>
          <w:tcPr>
            <w:tcW w:w="3277"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炭黑分散</w:t>
            </w:r>
          </w:p>
        </w:tc>
        <w:tc>
          <w:tcPr>
            <w:tcW w:w="475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B/T 18251-2000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6</w:t>
            </w:r>
          </w:p>
        </w:tc>
        <w:tc>
          <w:tcPr>
            <w:tcW w:w="3277"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氧化诱导时间</w:t>
            </w:r>
          </w:p>
        </w:tc>
        <w:tc>
          <w:tcPr>
            <w:tcW w:w="475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 xml:space="preserve"> G</w:t>
            </w:r>
            <w:r>
              <w:rPr>
                <w:rFonts w:ascii="宋体" w:hAnsi="宋体"/>
                <w:color w:val="000000"/>
                <w:sz w:val="18"/>
                <w:szCs w:val="18"/>
              </w:rPr>
              <w:t>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7</w:t>
            </w:r>
          </w:p>
        </w:tc>
        <w:tc>
          <w:tcPr>
            <w:tcW w:w="327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炭黑含量</w:t>
            </w:r>
          </w:p>
        </w:tc>
        <w:tc>
          <w:tcPr>
            <w:tcW w:w="475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GB/T 13021</w:t>
            </w:r>
            <w:r>
              <w:rPr>
                <w:rFonts w:ascii="宋体" w:hAnsi="宋体"/>
                <w:color w:val="000000"/>
                <w:sz w:val="18"/>
                <w:szCs w:val="18"/>
              </w:rPr>
              <w:t>-1991</w:t>
            </w:r>
          </w:p>
        </w:tc>
      </w:tr>
    </w:tbl>
    <w:p>
      <w:pPr>
        <w:adjustRightInd w:val="0"/>
        <w:snapToGrid w:val="0"/>
        <w:spacing w:line="300" w:lineRule="exact"/>
        <w:ind w:firstLine="1980" w:firstLineChars="1100"/>
        <w:rPr>
          <w:rFonts w:hAnsi="宋体"/>
          <w:color w:val="000000"/>
          <w:kern w:val="0"/>
          <w:sz w:val="18"/>
          <w:szCs w:val="18"/>
        </w:rPr>
      </w:pPr>
      <w:r>
        <w:rPr>
          <w:rFonts w:hAnsi="宋体"/>
          <w:color w:val="000000"/>
          <w:kern w:val="0"/>
          <w:sz w:val="18"/>
          <w:szCs w:val="18"/>
        </w:rPr>
        <w:t>表</w:t>
      </w:r>
      <w:r>
        <w:rPr>
          <w:rFonts w:hint="eastAsia" w:hAnsi="宋体"/>
          <w:color w:val="000000"/>
          <w:kern w:val="0"/>
          <w:sz w:val="18"/>
          <w:szCs w:val="18"/>
        </w:rPr>
        <w:t>2内镶式滴灌管及滴灌带</w:t>
      </w:r>
      <w:r>
        <w:rPr>
          <w:rFonts w:hAnsi="宋体"/>
          <w:color w:val="000000"/>
          <w:kern w:val="0"/>
          <w:sz w:val="18"/>
          <w:szCs w:val="18"/>
        </w:rPr>
        <w:t>检验项目、</w:t>
      </w:r>
      <w:r>
        <w:rPr>
          <w:rFonts w:hint="eastAsia" w:hAnsi="宋体"/>
          <w:color w:val="000000"/>
          <w:kern w:val="0"/>
          <w:sz w:val="18"/>
          <w:szCs w:val="18"/>
        </w:rPr>
        <w:t>检验</w:t>
      </w:r>
      <w:r>
        <w:rPr>
          <w:rFonts w:hAnsi="宋体"/>
          <w:color w:val="000000"/>
          <w:kern w:val="0"/>
          <w:sz w:val="18"/>
          <w:szCs w:val="18"/>
        </w:rPr>
        <w:t>方法</w:t>
      </w:r>
    </w:p>
    <w:tbl>
      <w:tblPr>
        <w:tblStyle w:val="10"/>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234"/>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序号</w:t>
            </w:r>
          </w:p>
        </w:tc>
        <w:tc>
          <w:tcPr>
            <w:tcW w:w="3234" w:type="dxa"/>
            <w:vMerge w:val="restart"/>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检验项目</w:t>
            </w:r>
          </w:p>
        </w:tc>
        <w:tc>
          <w:tcPr>
            <w:tcW w:w="4699" w:type="dxa"/>
            <w:vMerge w:val="restart"/>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检验</w:t>
            </w:r>
            <w:r>
              <w:rPr>
                <w:rFonts w:ascii="宋体" w:hAnsi="宋体"/>
                <w:color w:val="000000"/>
                <w:sz w:val="18"/>
                <w:szCs w:val="1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66" w:type="dxa"/>
            <w:vMerge w:val="continue"/>
            <w:vAlign w:val="center"/>
          </w:tcPr>
          <w:p>
            <w:pPr>
              <w:adjustRightInd w:val="0"/>
              <w:snapToGrid w:val="0"/>
              <w:jc w:val="center"/>
              <w:rPr>
                <w:rFonts w:ascii="宋体" w:hAnsi="宋体"/>
                <w:color w:val="000000"/>
                <w:sz w:val="18"/>
                <w:szCs w:val="18"/>
              </w:rPr>
            </w:pPr>
          </w:p>
        </w:tc>
        <w:tc>
          <w:tcPr>
            <w:tcW w:w="3234" w:type="dxa"/>
            <w:vMerge w:val="continue"/>
            <w:vAlign w:val="center"/>
          </w:tcPr>
          <w:p>
            <w:pPr>
              <w:adjustRightInd w:val="0"/>
              <w:snapToGrid w:val="0"/>
              <w:jc w:val="center"/>
              <w:rPr>
                <w:rFonts w:hint="eastAsia" w:ascii="宋体" w:hAnsi="宋体"/>
                <w:color w:val="000000"/>
                <w:sz w:val="18"/>
                <w:szCs w:val="18"/>
              </w:rPr>
            </w:pPr>
          </w:p>
        </w:tc>
        <w:tc>
          <w:tcPr>
            <w:tcW w:w="4699" w:type="dxa"/>
            <w:vMerge w:val="continue"/>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1</w:t>
            </w:r>
          </w:p>
        </w:tc>
        <w:tc>
          <w:tcPr>
            <w:tcW w:w="3234" w:type="dxa"/>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耐水压</w:t>
            </w:r>
          </w:p>
        </w:tc>
        <w:tc>
          <w:tcPr>
            <w:tcW w:w="469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w:t>
            </w:r>
            <w:r>
              <w:rPr>
                <w:rFonts w:hint="eastAsia" w:ascii="宋体" w:hAnsi="宋体"/>
                <w:color w:val="000000"/>
                <w:sz w:val="18"/>
                <w:szCs w:val="18"/>
              </w:rPr>
              <w:t>3</w:t>
            </w:r>
            <w:r>
              <w:rPr>
                <w:rFonts w:ascii="宋体" w:hAnsi="宋体"/>
                <w:color w:val="00000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w:t>
            </w:r>
          </w:p>
        </w:tc>
        <w:tc>
          <w:tcPr>
            <w:tcW w:w="3234" w:type="dxa"/>
            <w:vAlign w:val="center"/>
          </w:tcPr>
          <w:p>
            <w:pPr>
              <w:adjustRightInd w:val="0"/>
              <w:snapToGrid w:val="0"/>
              <w:jc w:val="center"/>
              <w:rPr>
                <w:rFonts w:hint="eastAsia" w:ascii="宋体" w:hAnsi="宋体"/>
                <w:color w:val="000000"/>
                <w:sz w:val="18"/>
                <w:szCs w:val="18"/>
              </w:rPr>
            </w:pPr>
            <w:r>
              <w:rPr>
                <w:rFonts w:hint="eastAsia" w:ascii="宋体" w:hAnsi="宋体"/>
                <w:color w:val="000000"/>
                <w:sz w:val="18"/>
                <w:szCs w:val="18"/>
              </w:rPr>
              <w:t>爆破压力</w:t>
            </w:r>
          </w:p>
        </w:tc>
        <w:tc>
          <w:tcPr>
            <w:tcW w:w="469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w:t>
            </w:r>
            <w:r>
              <w:rPr>
                <w:rFonts w:hint="eastAsia" w:ascii="宋体" w:hAnsi="宋体"/>
                <w:color w:val="000000"/>
                <w:sz w:val="18"/>
                <w:szCs w:val="18"/>
              </w:rPr>
              <w:t>3</w:t>
            </w:r>
            <w:r>
              <w:rPr>
                <w:rFonts w:ascii="宋体" w:hAnsi="宋体"/>
                <w:color w:val="00000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3</w:t>
            </w:r>
          </w:p>
        </w:tc>
        <w:tc>
          <w:tcPr>
            <w:tcW w:w="3234"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耐拉拔性能</w:t>
            </w:r>
          </w:p>
        </w:tc>
        <w:tc>
          <w:tcPr>
            <w:tcW w:w="469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w:t>
            </w:r>
            <w:r>
              <w:rPr>
                <w:rFonts w:hint="eastAsia" w:ascii="宋体" w:hAnsi="宋体"/>
                <w:color w:val="000000"/>
                <w:sz w:val="18"/>
                <w:szCs w:val="18"/>
              </w:rPr>
              <w:t>3</w:t>
            </w:r>
            <w:r>
              <w:rPr>
                <w:rFonts w:ascii="宋体" w:hAnsi="宋体"/>
                <w:color w:val="00000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4</w:t>
            </w:r>
          </w:p>
        </w:tc>
        <w:tc>
          <w:tcPr>
            <w:tcW w:w="3234"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流量均匀性</w:t>
            </w:r>
          </w:p>
        </w:tc>
        <w:tc>
          <w:tcPr>
            <w:tcW w:w="469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GB/T19812.</w:t>
            </w:r>
            <w:r>
              <w:rPr>
                <w:rFonts w:hint="eastAsia" w:ascii="宋体" w:hAnsi="宋体"/>
                <w:color w:val="000000"/>
                <w:sz w:val="18"/>
                <w:szCs w:val="18"/>
              </w:rPr>
              <w:t>3</w:t>
            </w:r>
            <w:r>
              <w:rPr>
                <w:rFonts w:ascii="宋体" w:hAnsi="宋体"/>
                <w:color w:val="000000"/>
                <w:sz w:val="18"/>
                <w:szCs w:val="18"/>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5</w:t>
            </w:r>
          </w:p>
        </w:tc>
        <w:tc>
          <w:tcPr>
            <w:tcW w:w="3234"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炭黑分散</w:t>
            </w:r>
          </w:p>
        </w:tc>
        <w:tc>
          <w:tcPr>
            <w:tcW w:w="469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B/T 18251-2000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6</w:t>
            </w:r>
          </w:p>
        </w:tc>
        <w:tc>
          <w:tcPr>
            <w:tcW w:w="3234"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氧化诱导时间</w:t>
            </w:r>
          </w:p>
        </w:tc>
        <w:tc>
          <w:tcPr>
            <w:tcW w:w="469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6"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7</w:t>
            </w:r>
          </w:p>
        </w:tc>
        <w:tc>
          <w:tcPr>
            <w:tcW w:w="3234"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炭黑含量</w:t>
            </w:r>
          </w:p>
        </w:tc>
        <w:tc>
          <w:tcPr>
            <w:tcW w:w="4699" w:type="dxa"/>
            <w:vAlign w:val="center"/>
          </w:tcPr>
          <w:p>
            <w:pPr>
              <w:adjustRightInd w:val="0"/>
              <w:snapToGrid w:val="0"/>
              <w:jc w:val="center"/>
              <w:rPr>
                <w:rFonts w:ascii="宋体" w:hAnsi="宋体"/>
                <w:color w:val="000000"/>
                <w:sz w:val="18"/>
                <w:szCs w:val="18"/>
              </w:rPr>
            </w:pPr>
            <w:r>
              <w:rPr>
                <w:rFonts w:hint="eastAsia" w:ascii="宋体" w:hAnsi="宋体"/>
                <w:color w:val="000000"/>
                <w:sz w:val="18"/>
                <w:szCs w:val="18"/>
              </w:rPr>
              <w:t>GB/T 13021</w:t>
            </w:r>
            <w:r>
              <w:rPr>
                <w:rFonts w:ascii="宋体" w:hAnsi="宋体"/>
                <w:color w:val="000000"/>
                <w:sz w:val="18"/>
                <w:szCs w:val="18"/>
              </w:rPr>
              <w:t>-1991</w:t>
            </w:r>
          </w:p>
        </w:tc>
      </w:tr>
    </w:tbl>
    <w:p>
      <w:pPr>
        <w:adjustRightInd w:val="0"/>
        <w:snapToGrid w:val="0"/>
        <w:spacing w:line="360" w:lineRule="auto"/>
        <w:ind w:firstLine="403" w:firstLineChars="192"/>
        <w:rPr>
          <w:rFonts w:ascii="宋体" w:hAnsi="宋体"/>
          <w:color w:val="000000"/>
          <w:szCs w:val="21"/>
        </w:rPr>
      </w:pPr>
      <w:r>
        <w:rPr>
          <w:rFonts w:ascii="宋体" w:hAnsi="宋体"/>
          <w:color w:val="000000"/>
          <w:szCs w:val="21"/>
        </w:rPr>
        <w:t>执行企业标准、团体标准、地方标准的产品，检验项目参照上述内容执行。</w:t>
      </w:r>
    </w:p>
    <w:p>
      <w:pPr>
        <w:adjustRightInd w:val="0"/>
        <w:snapToGrid w:val="0"/>
        <w:spacing w:line="360" w:lineRule="auto"/>
        <w:ind w:firstLine="403" w:firstLineChars="192"/>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ascii="黑体" w:hAnsi="宋体" w:eastAsia="黑体"/>
          <w:b/>
          <w:bCs/>
          <w:szCs w:val="21"/>
        </w:rPr>
      </w:pPr>
      <w:r>
        <w:rPr>
          <w:rFonts w:ascii="黑体" w:hAnsi="宋体" w:eastAsia="黑体"/>
          <w:b/>
          <w:bCs/>
          <w:szCs w:val="21"/>
        </w:rPr>
        <w:t>3 判定规则</w:t>
      </w:r>
    </w:p>
    <w:p>
      <w:pPr>
        <w:snapToGrid w:val="0"/>
        <w:spacing w:line="440" w:lineRule="exact"/>
        <w:rPr>
          <w:rFonts w:ascii="宋体" w:hAnsi="宋体"/>
          <w:b/>
          <w:bCs/>
          <w:szCs w:val="21"/>
        </w:rPr>
      </w:pPr>
      <w:r>
        <w:rPr>
          <w:rFonts w:ascii="宋体" w:hAnsi="宋体"/>
          <w:b/>
          <w:bCs/>
          <w:szCs w:val="21"/>
        </w:rPr>
        <w:t>3.1依据标准</w:t>
      </w:r>
    </w:p>
    <w:p>
      <w:pPr>
        <w:snapToGrid w:val="0"/>
        <w:spacing w:line="440" w:lineRule="exact"/>
        <w:ind w:firstLine="420" w:firstLineChars="200"/>
        <w:rPr>
          <w:rFonts w:ascii="宋体" w:hAnsi="宋体"/>
          <w:szCs w:val="21"/>
        </w:rPr>
      </w:pPr>
      <w:r>
        <w:rPr>
          <w:rFonts w:hint="eastAsia" w:ascii="宋体" w:hAnsi="宋体"/>
          <w:szCs w:val="21"/>
        </w:rPr>
        <w:t>GB/T 19812.1-2017 塑料节水灌溉器材 第1部分：单翼迷宫式滴灌带</w:t>
      </w:r>
    </w:p>
    <w:p>
      <w:pPr>
        <w:snapToGrid w:val="0"/>
        <w:spacing w:line="440" w:lineRule="exact"/>
        <w:ind w:firstLine="420" w:firstLineChars="200"/>
        <w:rPr>
          <w:rFonts w:ascii="宋体" w:hAnsi="宋体"/>
          <w:szCs w:val="21"/>
        </w:rPr>
      </w:pPr>
      <w:r>
        <w:rPr>
          <w:rFonts w:hint="eastAsia" w:ascii="宋体" w:hAnsi="宋体"/>
          <w:szCs w:val="21"/>
        </w:rPr>
        <w:t>GB/T 19812.3-2017 塑料节水灌溉器材 第3部分：内镶式滴灌管及滴灌带</w:t>
      </w:r>
    </w:p>
    <w:p>
      <w:pPr>
        <w:snapToGrid w:val="0"/>
        <w:spacing w:line="440" w:lineRule="exact"/>
        <w:ind w:firstLine="420" w:firstLineChars="200"/>
        <w:rPr>
          <w:rFonts w:ascii="宋体" w:hAnsi="宋体"/>
          <w:szCs w:val="21"/>
        </w:rPr>
      </w:pPr>
      <w:r>
        <w:rPr>
          <w:rFonts w:ascii="宋体" w:hAnsi="宋体"/>
          <w:szCs w:val="21"/>
        </w:rPr>
        <w:t>现行有效的企业标准、团体标准、地方标准及产品明示质量要求。</w:t>
      </w:r>
    </w:p>
    <w:p>
      <w:pPr>
        <w:snapToGrid w:val="0"/>
        <w:spacing w:line="440" w:lineRule="exact"/>
        <w:rPr>
          <w:rFonts w:ascii="宋体" w:hAnsi="宋体"/>
          <w:b/>
          <w:bCs/>
          <w:szCs w:val="21"/>
        </w:rPr>
      </w:pPr>
      <w:r>
        <w:rPr>
          <w:rFonts w:ascii="宋体" w:hAnsi="宋体"/>
          <w:b/>
          <w:bCs/>
          <w:szCs w:val="21"/>
        </w:rPr>
        <w:t>3.2 判定原则</w:t>
      </w:r>
    </w:p>
    <w:p>
      <w:pPr>
        <w:snapToGrid w:val="0"/>
        <w:spacing w:line="440" w:lineRule="exact"/>
        <w:ind w:firstLine="420" w:firstLineChars="200"/>
        <w:rPr>
          <w:rFonts w:ascii="宋体" w:hAnsi="宋体"/>
          <w:szCs w:val="21"/>
        </w:rPr>
      </w:pPr>
      <w:r>
        <w:rPr>
          <w:rFonts w:ascii="宋体" w:hAnsi="宋体"/>
          <w:szCs w:val="21"/>
        </w:rPr>
        <w:t>经检验，检验项目全部合格，判定为被抽查产品合格；检验项目中任一项或一项以上不合格，判定为被抽査产品不合格。</w:t>
      </w:r>
    </w:p>
    <w:p>
      <w:pPr>
        <w:snapToGrid w:val="0"/>
        <w:spacing w:line="440" w:lineRule="exact"/>
        <w:ind w:firstLine="420" w:firstLineChars="200"/>
        <w:rPr>
          <w:rFonts w:ascii="宋体" w:hAnsi="宋体"/>
          <w:szCs w:val="21"/>
        </w:rPr>
      </w:pPr>
      <w:r>
        <w:rPr>
          <w:rFonts w:ascii="宋体" w:hAnsi="宋体"/>
          <w:szCs w:val="21"/>
        </w:rPr>
        <w:t>若被检产品明示的质量要求高于本细则中检验项目依据的标准要求时，应按被检产品明示的质量要求判定。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hAnsi="宋体"/>
          <w:szCs w:val="21"/>
        </w:rPr>
      </w:pPr>
      <w:r>
        <w:rPr>
          <w:rFonts w:ascii="宋体" w:hAnsi="宋体"/>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ascii="宋体" w:hAnsi="宋体"/>
          <w:szCs w:val="21"/>
        </w:rPr>
      </w:pPr>
      <w:r>
        <w:rPr>
          <w:rFonts w:ascii="宋体" w:hAnsi="宋体"/>
          <w:szCs w:val="21"/>
        </w:rPr>
        <w:t>若被检产品明示的质量要求缺少本细则中检验项目依据的强制性</w:t>
      </w:r>
      <w:r>
        <w:rPr>
          <w:rFonts w:hint="eastAsia" w:ascii="宋体" w:hAnsi="宋体"/>
          <w:szCs w:val="21"/>
          <w:lang w:val="en-US" w:eastAsia="zh-CN"/>
        </w:rPr>
        <w:t>标准</w:t>
      </w:r>
      <w:r>
        <w:rPr>
          <w:rFonts w:ascii="宋体" w:hAnsi="宋体"/>
          <w:szCs w:val="21"/>
        </w:rPr>
        <w:t>要求时，应按照强制性标准要求判定</w:t>
      </w:r>
    </w:p>
    <w:p>
      <w:pPr>
        <w:snapToGrid w:val="0"/>
        <w:spacing w:line="440" w:lineRule="exact"/>
        <w:ind w:firstLine="420" w:firstLineChars="200"/>
        <w:rPr>
          <w:rFonts w:hint="eastAsia" w:ascii="宋体" w:hAnsi="宋体"/>
          <w:szCs w:val="21"/>
        </w:rPr>
      </w:pPr>
      <w:r>
        <w:rPr>
          <w:rFonts w:ascii="宋体" w:hAnsi="宋体"/>
          <w:szCs w:val="21"/>
        </w:rPr>
        <w:t>若被检产品明示的质量要求缺少本细则中检验项目依据的推荐性</w:t>
      </w:r>
      <w:bookmarkStart w:id="0" w:name="_GoBack"/>
      <w:bookmarkEnd w:id="0"/>
      <w:r>
        <w:rPr>
          <w:rFonts w:ascii="宋体" w:hAnsi="宋体"/>
          <w:szCs w:val="21"/>
        </w:rPr>
        <w:t>标准要求时。该项目不参与判定，但应在检验报告备注中进行说明。</w:t>
      </w:r>
    </w:p>
    <w:p>
      <w:pPr>
        <w:snapToGrid w:val="0"/>
        <w:spacing w:line="360" w:lineRule="auto"/>
        <w:rPr>
          <w:rFonts w:hint="eastAsia"/>
          <w:b/>
          <w:color w:val="000000"/>
          <w:szCs w:val="21"/>
        </w:rPr>
      </w:pPr>
    </w:p>
    <w:p>
      <w:pPr>
        <w:snapToGrid w:val="0"/>
        <w:spacing w:line="360" w:lineRule="auto"/>
        <w:rPr>
          <w:b/>
          <w:color w:val="000000"/>
          <w:szCs w:val="21"/>
        </w:rPr>
      </w:pPr>
      <w:r>
        <w:rPr>
          <w:b/>
          <w:color w:val="000000"/>
          <w:szCs w:val="21"/>
        </w:rPr>
        <w:t>4</w:t>
      </w:r>
      <w:r>
        <w:rPr>
          <w:rFonts w:hint="eastAsia"/>
          <w:b/>
          <w:color w:val="000000"/>
          <w:szCs w:val="21"/>
        </w:rPr>
        <w:t>异议处理</w:t>
      </w:r>
    </w:p>
    <w:p>
      <w:pPr>
        <w:snapToGrid w:val="0"/>
        <w:spacing w:line="360" w:lineRule="auto"/>
        <w:ind w:firstLine="420" w:firstLineChars="200"/>
        <w:rPr>
          <w:rFonts w:ascii="宋体" w:hAnsi="宋体"/>
          <w:szCs w:val="21"/>
        </w:rPr>
      </w:pPr>
      <w:r>
        <w:rPr>
          <w:rFonts w:hint="eastAsia" w:ascii="宋体" w:hAnsi="宋体"/>
          <w:szCs w:val="21"/>
        </w:rPr>
        <w:t>对判定不合格产品进行异议处理时，按以下方式进行：</w:t>
      </w:r>
    </w:p>
    <w:p>
      <w:pPr>
        <w:adjustRightInd w:val="0"/>
        <w:snapToGrid w:val="0"/>
        <w:spacing w:line="360" w:lineRule="auto"/>
        <w:rPr>
          <w:rFonts w:hint="eastAsia" w:ascii="宋体" w:hAnsi="宋体"/>
          <w:szCs w:val="21"/>
        </w:rPr>
      </w:pPr>
      <w:r>
        <w:rPr>
          <w:rFonts w:hint="eastAsia" w:ascii="宋体" w:hAnsi="宋体"/>
          <w:szCs w:val="21"/>
        </w:rPr>
        <w:t>4.1市场监管部门负责接收、审核异议申请材料，对于同意复检的，通知检测机构复检。</w:t>
      </w:r>
    </w:p>
    <w:p>
      <w:pPr>
        <w:adjustRightInd w:val="0"/>
        <w:snapToGrid w:val="0"/>
        <w:spacing w:line="360" w:lineRule="auto"/>
        <w:rPr>
          <w:rFonts w:hint="eastAsia" w:ascii="宋体" w:hAnsi="宋体"/>
          <w:szCs w:val="21"/>
        </w:rPr>
      </w:pPr>
      <w:r>
        <w:rPr>
          <w:rFonts w:hint="eastAsia" w:ascii="宋体" w:hAnsi="宋体"/>
          <w:szCs w:val="21"/>
        </w:rPr>
        <w:t>4.2检测机构通知异议申请人相关复检的安排。</w:t>
      </w:r>
    </w:p>
    <w:p>
      <w:pPr>
        <w:adjustRightInd w:val="0"/>
        <w:snapToGrid w:val="0"/>
        <w:spacing w:line="360" w:lineRule="auto"/>
        <w:rPr>
          <w:rFonts w:hint="eastAsia" w:ascii="宋体" w:hAnsi="宋体"/>
          <w:szCs w:val="21"/>
        </w:rPr>
      </w:pPr>
      <w:r>
        <w:rPr>
          <w:rFonts w:hint="eastAsia" w:ascii="宋体" w:hAnsi="宋体"/>
          <w:szCs w:val="21"/>
        </w:rPr>
        <w:t>4.3检测机构按照实施细则对异议项目进行复检，复检结论为异议处理的最终结论。</w:t>
      </w:r>
    </w:p>
    <w:p>
      <w:pPr>
        <w:adjustRightInd w:val="0"/>
        <w:snapToGrid w:val="0"/>
        <w:spacing w:line="360" w:lineRule="auto"/>
        <w:rPr>
          <w:rFonts w:ascii="宋体" w:hAnsi="宋体"/>
          <w:szCs w:val="21"/>
        </w:rPr>
      </w:pPr>
      <w:r>
        <w:rPr>
          <w:rFonts w:hint="eastAsia" w:ascii="宋体" w:hAnsi="宋体"/>
          <w:szCs w:val="21"/>
        </w:rPr>
        <w:t>4.4市场监管部门将复检相关文书递送异议申请人。</w:t>
      </w:r>
    </w:p>
    <w:p>
      <w:pPr>
        <w:adjustRightInd w:val="0"/>
        <w:snapToGrid w:val="0"/>
        <w:spacing w:line="360" w:lineRule="auto"/>
        <w:ind w:firstLine="420" w:firstLineChars="200"/>
      </w:pPr>
      <w:r>
        <w:rPr>
          <w:kern w:val="0"/>
          <w:szCs w:val="21"/>
        </w:rPr>
        <w:pict>
          <v:line id="直线 4" o:spid="_x0000_s1027" o:spt="20" style="position:absolute;left:0pt;margin-left:121.2pt;margin-top:20.65pt;height:0pt;width:153pt;mso-position-horizontal-relative:margin;z-index:251662336;mso-width-relative:page;mso-height-relative:page;" coordsize="21600,21600" o:gfxdata="UEsDBAoAAAAAAIdO4kAAAAAAAAAAAAAAAAAEAAAAZHJzL1BLAwQUAAAACACHTuJAT/l8FdYAAAAJ&#10;AQAADwAAAGRycy9kb3ducmV2LnhtbE2PPU/DQAyGdyT+w8lILBW9SxqqKuTSAcjGQgF1dROTROR8&#10;ae76Ab8eIwYY/frR68fF+uwGdaQp9J4tJHMDirj2Tc+thdeX6mYFKkTkBgfPZOGTAqzLy4sC88af&#10;+JmOm9gqKeGQo4UuxjHXOtQdOQxzPxLL7t1PDqOMU6ubCU9S7gadGrPUDnuWCx2OdN9R/bE5OAuh&#10;eqN99TWrZ2a7aD2l+4enR7T2+ioxd6AineMfDD/6og6lOO38gZugBgtplmaCWsiSBSgBbrOVBLvf&#10;QJeF/v9B+Q1QSwMEFAAAAAgAh07iQBlYRi3XAQAAoQMAAA4AAABkcnMvZTJvRG9jLnhtbK1TS24b&#10;MQzdF+gdBO3rsd2kaAYeZ2Ej3aRtgCQHoDUaj1BJFETZY5+l1+iqmx4n1yglf5qmmyw6C0EUyUe+&#10;R87seues2OpIBn0jJ6OxFNorbI1fN/Lx4ebdRykogW/BoteN3GuS1/O3b2ZDqPUUe7StjoJBPNVD&#10;aGSfUqirilSvHdAIg/bs7DA6SGzGddVGGBjd2Wo6Hn+oBoxtiKg0Eb8uD055RIyvAcSuM0ovUW2c&#10;9umAGrWFxJSoN4HkvHTbdVqlr11HOgnbSGaayslF+L7KZzWfQb2OEHqjji3Aa1p4wcmB8Vz0DLWE&#10;BGITzT9QzqiIhF0aKXTVgUhRhFlMxi+0ue8h6MKFpaZwFp3+H6z6sr2LwrS8CVJ4cDzwp+8/nn7+&#10;EhdZmyFQzSELfxczO7Xz9+EW1TcSHhc9+LUuPT7sAydOckb1V0o2KHCF1fAZW46BTcIi1K6LLkOy&#10;BGJX5rE/z0PvklD8OLm6eD8Z86jUyVdBfUoMkdInjU7kSyOt8VkqqGF7Syk3AvUpJD97vDHWlnFb&#10;L4ZGXl1OL0sCoTVtduYwiuvVwkaxhbww5Sus2PM8LOLGt4ci1h9JZ54HxVbY7u/iSQyeXOnmuGV5&#10;NZ7bJfvPnzX/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5fBXWAAAACQEAAA8AAAAAAAAAAQAg&#10;AAAAIgAAAGRycy9kb3ducmV2LnhtbFBLAQIUABQAAAAIAIdO4kAZWEYt1wEAAKEDAAAOAAAAAAAA&#10;AAEAIAAAACUBAABkcnMvZTJvRG9jLnhtbFBLBQYAAAAABgAGAFkBAABuBQAAAAA=&#10;">
            <v:path arrowok="t"/>
            <v:fill focussize="0,0"/>
            <v:stroke/>
            <v:imagedata o:title=""/>
            <o:lock v:ext="edit"/>
          </v:line>
        </w:pic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1NTc2YWNlNDNkMWJhODRiMjVmNzM5MDRhMTA3NGQifQ=="/>
  </w:docVars>
  <w:rsids>
    <w:rsidRoot w:val="00F07E3A"/>
    <w:rsid w:val="00003A02"/>
    <w:rsid w:val="00026D22"/>
    <w:rsid w:val="000802ED"/>
    <w:rsid w:val="000A43A4"/>
    <w:rsid w:val="000E53D8"/>
    <w:rsid w:val="000F0961"/>
    <w:rsid w:val="00130D19"/>
    <w:rsid w:val="00131D6F"/>
    <w:rsid w:val="00136C80"/>
    <w:rsid w:val="001468BE"/>
    <w:rsid w:val="00186F4C"/>
    <w:rsid w:val="001966A2"/>
    <w:rsid w:val="001B3401"/>
    <w:rsid w:val="001C00C0"/>
    <w:rsid w:val="001D2F5B"/>
    <w:rsid w:val="001D31E0"/>
    <w:rsid w:val="001E17C1"/>
    <w:rsid w:val="00205454"/>
    <w:rsid w:val="00212DF0"/>
    <w:rsid w:val="002203D6"/>
    <w:rsid w:val="002C0672"/>
    <w:rsid w:val="002D4649"/>
    <w:rsid w:val="002E2C1A"/>
    <w:rsid w:val="002F56DA"/>
    <w:rsid w:val="00307674"/>
    <w:rsid w:val="00341B91"/>
    <w:rsid w:val="003525EE"/>
    <w:rsid w:val="003761D3"/>
    <w:rsid w:val="00384D07"/>
    <w:rsid w:val="00393E13"/>
    <w:rsid w:val="003C0C7C"/>
    <w:rsid w:val="003E54B5"/>
    <w:rsid w:val="003F2CC8"/>
    <w:rsid w:val="003F2ECF"/>
    <w:rsid w:val="003F6C3C"/>
    <w:rsid w:val="004162BD"/>
    <w:rsid w:val="004246BD"/>
    <w:rsid w:val="0048464A"/>
    <w:rsid w:val="00491319"/>
    <w:rsid w:val="004B6BB3"/>
    <w:rsid w:val="004C320B"/>
    <w:rsid w:val="004C3BF8"/>
    <w:rsid w:val="004D0498"/>
    <w:rsid w:val="004D1741"/>
    <w:rsid w:val="005151C5"/>
    <w:rsid w:val="00520BC7"/>
    <w:rsid w:val="00580C17"/>
    <w:rsid w:val="005840C6"/>
    <w:rsid w:val="005A1042"/>
    <w:rsid w:val="005C1D4A"/>
    <w:rsid w:val="005E0BB4"/>
    <w:rsid w:val="005F5925"/>
    <w:rsid w:val="005F6AB5"/>
    <w:rsid w:val="00600795"/>
    <w:rsid w:val="006070B2"/>
    <w:rsid w:val="006106A7"/>
    <w:rsid w:val="0063534D"/>
    <w:rsid w:val="00660C1F"/>
    <w:rsid w:val="0066707E"/>
    <w:rsid w:val="00680E03"/>
    <w:rsid w:val="006923D1"/>
    <w:rsid w:val="007371DF"/>
    <w:rsid w:val="007538C4"/>
    <w:rsid w:val="00763508"/>
    <w:rsid w:val="007A4DA7"/>
    <w:rsid w:val="007E3BC9"/>
    <w:rsid w:val="007E4267"/>
    <w:rsid w:val="007E77FA"/>
    <w:rsid w:val="007F17CB"/>
    <w:rsid w:val="00824895"/>
    <w:rsid w:val="00825EFB"/>
    <w:rsid w:val="008714F6"/>
    <w:rsid w:val="00876A15"/>
    <w:rsid w:val="008B3DA1"/>
    <w:rsid w:val="008D01AC"/>
    <w:rsid w:val="008D1D85"/>
    <w:rsid w:val="008D7FA9"/>
    <w:rsid w:val="0094697B"/>
    <w:rsid w:val="00947DB9"/>
    <w:rsid w:val="0095354F"/>
    <w:rsid w:val="0098086A"/>
    <w:rsid w:val="00980B91"/>
    <w:rsid w:val="009918B6"/>
    <w:rsid w:val="00995D54"/>
    <w:rsid w:val="009A2D5B"/>
    <w:rsid w:val="009B075A"/>
    <w:rsid w:val="009D6A1B"/>
    <w:rsid w:val="009E0B36"/>
    <w:rsid w:val="00A0235B"/>
    <w:rsid w:val="00A159C6"/>
    <w:rsid w:val="00A3237D"/>
    <w:rsid w:val="00A506E4"/>
    <w:rsid w:val="00A67037"/>
    <w:rsid w:val="00A70511"/>
    <w:rsid w:val="00A758A5"/>
    <w:rsid w:val="00A94A9C"/>
    <w:rsid w:val="00A974E7"/>
    <w:rsid w:val="00AA40B7"/>
    <w:rsid w:val="00AC46B8"/>
    <w:rsid w:val="00AD6450"/>
    <w:rsid w:val="00AD7558"/>
    <w:rsid w:val="00AF01F9"/>
    <w:rsid w:val="00B0121D"/>
    <w:rsid w:val="00B051C5"/>
    <w:rsid w:val="00B07E34"/>
    <w:rsid w:val="00B42944"/>
    <w:rsid w:val="00B4678C"/>
    <w:rsid w:val="00B52D5A"/>
    <w:rsid w:val="00B6029C"/>
    <w:rsid w:val="00B73A08"/>
    <w:rsid w:val="00B80A09"/>
    <w:rsid w:val="00B83E56"/>
    <w:rsid w:val="00B84F1B"/>
    <w:rsid w:val="00B96645"/>
    <w:rsid w:val="00BA3665"/>
    <w:rsid w:val="00BC321B"/>
    <w:rsid w:val="00BD4224"/>
    <w:rsid w:val="00C11D14"/>
    <w:rsid w:val="00C17CD4"/>
    <w:rsid w:val="00C414AA"/>
    <w:rsid w:val="00C51ABE"/>
    <w:rsid w:val="00C72138"/>
    <w:rsid w:val="00C93EE0"/>
    <w:rsid w:val="00C95030"/>
    <w:rsid w:val="00CB27B4"/>
    <w:rsid w:val="00CE478E"/>
    <w:rsid w:val="00D048FA"/>
    <w:rsid w:val="00D21DB1"/>
    <w:rsid w:val="00D3721F"/>
    <w:rsid w:val="00DA619A"/>
    <w:rsid w:val="00DB00F9"/>
    <w:rsid w:val="00DD1CCC"/>
    <w:rsid w:val="00DD4B5B"/>
    <w:rsid w:val="00DE607C"/>
    <w:rsid w:val="00E052BA"/>
    <w:rsid w:val="00E13E9A"/>
    <w:rsid w:val="00E337E0"/>
    <w:rsid w:val="00E413B5"/>
    <w:rsid w:val="00E47DFC"/>
    <w:rsid w:val="00E81BAF"/>
    <w:rsid w:val="00E85353"/>
    <w:rsid w:val="00EA114F"/>
    <w:rsid w:val="00EB367E"/>
    <w:rsid w:val="00EB4824"/>
    <w:rsid w:val="00EC06EA"/>
    <w:rsid w:val="00EF1050"/>
    <w:rsid w:val="00F07E3A"/>
    <w:rsid w:val="00F26B1E"/>
    <w:rsid w:val="00F300A5"/>
    <w:rsid w:val="00F74788"/>
    <w:rsid w:val="00FA7C4A"/>
    <w:rsid w:val="00FB579A"/>
    <w:rsid w:val="00FC6E34"/>
    <w:rsid w:val="00FD0F04"/>
    <w:rsid w:val="00FD493B"/>
    <w:rsid w:val="00FF06E1"/>
    <w:rsid w:val="00FF3C49"/>
    <w:rsid w:val="00FF4DC0"/>
    <w:rsid w:val="02E07AF8"/>
    <w:rsid w:val="09184EC5"/>
    <w:rsid w:val="097860A4"/>
    <w:rsid w:val="0AA67854"/>
    <w:rsid w:val="0AD73AE8"/>
    <w:rsid w:val="0F144A26"/>
    <w:rsid w:val="13B51E7B"/>
    <w:rsid w:val="14A705B4"/>
    <w:rsid w:val="165318AE"/>
    <w:rsid w:val="18A27CF5"/>
    <w:rsid w:val="197B5DAF"/>
    <w:rsid w:val="1C4E77C9"/>
    <w:rsid w:val="238A1337"/>
    <w:rsid w:val="23B5012E"/>
    <w:rsid w:val="23BF7131"/>
    <w:rsid w:val="264E5CE2"/>
    <w:rsid w:val="2E953036"/>
    <w:rsid w:val="30F14433"/>
    <w:rsid w:val="32327383"/>
    <w:rsid w:val="37381997"/>
    <w:rsid w:val="39F2758E"/>
    <w:rsid w:val="3E5500EC"/>
    <w:rsid w:val="45394A56"/>
    <w:rsid w:val="47A469CD"/>
    <w:rsid w:val="4ACA0DE0"/>
    <w:rsid w:val="50843ECA"/>
    <w:rsid w:val="52291351"/>
    <w:rsid w:val="525E7FEC"/>
    <w:rsid w:val="536D484A"/>
    <w:rsid w:val="53834129"/>
    <w:rsid w:val="540461B3"/>
    <w:rsid w:val="544A1B89"/>
    <w:rsid w:val="5A8B27FC"/>
    <w:rsid w:val="5BFA5BC9"/>
    <w:rsid w:val="5D3E05CF"/>
    <w:rsid w:val="609D1D6E"/>
    <w:rsid w:val="60E83E09"/>
    <w:rsid w:val="645867D4"/>
    <w:rsid w:val="668A64E1"/>
    <w:rsid w:val="6B612BE0"/>
    <w:rsid w:val="6F32211D"/>
    <w:rsid w:val="73DE29EE"/>
    <w:rsid w:val="754D2BA4"/>
    <w:rsid w:val="7D696C85"/>
    <w:rsid w:val="7E4607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5"/>
    <w:autoRedefine/>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kern w:val="0"/>
      <w:sz w:val="32"/>
    </w:rPr>
  </w:style>
  <w:style w:type="paragraph" w:styleId="9">
    <w:name w:val="annotation subject"/>
    <w:basedOn w:val="3"/>
    <w:next w:val="3"/>
    <w:link w:val="17"/>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3 Char"/>
    <w:basedOn w:val="11"/>
    <w:link w:val="8"/>
    <w:qFormat/>
    <w:uiPriority w:val="0"/>
    <w:rPr>
      <w:rFonts w:ascii="仿宋_GB2312" w:hAnsi="Times New Roman" w:eastAsia="仿宋_GB2312" w:cs="Times New Roman"/>
      <w:kern w:val="0"/>
      <w:sz w:val="32"/>
      <w:szCs w:val="20"/>
    </w:rPr>
  </w:style>
  <w:style w:type="character" w:customStyle="1" w:styleId="16">
    <w:name w:val="批注文字 Char"/>
    <w:basedOn w:val="11"/>
    <w:link w:val="3"/>
    <w:semiHidden/>
    <w:qFormat/>
    <w:uiPriority w:val="99"/>
    <w:rPr>
      <w:rFonts w:ascii="Times New Roman" w:hAnsi="Times New Roman" w:eastAsia="宋体" w:cs="Times New Roman"/>
      <w:szCs w:val="20"/>
    </w:rPr>
  </w:style>
  <w:style w:type="character" w:customStyle="1" w:styleId="17">
    <w:name w:val="批注主题 Char"/>
    <w:basedOn w:val="16"/>
    <w:link w:val="9"/>
    <w:semiHidden/>
    <w:qFormat/>
    <w:uiPriority w:val="99"/>
    <w:rPr>
      <w:rFonts w:ascii="Times New Roman" w:hAnsi="Times New Roman" w:eastAsia="宋体" w:cs="Times New Roman"/>
      <w:b/>
      <w:bCs/>
      <w:szCs w:val="20"/>
    </w:rPr>
  </w:style>
  <w:style w:type="character" w:customStyle="1" w:styleId="18">
    <w:name w:val="批注框文本 Char"/>
    <w:basedOn w:val="11"/>
    <w:link w:val="5"/>
    <w:autoRedefine/>
    <w:semiHidden/>
    <w:qFormat/>
    <w:uiPriority w:val="99"/>
    <w:rPr>
      <w:rFonts w:ascii="Times New Roman" w:hAnsi="Times New Roman" w:eastAsia="宋体" w:cs="Times New Roman"/>
      <w:sz w:val="18"/>
      <w:szCs w:val="18"/>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
    <w:name w:val="日期 Char"/>
    <w:basedOn w:val="11"/>
    <w:link w:val="4"/>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56B89-F0DA-4340-B8A9-8EE6EE94E95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1219</Words>
  <Characters>1484</Characters>
  <Lines>12</Lines>
  <Paragraphs>3</Paragraphs>
  <TotalTime>2</TotalTime>
  <ScaleCrop>false</ScaleCrop>
  <LinksUpToDate>false</LinksUpToDate>
  <CharactersWithSpaces>1543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2021-07-01T12:22:00Z</dcterms:created>
  <dc:creator>lzk</dc:creator>
  <cp:lastModifiedBy>lijin</cp:lastModifiedBy>
  <cp:lastPrinted>2023-07-27T08:15:00Z</cp:lastPrinted>
  <dcterms:modified xsi:type="dcterms:W3CDTF">2024-03-15T04:48:51Z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37DB0AF88A324FC79333F924FB53BB9A</vt:lpwstr>
  </property>
</Properties>
</file>