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8F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第五师双河市“无废城市”建设实施方案</w:t>
      </w:r>
    </w:p>
    <w:p w14:paraId="284966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64997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p>
    <w:p w14:paraId="4FC8F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根据生态环境部、国家发展改革委、工业和信息化部、等18部委关于开展“无废城市”建设相关工作要求和兵团生态环境局《关于推进兵团“无废城市”建设工作的通知》文件精神，牢固树立“</w:t>
      </w:r>
      <w:bookmarkStart w:id="0" w:name="_GoBack"/>
      <w:bookmarkEnd w:id="0"/>
      <w:r>
        <w:rPr>
          <w:rFonts w:hint="eastAsia" w:ascii="Times New Roman" w:hAnsi="Times New Roman" w:eastAsia="仿宋_GB2312" w:cs="仿宋_GB2312"/>
          <w:sz w:val="32"/>
          <w:szCs w:val="32"/>
          <w:lang w:val="en-US" w:eastAsia="zh-CN"/>
        </w:rPr>
        <w:t>绿色发展、生态赋能”理念，统筹推进师市“无废城市”建设，结合师市实际，制定本方案。</w:t>
      </w:r>
    </w:p>
    <w:p w14:paraId="6489B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08A426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坚持以习近平新时代中国特色社会主义思想为指导，深入学习贯彻习近平生态文明思想，统筹城市发展与固体废物管理。将非法倾倒处置固体废物专项整治行动（2025-2027年）与“无废城市”建设有效衔接，全面推动师市辖区内固体废物污染防治取得实效。到2030年，师市行政辖区范围内工业企业绿色制造水平全面提升，工业固体废物产生强度较快下降，主要农业废弃物利用水平提高，生活垃圾分类收运体系成熟高效，固体废物资源化和处置能力建设显著增强，形成一套跨领域、跨部门、跨区域的“无废城市”建设管理机制和保障体系。</w:t>
      </w:r>
    </w:p>
    <w:p w14:paraId="3111CD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二、组织机构</w:t>
      </w:r>
    </w:p>
    <w:p w14:paraId="4F583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师市党委生态环境保护委员会（以下简称“师市党委环委会”）统筹推进第五师双河市“无废城市”建设工作。师市党委环委会办公室（设在生态环境局）负责“无废城市”建设工作日常事务，督促、协调相关单位推进“无废城市”建设；加强“无废城市”建设工作的监督检查，定期调度、通报工作情况，总结部署阶段性工作任务。各成员范围按照《实施方案》职责分工抓好落实，各团场、街道、双河经开区管委会落实好生态环境保护属地管理责任，相应推进辖区“无废细胞”建设。</w:t>
      </w:r>
      <w:r>
        <w:rPr>
          <w:rFonts w:hint="eastAsia" w:ascii="楷体_GB2312" w:hAnsi="楷体_GB2312" w:eastAsia="楷体_GB2312" w:cs="楷体_GB2312"/>
          <w:color w:val="auto"/>
          <w:sz w:val="32"/>
          <w:szCs w:val="32"/>
          <w:lang w:val="en-US" w:eastAsia="zh-CN"/>
        </w:rPr>
        <w:t>（师市党委环委会办公室牵头，师市党委环委会成员单位按职责分工负责，各团场、双河经开区管委会、明珠街道负责落实；以下均需各团场、明珠街道落实，不再列出）</w:t>
      </w:r>
    </w:p>
    <w:p w14:paraId="2F3F9C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三、基础现状</w:t>
      </w:r>
    </w:p>
    <w:p w14:paraId="02CD4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（一）一般工业固体废物。</w:t>
      </w:r>
      <w:r>
        <w:rPr>
          <w:rFonts w:hint="eastAsia" w:ascii="Times New Roman" w:hAnsi="Times New Roman" w:eastAsia="仿宋_GB2312" w:cs="仿宋_GB2312"/>
          <w:sz w:val="32"/>
          <w:szCs w:val="32"/>
          <w:lang w:val="en-US" w:eastAsia="zh-CN"/>
        </w:rPr>
        <w:t>2024年，第五师双河市一般工业固废产生量19.56万吨，综合利用量18.88万吨，利用率达96.52%，处置量0.61万吨，贮存量0.04万吨，一般工业固体废物经过合理利用后均实现零排放。近年来，师市工业固体废物产生量逐渐增加，师市企业产生的固体废物目前采用委托有资质的第三方处置公司进行处理，无工业固体废物填埋场。</w:t>
      </w:r>
    </w:p>
    <w:p w14:paraId="26794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（二）工业危险废物。</w:t>
      </w:r>
      <w:r>
        <w:rPr>
          <w:rFonts w:hint="eastAsia" w:ascii="Times New Roman" w:hAnsi="Times New Roman" w:eastAsia="仿宋_GB2312" w:cs="仿宋_GB2312"/>
          <w:sz w:val="32"/>
          <w:szCs w:val="32"/>
          <w:lang w:val="en-US" w:eastAsia="zh-CN"/>
        </w:rPr>
        <w:t>近年来，师市工业危险废物均依法依规开展无害化处置。2024年，师市在</w:t>
      </w:r>
      <w:r>
        <w:rPr>
          <w:rFonts w:hint="eastAsia" w:ascii="Times New Roman" w:hAnsi="Times New Roman" w:eastAsia="仿宋_GB2312" w:cs="仿宋_GB2312"/>
          <w:sz w:val="32"/>
          <w:szCs w:val="40"/>
          <w:lang w:val="en-US" w:eastAsia="zh-CN"/>
        </w:rPr>
        <w:t>全国固体废物管理信息系统备案危废产生单位66家（包含医疗机构13家），</w:t>
      </w:r>
      <w:r>
        <w:rPr>
          <w:rFonts w:hint="eastAsia" w:ascii="Times New Roman" w:hAnsi="Times New Roman" w:eastAsia="仿宋_GB2312" w:cs="仿宋_GB2312"/>
          <w:sz w:val="32"/>
          <w:szCs w:val="32"/>
          <w:lang w:val="en-US" w:eastAsia="zh-CN"/>
        </w:rPr>
        <w:t>师市工业危废产生量20.92吨，利用处置量14.23吨，处置综合利用率为68.02%。</w:t>
      </w:r>
    </w:p>
    <w:p w14:paraId="7BF88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（三）农业领域固体废物。</w:t>
      </w:r>
      <w:r>
        <w:rPr>
          <w:rFonts w:hint="eastAsia" w:ascii="Times New Roman" w:hAnsi="Times New Roman" w:eastAsia="仿宋_GB2312" w:cs="仿宋_GB2312"/>
          <w:sz w:val="32"/>
          <w:szCs w:val="32"/>
          <w:lang w:val="en-US" w:eastAsia="zh-CN"/>
        </w:rPr>
        <w:t>2024年，师市畜禽粪污综合利用率92.95%，规模养殖场粪污处理设施装备配套率100%，大型规模养殖场粪污处理设施装备配套率100%。师市畜禽粪污产量132.16万吨，粪污堆肥量51.83万吨，肥水还田利用80.33万吨。</w:t>
      </w:r>
      <w:r>
        <w:rPr>
          <w:rFonts w:hint="eastAsia" w:ascii="Times New Roman" w:hAnsi="Times New Roman" w:eastAsia="仿宋_GB2312" w:cs="仿宋_GB2312"/>
          <w:kern w:val="2"/>
          <w:sz w:val="32"/>
          <w:szCs w:val="32"/>
          <w:highlight w:val="none"/>
          <w:lang w:val="en-US" w:eastAsia="zh-CN" w:bidi="ar-SA"/>
        </w:rPr>
        <w:t>完成病死畜禽无害化处理场建设并投入使用，淘汰了深埋、化制、焚烧等传统病死畜禽处理方式，有效减少病死畜禽对土壤、水源的污染。</w:t>
      </w:r>
      <w:r>
        <w:rPr>
          <w:rFonts w:hint="eastAsia" w:ascii="Times New Roman" w:hAnsi="Times New Roman" w:eastAsia="仿宋_GB2312" w:cs="仿宋_GB2312"/>
          <w:sz w:val="32"/>
          <w:szCs w:val="32"/>
          <w:lang w:val="en-US" w:eastAsia="zh-CN"/>
        </w:rPr>
        <w:t>秸秆产量达84.72万吨，可收集秸秆产量78.91万吨，秸秆综合利用率达93.14%。师市覆膜95.45万亩，推广加厚高强度地膜45.97万亩，执行残膜回收验收单制度，引导购置残膜回收一体机189台，5家残膜回收企业通过破碎、分离、清洗、分选等技术流程，将回收残膜进行再造粒，推动残膜污染治理资源化利用。</w:t>
      </w:r>
    </w:p>
    <w:p w14:paraId="45B98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（四）城乡生活领域固体废物。</w:t>
      </w:r>
      <w:r>
        <w:rPr>
          <w:rFonts w:hint="eastAsia" w:ascii="Times New Roman" w:hAnsi="Times New Roman" w:eastAsia="仿宋_GB2312" w:cs="仿宋_GB2312"/>
          <w:sz w:val="32"/>
          <w:szCs w:val="32"/>
          <w:lang w:val="en-US" w:eastAsia="zh-CN"/>
        </w:rPr>
        <w:t>2024年，双河市生活垃圾收集实现全覆盖。市区生活垃圾无害化产生量为2.34万吨，2022年—2024年期间，双河市生活垃圾产生量基本维持稳定（2022年产生2.02万吨，2023年产生2.20万吨），每年生活垃圾回收利用率在40%以上，无害化处理率均保持在100%。2024年，连队生活垃圾产生量6796.98吨，无害化处理量3437.34吨，无害化处理率51%。</w:t>
      </w:r>
    </w:p>
    <w:p w14:paraId="502F8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（五）医疗废物。</w:t>
      </w:r>
      <w:r>
        <w:rPr>
          <w:rFonts w:hint="eastAsia" w:ascii="Times New Roman" w:hAnsi="Times New Roman" w:eastAsia="仿宋_GB2312" w:cs="仿宋_GB2312"/>
          <w:sz w:val="32"/>
          <w:szCs w:val="32"/>
          <w:lang w:val="en-US" w:eastAsia="zh-CN"/>
        </w:rPr>
        <w:t>师市医疗废物产生总量较少，2024年产生量为105.76吨，2022—2024年期间，师市医疗废物年产生量均不足200吨（2022年产生182.02吨，2023年产生124.10吨），全部由博乐市新洁医疗废物处置中心进行处置，经高温蒸汽灭菌，处理达标后运至博州垃圾焚烧厂焚烧处理。师市每年医疗废物处置率保持在100%。</w:t>
      </w:r>
    </w:p>
    <w:p w14:paraId="6825C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四、建设任务</w:t>
      </w:r>
    </w:p>
    <w:p w14:paraId="0BD6C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推进工业固体废物处理处置</w:t>
      </w:r>
    </w:p>
    <w:p w14:paraId="6C504E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1.引领工业产业绿色低碳转型</w:t>
      </w:r>
    </w:p>
    <w:p w14:paraId="5D7169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一是推动产业升级转型。</w:t>
      </w:r>
      <w:r>
        <w:rPr>
          <w:rFonts w:hint="eastAsia" w:ascii="Times New Roman" w:hAnsi="Times New Roman" w:eastAsia="仿宋_GB2312" w:cs="仿宋_GB2312"/>
          <w:sz w:val="32"/>
          <w:szCs w:val="32"/>
          <w:lang w:val="en-US" w:eastAsia="zh-CN"/>
        </w:rPr>
        <w:t>健全绿色低碳循环发展的生产体系，推进工业绿色升级。深入推进绿色制造工程体系，提高绿色制造对工业固废源头减量的支撑力度。鼓励企业推广应用新技术、新工艺，根据师市产业发展特征与区位优势，结合师市三大主导产业特点，鼓励创建一批绿色设计产品、绿色供应链和绿色工厂，促进固体废物减量和循环利用。</w:t>
      </w:r>
      <w:r>
        <w:rPr>
          <w:rFonts w:hint="eastAsia" w:ascii="楷体_GB2312" w:hAnsi="楷体_GB2312" w:eastAsia="楷体_GB2312" w:cs="楷体_GB2312"/>
          <w:color w:val="auto"/>
          <w:sz w:val="32"/>
          <w:szCs w:val="32"/>
          <w:lang w:val="en-US" w:eastAsia="zh-CN"/>
        </w:rPr>
        <w:t>（师市工信局、商务局、农业农村局、科技局，双河经开区管委会等按职责分工负责）</w:t>
      </w:r>
    </w:p>
    <w:p w14:paraId="55F624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二是实施全生命周期绿色管理。</w:t>
      </w:r>
      <w:r>
        <w:rPr>
          <w:rFonts w:hint="eastAsia" w:ascii="Times New Roman" w:hAnsi="Times New Roman" w:eastAsia="仿宋_GB2312" w:cs="仿宋_GB2312"/>
          <w:sz w:val="32"/>
          <w:szCs w:val="32"/>
          <w:lang w:val="en-US" w:eastAsia="zh-CN"/>
        </w:rPr>
        <w:t>鼓励和支持重点行业在生产服务过程中实施全生命周期绿色管理，完善电子产品零部件销售—回收—拆解—资源利用的工业固废循环产业链，推动形成绿色生产模式，将绿色低碳循环理念融入工业设计、生产、回收利用全过程，构建固体废物资源化利用产业链，提高固体废物综合利用水平。</w:t>
      </w:r>
      <w:r>
        <w:rPr>
          <w:rFonts w:hint="eastAsia" w:ascii="楷体_GB2312" w:hAnsi="楷体_GB2312" w:eastAsia="楷体_GB2312" w:cs="楷体_GB2312"/>
          <w:color w:val="auto"/>
          <w:sz w:val="32"/>
          <w:szCs w:val="32"/>
          <w:lang w:val="en-US" w:eastAsia="zh-CN"/>
        </w:rPr>
        <w:t>（师市发改委、商务局、工信局、生态环境局，双河经开区管委会按职责分工负责）</w:t>
      </w:r>
    </w:p>
    <w:p w14:paraId="24F6E5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三是进一步优化能源结构。</w:t>
      </w:r>
      <w:r>
        <w:rPr>
          <w:rFonts w:hint="eastAsia" w:ascii="Times New Roman" w:hAnsi="Times New Roman" w:eastAsia="仿宋_GB2312" w:cs="仿宋_GB2312"/>
          <w:sz w:val="32"/>
          <w:szCs w:val="32"/>
          <w:lang w:val="en-US" w:eastAsia="zh-CN"/>
        </w:rPr>
        <w:t>稳步发展光伏发电、风力发电、抽水蓄能发电等新能源和再生能源，严格控制煤炭消费增量，逐步降低煤炭消费比重。</w:t>
      </w:r>
      <w:r>
        <w:rPr>
          <w:rFonts w:hint="eastAsia" w:ascii="楷体_GB2312" w:hAnsi="楷体_GB2312" w:eastAsia="楷体_GB2312" w:cs="楷体_GB2312"/>
          <w:color w:val="auto"/>
          <w:sz w:val="32"/>
          <w:szCs w:val="32"/>
          <w:lang w:val="en-US" w:eastAsia="zh-CN"/>
        </w:rPr>
        <w:t>（师市发改委负责）</w:t>
      </w:r>
    </w:p>
    <w:p w14:paraId="0BAC18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四是推动绿色制造体系建设。</w:t>
      </w:r>
      <w:r>
        <w:rPr>
          <w:rFonts w:hint="eastAsia" w:ascii="Times New Roman" w:hAnsi="Times New Roman" w:eastAsia="仿宋_GB2312" w:cs="仿宋_GB2312"/>
          <w:sz w:val="32"/>
          <w:szCs w:val="32"/>
          <w:lang w:val="en-US" w:eastAsia="zh-CN"/>
        </w:rPr>
        <w:t>按照《兵团绿色制造体系建设管理办法（试行）》，遵循企业主体、行政引导、标准引领和全面覆盖的原则，以绿色工厂培育为基础，以绿色工业园区、绿色供应链管理企业培育为支撑，优化政策环境，引导第三方机构提供专业化服务，激发企业绿色制造的内生动力，发挥绿色制造标杆示范带动作用，推动行业、区域绿色低碳转型升级，逐步形成师市绿色工业园区、绿色工厂培育机制。</w:t>
      </w:r>
      <w:r>
        <w:rPr>
          <w:rFonts w:hint="eastAsia" w:ascii="楷体_GB2312" w:hAnsi="楷体_GB2312" w:eastAsia="楷体_GB2312" w:cs="楷体_GB2312"/>
          <w:color w:val="auto"/>
          <w:sz w:val="32"/>
          <w:szCs w:val="32"/>
          <w:lang w:val="en-US" w:eastAsia="zh-CN"/>
        </w:rPr>
        <w:t>（师市工信局、商务局、双河经开区管委会、自然资源和规划局、农业农村局、生态环境局等按职责分工负责）</w:t>
      </w:r>
    </w:p>
    <w:p w14:paraId="35C4E9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2.推动</w:t>
      </w:r>
      <w:r>
        <w:rPr>
          <w:rFonts w:hint="eastAsia" w:ascii="仿宋_GB2312" w:hAnsi="仿宋_GB2312" w:eastAsia="仿宋_GB2312" w:cs="仿宋_GB2312"/>
          <w:b/>
          <w:bCs/>
          <w:sz w:val="32"/>
          <w:szCs w:val="32"/>
          <w:lang w:val="en-US" w:eastAsia="zh-CN"/>
        </w:rPr>
        <w:t>工业固体废物源头减量</w:t>
      </w:r>
    </w:p>
    <w:p w14:paraId="2461EF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全面实施清洁生产审核。</w:t>
      </w:r>
      <w:r>
        <w:rPr>
          <w:rFonts w:hint="default" w:ascii="Times New Roman" w:hAnsi="Times New Roman" w:eastAsia="仿宋_GB2312" w:cs="仿宋_GB2312"/>
          <w:sz w:val="32"/>
          <w:szCs w:val="32"/>
          <w:lang w:val="en-US" w:eastAsia="zh-CN"/>
        </w:rPr>
        <w:t>加大清洁生产审核力度，扩大清洁生产审核面，进一步提高审核质量。落实《中华人民共和国固体废物污染环境防治法》对工业固体废物的管理要求，强化建设项目固体废物管理，引导企业源头减量，建立健全一般工业固体废物管理台账制度，进一步推进源头管控精细化。充分发挥龙头企业的引领示范作用，强</w:t>
      </w:r>
      <w:r>
        <w:rPr>
          <w:rFonts w:hint="default" w:ascii="Times New Roman" w:hAnsi="Times New Roman" w:eastAsia="仿宋_GB2312" w:cs="仿宋_GB2312"/>
          <w:color w:val="auto"/>
          <w:sz w:val="32"/>
          <w:szCs w:val="32"/>
          <w:lang w:val="en-US" w:eastAsia="zh-CN"/>
        </w:rPr>
        <w:t>化</w:t>
      </w:r>
      <w:r>
        <w:rPr>
          <w:rFonts w:hint="eastAsia" w:ascii="Times New Roman" w:hAnsi="Times New Roman" w:eastAsia="仿宋_GB2312" w:cs="仿宋_GB2312"/>
          <w:color w:val="auto"/>
          <w:sz w:val="32"/>
          <w:szCs w:val="32"/>
          <w:lang w:val="en-US" w:eastAsia="zh-CN"/>
        </w:rPr>
        <w:t>火电</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玻璃</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砖瓦烧结</w:t>
      </w:r>
      <w:r>
        <w:rPr>
          <w:rFonts w:hint="default" w:ascii="Times New Roman" w:hAnsi="Times New Roman" w:eastAsia="仿宋_GB2312" w:cs="仿宋_GB2312"/>
          <w:color w:val="auto"/>
          <w:sz w:val="32"/>
          <w:szCs w:val="32"/>
          <w:lang w:val="en-US" w:eastAsia="zh-CN"/>
        </w:rPr>
        <w:t>等</w:t>
      </w:r>
      <w:r>
        <w:rPr>
          <w:rFonts w:hint="default" w:ascii="Times New Roman" w:hAnsi="Times New Roman" w:eastAsia="仿宋_GB2312" w:cs="仿宋_GB2312"/>
          <w:sz w:val="32"/>
          <w:szCs w:val="32"/>
          <w:lang w:val="en-US" w:eastAsia="zh-CN"/>
        </w:rPr>
        <w:t>重点行业环境管理水平，实施能效提升、清洁生产、循环利用等专项技术改造，降低大宗固体废物产生强度，加强物料的循环利用，推动节能、节水、节材、减污、降碳协同增效，打造具有</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工业特色</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无废园区</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无废企业</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color w:val="auto"/>
          <w:sz w:val="32"/>
          <w:szCs w:val="32"/>
          <w:lang w:val="en-US" w:eastAsia="zh-CN"/>
        </w:rPr>
        <w:t>。</w:t>
      </w:r>
      <w:r>
        <w:rPr>
          <w:rFonts w:hint="eastAsia" w:ascii="楷体_GB2312" w:hAnsi="楷体_GB2312" w:eastAsia="楷体_GB2312" w:cs="楷体_GB2312"/>
          <w:color w:val="auto"/>
          <w:sz w:val="32"/>
          <w:szCs w:val="32"/>
          <w:lang w:val="en-US" w:eastAsia="zh-CN"/>
        </w:rPr>
        <w:t>（师市工信局、生态环境局、商务局，双河经开区管委会等按职责分工负责）</w:t>
      </w:r>
    </w:p>
    <w:p w14:paraId="427641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完善</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bCs/>
          <w:sz w:val="32"/>
          <w:szCs w:val="32"/>
          <w:lang w:val="en-US" w:eastAsia="zh-CN"/>
        </w:rPr>
        <w:t>三线一单</w:t>
      </w:r>
      <w:r>
        <w:rPr>
          <w:rFonts w:hint="eastAsia" w:ascii="Times New Roman" w:hAnsi="Times New Roman" w:eastAsia="仿宋_GB2312" w:cs="仿宋_GB2312"/>
          <w:b/>
          <w:bCs/>
          <w:sz w:val="32"/>
          <w:szCs w:val="32"/>
          <w:lang w:val="en-US" w:eastAsia="zh-CN"/>
        </w:rPr>
        <w:t>”</w:t>
      </w:r>
      <w:r>
        <w:rPr>
          <w:rFonts w:hint="default" w:ascii="Times New Roman" w:hAnsi="Times New Roman" w:eastAsia="仿宋_GB2312" w:cs="仿宋_GB2312"/>
          <w:b/>
          <w:bCs/>
          <w:sz w:val="32"/>
          <w:szCs w:val="32"/>
          <w:lang w:val="en-US" w:eastAsia="zh-CN"/>
        </w:rPr>
        <w:t>生态环境分区管控体系。</w:t>
      </w:r>
      <w:r>
        <w:rPr>
          <w:rFonts w:hint="default" w:ascii="Times New Roman" w:hAnsi="Times New Roman" w:eastAsia="仿宋_GB2312" w:cs="仿宋_GB2312"/>
          <w:sz w:val="32"/>
          <w:szCs w:val="32"/>
          <w:lang w:val="en-US" w:eastAsia="zh-CN"/>
        </w:rPr>
        <w:t>严格控制</w:t>
      </w:r>
      <w:r>
        <w:rPr>
          <w:rFonts w:hint="eastAsia" w:ascii="Times New Roman" w:hAnsi="Times New Roman" w:eastAsia="仿宋_GB2312" w:cs="仿宋_GB2312"/>
          <w:sz w:val="32"/>
          <w:szCs w:val="32"/>
          <w:lang w:val="en-US" w:eastAsia="zh-CN"/>
        </w:rPr>
        <w:t>“两高一低”</w:t>
      </w:r>
      <w:r>
        <w:rPr>
          <w:rFonts w:hint="default" w:ascii="Times New Roman" w:hAnsi="Times New Roman" w:eastAsia="仿宋_GB2312" w:cs="仿宋_GB2312"/>
          <w:sz w:val="32"/>
          <w:szCs w:val="32"/>
          <w:lang w:val="en-US" w:eastAsia="zh-CN"/>
        </w:rPr>
        <w:t>项目盲目发展，禁止新建、扩建水泥、平板玻璃、生皮制革以及国家规划外的钢铁、原油加工等项目，实现源头减量。</w:t>
      </w:r>
      <w:r>
        <w:rPr>
          <w:rFonts w:hint="eastAsia" w:ascii="楷体_GB2312" w:hAnsi="楷体_GB2312" w:eastAsia="楷体_GB2312" w:cs="楷体_GB2312"/>
          <w:color w:val="auto"/>
          <w:sz w:val="32"/>
          <w:szCs w:val="32"/>
          <w:lang w:val="en-US" w:eastAsia="zh-CN"/>
        </w:rPr>
        <w:t>（师市发改委、生态环境局、工信局、商务局、自然资源和规划局等按职责分工负责）</w:t>
      </w:r>
    </w:p>
    <w:p w14:paraId="6F68B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sz w:val="32"/>
          <w:szCs w:val="32"/>
          <w:lang w:val="en-US" w:eastAsia="zh-CN"/>
        </w:rPr>
        <w:t>三是推进绿色矿山建设。</w:t>
      </w:r>
      <w:r>
        <w:rPr>
          <w:rFonts w:hint="eastAsia" w:ascii="Times New Roman" w:hAnsi="Times New Roman" w:eastAsia="仿宋_GB2312" w:cs="仿宋_GB2312"/>
          <w:sz w:val="32"/>
          <w:szCs w:val="32"/>
          <w:highlight w:val="none"/>
          <w:lang w:val="en-US" w:eastAsia="zh-CN"/>
        </w:rPr>
        <w:t>全面实施绿色开采，</w:t>
      </w:r>
      <w:r>
        <w:rPr>
          <w:rFonts w:hint="eastAsia" w:ascii="Times New Roman" w:hAnsi="Times New Roman" w:eastAsia="仿宋_GB2312" w:cs="仿宋_GB2312"/>
          <w:sz w:val="32"/>
          <w:szCs w:val="32"/>
          <w:lang w:val="en-US" w:eastAsia="zh-CN"/>
        </w:rPr>
        <w:t>加快转变矿业发展方式的现实途径，发展绿色矿业、建设绿色矿山，降低矿产资源开采过程中的固体废物产生量和环境影响，提升资源综合利用水平。因矿制宜采用合理技术，推动利用矿业固体废物生产建筑材料或治理采空区和</w:t>
      </w:r>
      <w:r>
        <w:rPr>
          <w:rFonts w:hint="eastAsia" w:ascii="Times New Roman" w:hAnsi="Times New Roman" w:eastAsia="仿宋_GB2312" w:cs="仿宋_GB2312"/>
          <w:color w:val="auto"/>
          <w:sz w:val="32"/>
          <w:szCs w:val="32"/>
          <w:lang w:val="en-US" w:eastAsia="zh-CN"/>
        </w:rPr>
        <w:t>塌陷区。要推动绿色矿山建设，全面落实“双随机、一公开”制度，强化事中事后监管，加强对</w:t>
      </w:r>
      <w:r>
        <w:rPr>
          <w:rFonts w:hint="default" w:ascii="Times New Roman" w:hAnsi="Times New Roman" w:eastAsia="仿宋_GB2312" w:cs="仿宋_GB2312"/>
          <w:color w:val="auto"/>
          <w:sz w:val="32"/>
          <w:szCs w:val="32"/>
          <w:lang w:val="en-US" w:eastAsia="zh-CN"/>
        </w:rPr>
        <w:t>矿山监督检查。</w:t>
      </w:r>
      <w:r>
        <w:rPr>
          <w:rFonts w:hint="eastAsia" w:ascii="楷体_GB2312" w:hAnsi="楷体_GB2312" w:eastAsia="楷体_GB2312" w:cs="楷体_GB2312"/>
          <w:color w:val="auto"/>
          <w:sz w:val="32"/>
          <w:szCs w:val="32"/>
          <w:lang w:val="en-US" w:eastAsia="zh-CN"/>
        </w:rPr>
        <w:t>（师市自然资源和规划局</w:t>
      </w:r>
      <w:r>
        <w:rPr>
          <w:rFonts w:hint="eastAsia" w:ascii="楷体_GB2312" w:hAnsi="楷体_GB2312" w:eastAsia="楷体_GB2312" w:cs="楷体_GB2312"/>
          <w:color w:val="auto"/>
          <w:sz w:val="32"/>
          <w:szCs w:val="32"/>
          <w:highlight w:val="none"/>
          <w:lang w:val="en-US" w:eastAsia="zh-CN"/>
        </w:rPr>
        <w:t>牵头负责</w:t>
      </w:r>
      <w:r>
        <w:rPr>
          <w:rFonts w:hint="eastAsia" w:ascii="楷体_GB2312" w:hAnsi="楷体_GB2312" w:eastAsia="楷体_GB2312" w:cs="楷体_GB2312"/>
          <w:color w:val="auto"/>
          <w:sz w:val="32"/>
          <w:szCs w:val="32"/>
          <w:lang w:val="en-US" w:eastAsia="zh-CN"/>
        </w:rPr>
        <w:t>）</w:t>
      </w:r>
    </w:p>
    <w:p w14:paraId="70B9F1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3.提升工业固体废物资源化利用水平</w:t>
      </w:r>
    </w:p>
    <w:p w14:paraId="3DA002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推动工业固废规模化综合利用</w:t>
      </w:r>
      <w:r>
        <w:rPr>
          <w:rFonts w:hint="default" w:ascii="Times New Roman" w:hAnsi="Times New Roman" w:eastAsia="仿宋_GB2312" w:cs="仿宋_GB2312"/>
          <w:sz w:val="32"/>
          <w:szCs w:val="32"/>
          <w:lang w:val="en-US" w:eastAsia="zh-CN"/>
        </w:rPr>
        <w:t>。推动电力、建材制造等重点产废行业的工业固体废物规模化综合利用，探索推广固体废物循环利用模式，引导企业进行工业固体废物综合利用项目申报。</w:t>
      </w:r>
      <w:r>
        <w:rPr>
          <w:rFonts w:hint="eastAsia" w:ascii="楷体_GB2312" w:hAnsi="楷体_GB2312" w:eastAsia="楷体_GB2312" w:cs="楷体_GB2312"/>
          <w:sz w:val="32"/>
          <w:szCs w:val="32"/>
          <w:lang w:val="en-US" w:eastAsia="zh-CN"/>
        </w:rPr>
        <w:t>（师市工信局、生态环境局，双河经开区管委会等按职责分工负责）</w:t>
      </w:r>
    </w:p>
    <w:p w14:paraId="437C07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二是</w:t>
      </w:r>
      <w:r>
        <w:rPr>
          <w:rFonts w:hint="default" w:ascii="Times New Roman" w:hAnsi="Times New Roman" w:eastAsia="仿宋_GB2312" w:cs="仿宋_GB2312"/>
          <w:b/>
          <w:bCs/>
          <w:color w:val="auto"/>
          <w:sz w:val="32"/>
          <w:szCs w:val="32"/>
          <w:lang w:val="en-US" w:eastAsia="zh-CN"/>
        </w:rPr>
        <w:t>建立再生资源回收利用体系。</w:t>
      </w:r>
      <w:r>
        <w:rPr>
          <w:rFonts w:hint="default" w:ascii="Times New Roman" w:hAnsi="Times New Roman" w:eastAsia="仿宋_GB2312" w:cs="仿宋_GB2312"/>
          <w:color w:val="auto"/>
          <w:sz w:val="32"/>
          <w:szCs w:val="32"/>
          <w:lang w:val="en-US" w:eastAsia="zh-CN"/>
        </w:rPr>
        <w:t>建立健全废塑料、废轮胎、废旧金属、废弃电器电子产品等再生资源回收利用体系，鼓励和引导再生利用企业转型升级，促进行业集聚化、规模化、规范化发展。</w:t>
      </w:r>
      <w:r>
        <w:rPr>
          <w:rFonts w:hint="eastAsia" w:ascii="楷体_GB2312" w:hAnsi="楷体_GB2312" w:eastAsia="楷体_GB2312" w:cs="楷体_GB2312"/>
          <w:color w:val="auto"/>
          <w:sz w:val="32"/>
          <w:szCs w:val="32"/>
          <w:lang w:val="en-US" w:eastAsia="zh-CN"/>
        </w:rPr>
        <w:t>（师市商务局、双河经开区管委会等按职责分工负责）</w:t>
      </w:r>
    </w:p>
    <w:p w14:paraId="7B2EDF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推进废石、尾矿综合利用。</w:t>
      </w:r>
      <w:r>
        <w:rPr>
          <w:rFonts w:hint="default" w:ascii="Times New Roman" w:hAnsi="Times New Roman" w:eastAsia="仿宋_GB2312" w:cs="仿宋_GB2312"/>
          <w:sz w:val="32"/>
          <w:szCs w:val="32"/>
          <w:lang w:val="en-US" w:eastAsia="zh-CN"/>
        </w:rPr>
        <w:t>鼓励</w:t>
      </w:r>
      <w:r>
        <w:rPr>
          <w:rFonts w:hint="eastAsia" w:ascii="Times New Roman" w:hAnsi="Times New Roman" w:eastAsia="仿宋_GB2312" w:cs="仿宋_GB2312"/>
          <w:sz w:val="32"/>
          <w:szCs w:val="32"/>
          <w:lang w:val="en-US" w:eastAsia="zh-CN"/>
        </w:rPr>
        <w:t>企业利用石材矿山的</w:t>
      </w:r>
      <w:r>
        <w:rPr>
          <w:rFonts w:hint="default" w:ascii="Times New Roman" w:hAnsi="Times New Roman" w:eastAsia="仿宋_GB2312" w:cs="仿宋_GB2312"/>
          <w:sz w:val="32"/>
          <w:szCs w:val="32"/>
          <w:lang w:val="en-US" w:eastAsia="zh-CN"/>
        </w:rPr>
        <w:t>荒料、废石加工成石子，</w:t>
      </w:r>
      <w:r>
        <w:rPr>
          <w:rFonts w:hint="eastAsia" w:ascii="Times New Roman" w:hAnsi="Times New Roman" w:eastAsia="仿宋_GB2312" w:cs="仿宋_GB2312"/>
          <w:sz w:val="32"/>
          <w:szCs w:val="32"/>
          <w:lang w:val="en-US" w:eastAsia="zh-CN"/>
        </w:rPr>
        <w:t>利用</w:t>
      </w:r>
      <w:r>
        <w:rPr>
          <w:rFonts w:hint="default" w:ascii="Times New Roman" w:hAnsi="Times New Roman" w:eastAsia="仿宋_GB2312" w:cs="仿宋_GB2312"/>
          <w:sz w:val="32"/>
          <w:szCs w:val="32"/>
          <w:lang w:val="en-US" w:eastAsia="zh-CN"/>
        </w:rPr>
        <w:t>泥浆烘干成泥粉制作建材产品。鼓励采用尾矿充填采矿工艺，大幅减少尾矿排放。加强露天矿山开采剥离表土的综合利用，设置单独存放场地，并做好临时防护措施，用于后期矿山复垦。</w:t>
      </w:r>
      <w:r>
        <w:rPr>
          <w:rFonts w:hint="eastAsia" w:ascii="楷体_GB2312" w:hAnsi="楷体_GB2312" w:eastAsia="楷体_GB2312" w:cs="楷体_GB2312"/>
          <w:sz w:val="32"/>
          <w:szCs w:val="32"/>
          <w:lang w:val="en-US" w:eastAsia="zh-CN"/>
        </w:rPr>
        <w:t>（师市自然资源和规划局牵头负责）</w:t>
      </w:r>
    </w:p>
    <w:p w14:paraId="6F29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（二）推动农业废弃物资源化利用</w:t>
      </w:r>
    </w:p>
    <w:p w14:paraId="3D689B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w:t>
      </w:r>
      <w:r>
        <w:rPr>
          <w:rFonts w:hint="default" w:ascii="Times New Roman" w:hAnsi="Times New Roman" w:eastAsia="仿宋_GB2312" w:cs="仿宋_GB2312"/>
          <w:b/>
          <w:bCs/>
          <w:sz w:val="32"/>
          <w:szCs w:val="32"/>
          <w:lang w:val="en-US" w:eastAsia="zh-CN"/>
        </w:rPr>
        <w:t>促进农业绿色生产，实现固废源头减量</w:t>
      </w:r>
    </w:p>
    <w:p w14:paraId="435805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推行农业绿色生产。</w:t>
      </w:r>
      <w:r>
        <w:rPr>
          <w:rFonts w:hint="default" w:ascii="Times New Roman" w:hAnsi="Times New Roman" w:eastAsia="仿宋_GB2312" w:cs="仿宋_GB2312"/>
          <w:sz w:val="32"/>
          <w:szCs w:val="32"/>
          <w:lang w:val="en-US" w:eastAsia="zh-CN"/>
        </w:rPr>
        <w:t>坚持绿色引领，发展资源节约型、环境友好型种植业，优化产业组织结构，逐步向园区化、规模化、设施化、标准化方向发展，切实推进种植业固体废物源头减量。按照</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以种促养、以养定种</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思路，综合考虑</w:t>
      </w:r>
      <w:r>
        <w:rPr>
          <w:rFonts w:hint="eastAsia" w:ascii="Times New Roman" w:hAnsi="Times New Roman" w:eastAsia="仿宋_GB2312" w:cs="仿宋_GB2312"/>
          <w:sz w:val="32"/>
          <w:szCs w:val="32"/>
          <w:lang w:val="en-US" w:eastAsia="zh-CN"/>
        </w:rPr>
        <w:t>师市辖区</w:t>
      </w:r>
      <w:r>
        <w:rPr>
          <w:rFonts w:hint="default" w:ascii="Times New Roman" w:hAnsi="Times New Roman" w:eastAsia="仿宋_GB2312" w:cs="仿宋_GB2312"/>
          <w:sz w:val="32"/>
          <w:szCs w:val="32"/>
          <w:lang w:val="en-US" w:eastAsia="zh-CN"/>
        </w:rPr>
        <w:t>农业资源承载力、环境容量、生态类型和发展基础等因素，促进各类生产要素向优势种养区域、特色优势产品集聚，形成特色突出、优势互补的种养结合循环发展新格局。</w:t>
      </w:r>
      <w:r>
        <w:rPr>
          <w:rFonts w:hint="eastAsia" w:ascii="楷体_GB2312" w:hAnsi="楷体_GB2312" w:eastAsia="楷体_GB2312" w:cs="楷体_GB2312"/>
          <w:sz w:val="32"/>
          <w:szCs w:val="32"/>
          <w:lang w:val="en-US" w:eastAsia="zh-CN"/>
        </w:rPr>
        <w:t>（师市农业农村局牵头负责）</w:t>
      </w:r>
    </w:p>
    <w:p w14:paraId="4620AF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优化产业布局和养殖结构。</w:t>
      </w:r>
      <w:r>
        <w:rPr>
          <w:rFonts w:hint="default"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畜禽养殖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禁养区</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划定基础上，推进规模化养殖场标准化改造，提高适度规模标准化养殖水平和无害化处理水平，从源头上控制和削减畜禽养殖排污总量。调整优化畜禽养殖空间布局，提升产业发展水平。以建立种养循环发展机制为核心，逐步实现畜禽粪污就近就地综合利用。</w:t>
      </w:r>
      <w:r>
        <w:rPr>
          <w:rFonts w:hint="eastAsia" w:ascii="楷体_GB2312" w:hAnsi="楷体_GB2312" w:eastAsia="楷体_GB2312" w:cs="楷体_GB2312"/>
          <w:sz w:val="32"/>
          <w:szCs w:val="32"/>
          <w:lang w:val="en-US" w:eastAsia="zh-CN"/>
        </w:rPr>
        <w:t>（师市农业农村局牵头负责）</w:t>
      </w:r>
    </w:p>
    <w:p w14:paraId="661B1E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推进农业绿色品牌化。</w:t>
      </w:r>
      <w:r>
        <w:rPr>
          <w:rFonts w:hint="default" w:ascii="Times New Roman" w:hAnsi="Times New Roman" w:eastAsia="仿宋_GB2312" w:cs="仿宋_GB2312"/>
          <w:sz w:val="32"/>
          <w:szCs w:val="32"/>
          <w:lang w:val="en-US" w:eastAsia="zh-CN"/>
        </w:rPr>
        <w:t>围绕绿色食品产业链，以</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智能、规模、绿色</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为发展方向，鼓励企业在产品</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提品质、增品种、创品牌</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方面加强创新突破。</w:t>
      </w:r>
      <w:r>
        <w:rPr>
          <w:rFonts w:hint="eastAsia" w:ascii="楷体_GB2312" w:hAnsi="楷体_GB2312" w:eastAsia="楷体_GB2312" w:cs="楷体_GB2312"/>
          <w:sz w:val="32"/>
          <w:szCs w:val="32"/>
          <w:lang w:val="en-US" w:eastAsia="zh-CN"/>
        </w:rPr>
        <w:t>（师市农业农村局、商务局、市场监督管理局按职责分工负责）</w:t>
      </w:r>
    </w:p>
    <w:p w14:paraId="27889C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四是</w:t>
      </w:r>
      <w:r>
        <w:rPr>
          <w:rFonts w:hint="default" w:ascii="Times New Roman" w:hAnsi="Times New Roman" w:eastAsia="仿宋_GB2312" w:cs="仿宋_GB2312"/>
          <w:b/>
          <w:bCs/>
          <w:sz w:val="32"/>
          <w:szCs w:val="32"/>
          <w:lang w:val="en-US" w:eastAsia="zh-CN"/>
        </w:rPr>
        <w:t>实行严格的投入品管控。</w:t>
      </w:r>
      <w:r>
        <w:rPr>
          <w:rFonts w:hint="default" w:ascii="Times New Roman" w:hAnsi="Times New Roman" w:eastAsia="仿宋_GB2312" w:cs="仿宋_GB2312"/>
          <w:sz w:val="32"/>
          <w:szCs w:val="32"/>
          <w:lang w:val="en-US" w:eastAsia="zh-CN"/>
        </w:rPr>
        <w:t>实施农兽药经营许可制度；对限制使用的农药实行定点经营和实名制购买，实现来源可查询、去向可追踪；推广农药减量增效技术措施，有效减少农药使用量，源头减少农药包装废弃物产生。加强农作物重大病虫害监测预警，科学指导病虫害防治。大力推广生态调控、生物防治等病虫害防治技术，加大现代高效植保机械和生物农药、高效低残留农药安全科学使用推广应用力度，加强农药使用管理和技术指导，推进农药减量控害提质增效。</w:t>
      </w:r>
      <w:r>
        <w:rPr>
          <w:rFonts w:hint="eastAsia" w:ascii="楷体_GB2312" w:hAnsi="楷体_GB2312" w:eastAsia="楷体_GB2312" w:cs="楷体_GB2312"/>
          <w:sz w:val="32"/>
          <w:szCs w:val="32"/>
          <w:lang w:val="en-US" w:eastAsia="zh-CN"/>
        </w:rPr>
        <w:t>（师市农业农村局、市场监督管理局按职责分工负责）</w:t>
      </w:r>
    </w:p>
    <w:p w14:paraId="2E9FA5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五是</w:t>
      </w:r>
      <w:r>
        <w:rPr>
          <w:rFonts w:hint="default" w:ascii="Times New Roman" w:hAnsi="Times New Roman" w:eastAsia="仿宋_GB2312" w:cs="仿宋_GB2312"/>
          <w:b/>
          <w:bCs/>
          <w:sz w:val="32"/>
          <w:szCs w:val="32"/>
          <w:lang w:val="en-US" w:eastAsia="zh-CN"/>
        </w:rPr>
        <w:t>推进农膜使用源头减量。</w:t>
      </w:r>
      <w:r>
        <w:rPr>
          <w:rFonts w:hint="default" w:ascii="Times New Roman" w:hAnsi="Times New Roman" w:eastAsia="仿宋_GB2312" w:cs="仿宋_GB2312"/>
          <w:sz w:val="32"/>
          <w:szCs w:val="32"/>
          <w:lang w:val="en-US" w:eastAsia="zh-CN"/>
        </w:rPr>
        <w:t>推广应用生物降解地膜和0.01毫米以上的标准地膜，调整种植业生产方式与配套关键技术，推广一膜多用、行间覆盖等技术。积极引进试验、示范推广加厚地膜和全生物降解膜。</w:t>
      </w:r>
      <w:r>
        <w:rPr>
          <w:rFonts w:hint="eastAsia" w:ascii="楷体_GB2312" w:hAnsi="楷体_GB2312" w:eastAsia="楷体_GB2312" w:cs="楷体_GB2312"/>
          <w:sz w:val="32"/>
          <w:szCs w:val="32"/>
          <w:lang w:val="en-US" w:eastAsia="zh-CN"/>
        </w:rPr>
        <w:t>（师市农业农村局牵头负责）</w:t>
      </w:r>
    </w:p>
    <w:p w14:paraId="6D1AC1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2.完善农业废弃物收储运体系</w:t>
      </w:r>
    </w:p>
    <w:p w14:paraId="68E93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完善畜禽粪污收运体系。</w:t>
      </w:r>
      <w:r>
        <w:rPr>
          <w:rFonts w:hint="eastAsia" w:ascii="Times New Roman" w:hAnsi="Times New Roman" w:eastAsia="仿宋_GB2312" w:cs="仿宋_GB2312"/>
          <w:sz w:val="32"/>
          <w:szCs w:val="32"/>
          <w:lang w:val="en-US" w:eastAsia="zh-CN"/>
        </w:rPr>
        <w:t>鼓励支持</w:t>
      </w:r>
      <w:r>
        <w:rPr>
          <w:rFonts w:hint="default" w:ascii="Times New Roman" w:hAnsi="Times New Roman" w:eastAsia="仿宋_GB2312" w:cs="仿宋_GB2312"/>
          <w:sz w:val="32"/>
          <w:szCs w:val="32"/>
          <w:lang w:val="en-US" w:eastAsia="zh-CN"/>
        </w:rPr>
        <w:t>建设专业化粪污集中处理中心，完善畜禽粪污收集、转化、利用三级网络体系，探索规模化、专业化、社会化运营机制。</w:t>
      </w:r>
      <w:r>
        <w:rPr>
          <w:rFonts w:hint="eastAsia" w:ascii="楷体_GB2312" w:hAnsi="楷体_GB2312" w:eastAsia="楷体_GB2312" w:cs="楷体_GB2312"/>
          <w:sz w:val="32"/>
          <w:szCs w:val="32"/>
          <w:lang w:val="en-US" w:eastAsia="zh-CN"/>
        </w:rPr>
        <w:t>（师市农业农村局牵头负责）</w:t>
      </w:r>
    </w:p>
    <w:p w14:paraId="598A9A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完善农药包装废弃物回收体系。</w:t>
      </w:r>
      <w:r>
        <w:rPr>
          <w:rFonts w:hint="default" w:ascii="Times New Roman" w:hAnsi="Times New Roman" w:eastAsia="仿宋_GB2312" w:cs="仿宋_GB2312"/>
          <w:sz w:val="32"/>
          <w:szCs w:val="32"/>
          <w:lang w:val="en-US" w:eastAsia="zh-CN"/>
        </w:rPr>
        <w:t>积极推进农药包装废弃物回收处理，明确农药生产者、销售者和使用者的农药包装废弃物回收主体责任，健全完善回收处理激励引导机制。建立农药包装废弃物回收处置体系，探索构建</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市场主体回收、专业机构处置、公共财政扶持</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回收和集中处置机制，以农药经营者为主体，开展押金制、有偿回收等方式回收农药包装废弃物。建立农药包装废弃物定期转运和集中处置制度。强化宣传农药包装废弃物危害，提升使用者对农药包装废弃物回收。</w:t>
      </w:r>
      <w:r>
        <w:rPr>
          <w:rFonts w:hint="eastAsia" w:ascii="楷体_GB2312" w:hAnsi="楷体_GB2312" w:eastAsia="楷体_GB2312" w:cs="楷体_GB2312"/>
          <w:sz w:val="32"/>
          <w:szCs w:val="32"/>
          <w:lang w:val="en-US" w:eastAsia="zh-CN"/>
        </w:rPr>
        <w:t>（师市农业农村局牵头负责）</w:t>
      </w:r>
    </w:p>
    <w:p w14:paraId="5BC538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建立废旧农膜回收体系。</w:t>
      </w:r>
      <w:r>
        <w:rPr>
          <w:rFonts w:hint="eastAsia" w:ascii="Times New Roman" w:hAnsi="Times New Roman" w:eastAsia="仿宋_GB2312" w:cs="仿宋_GB2312"/>
          <w:sz w:val="32"/>
          <w:szCs w:val="40"/>
          <w:lang w:val="en-US" w:eastAsia="zh-CN"/>
        </w:rPr>
        <w:t>严格执行“师市残膜回收验收单制度”，</w:t>
      </w:r>
      <w:r>
        <w:rPr>
          <w:rFonts w:hint="eastAsia" w:ascii="Times New Roman" w:hAnsi="Times New Roman" w:eastAsia="仿宋_GB2312" w:cs="仿宋_GB2312"/>
          <w:sz w:val="32"/>
          <w:szCs w:val="32"/>
          <w:lang w:val="en-US" w:eastAsia="zh-CN"/>
        </w:rPr>
        <w:t>不断提高</w:t>
      </w:r>
      <w:r>
        <w:rPr>
          <w:rFonts w:hint="default" w:ascii="Times New Roman" w:hAnsi="Times New Roman" w:eastAsia="仿宋_GB2312" w:cs="仿宋_GB2312"/>
          <w:sz w:val="32"/>
          <w:szCs w:val="32"/>
          <w:lang w:val="en-US" w:eastAsia="zh-CN"/>
        </w:rPr>
        <w:t>废旧农膜回收</w:t>
      </w:r>
      <w:r>
        <w:rPr>
          <w:rFonts w:hint="eastAsia" w:ascii="Times New Roman" w:hAnsi="Times New Roman" w:eastAsia="仿宋_GB2312" w:cs="仿宋_GB2312"/>
          <w:sz w:val="32"/>
          <w:szCs w:val="32"/>
          <w:lang w:val="en-US" w:eastAsia="zh-CN"/>
        </w:rPr>
        <w:t>率。</w:t>
      </w:r>
      <w:r>
        <w:rPr>
          <w:rFonts w:hint="default" w:ascii="Times New Roman" w:hAnsi="Times New Roman" w:eastAsia="仿宋_GB2312" w:cs="仿宋_GB2312"/>
          <w:sz w:val="32"/>
          <w:szCs w:val="32"/>
          <w:lang w:val="en-US" w:eastAsia="zh-CN"/>
        </w:rPr>
        <w:t>强化农用地膜使用、回收环节监管</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40"/>
          <w:lang w:val="en-US" w:eastAsia="zh-CN"/>
        </w:rPr>
        <w:t>鼓励残膜回收企业通过破碎、分离、清洗、分选等技术流程，将回收残膜进行再造粒，加快实现残膜污染治理资源化利用，推动</w:t>
      </w:r>
      <w:r>
        <w:rPr>
          <w:rFonts w:hint="default" w:ascii="Times New Roman" w:hAnsi="Times New Roman" w:eastAsia="仿宋_GB2312" w:cs="仿宋_GB2312"/>
          <w:sz w:val="32"/>
          <w:szCs w:val="32"/>
          <w:lang w:val="en-US" w:eastAsia="zh-CN"/>
        </w:rPr>
        <w:t>废旧农膜回收储运和综合利用网络建立健全。</w:t>
      </w:r>
      <w:r>
        <w:rPr>
          <w:rFonts w:hint="eastAsia" w:ascii="楷体_GB2312" w:hAnsi="楷体_GB2312" w:eastAsia="楷体_GB2312" w:cs="楷体_GB2312"/>
          <w:sz w:val="32"/>
          <w:szCs w:val="32"/>
          <w:lang w:val="en-US" w:eastAsia="zh-CN"/>
        </w:rPr>
        <w:t>（师市农业农村局牵头负责）</w:t>
      </w:r>
    </w:p>
    <w:p w14:paraId="0C1161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四是推进秸秆收储中心建设。</w:t>
      </w:r>
      <w:r>
        <w:rPr>
          <w:rFonts w:hint="eastAsia" w:ascii="Times New Roman" w:hAnsi="Times New Roman" w:eastAsia="仿宋_GB2312" w:cs="仿宋_GB2312"/>
          <w:sz w:val="32"/>
          <w:szCs w:val="32"/>
          <w:lang w:val="en-US" w:eastAsia="zh-CN"/>
        </w:rPr>
        <w:t>探索建立以团场、连队、企业为主体，以秸秆收储中心（站点）为依托，提供秸秆收集、储存、销售、加工、运输等服务功能的农作物秸秆收集储运体系。</w:t>
      </w:r>
      <w:r>
        <w:rPr>
          <w:rFonts w:hint="eastAsia" w:ascii="楷体_GB2312" w:hAnsi="楷体_GB2312" w:eastAsia="楷体_GB2312" w:cs="楷体_GB2312"/>
          <w:sz w:val="32"/>
          <w:szCs w:val="32"/>
          <w:lang w:val="en-US" w:eastAsia="zh-CN"/>
        </w:rPr>
        <w:t>（师市农业农村局牵头负责）</w:t>
      </w:r>
    </w:p>
    <w:p w14:paraId="0C9886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五是</w:t>
      </w:r>
      <w:r>
        <w:rPr>
          <w:rFonts w:hint="default" w:ascii="Times New Roman" w:hAnsi="Times New Roman" w:eastAsia="仿宋_GB2312" w:cs="仿宋_GB2312"/>
          <w:b/>
          <w:bCs/>
          <w:sz w:val="32"/>
          <w:szCs w:val="32"/>
          <w:lang w:val="en-US" w:eastAsia="zh-CN"/>
        </w:rPr>
        <w:t>建立健全病死畜禽无害化收集处理体系。</w:t>
      </w:r>
      <w:r>
        <w:rPr>
          <w:rFonts w:hint="default" w:ascii="Times New Roman" w:hAnsi="Times New Roman" w:eastAsia="仿宋_GB2312" w:cs="仿宋_GB2312"/>
          <w:sz w:val="32"/>
          <w:szCs w:val="32"/>
          <w:lang w:val="en-US" w:eastAsia="zh-CN"/>
        </w:rPr>
        <w:t>各</w:t>
      </w:r>
      <w:r>
        <w:rPr>
          <w:rFonts w:hint="eastAsia" w:ascii="Times New Roman" w:hAnsi="Times New Roman" w:eastAsia="仿宋_GB2312" w:cs="仿宋_GB2312"/>
          <w:sz w:val="32"/>
          <w:szCs w:val="32"/>
          <w:lang w:val="en-US" w:eastAsia="zh-CN"/>
        </w:rPr>
        <w:t>团场</w:t>
      </w:r>
      <w:r>
        <w:rPr>
          <w:rFonts w:hint="default" w:ascii="Times New Roman" w:hAnsi="Times New Roman" w:eastAsia="仿宋_GB2312" w:cs="仿宋_GB2312"/>
          <w:sz w:val="32"/>
          <w:szCs w:val="32"/>
          <w:lang w:val="en-US" w:eastAsia="zh-CN"/>
        </w:rPr>
        <w:t>做好辖区内病死畜禽收集暂存点的规划布局、建设和管理工作。畜禽养殖户比较集中的重点</w:t>
      </w:r>
      <w:r>
        <w:rPr>
          <w:rFonts w:hint="eastAsia" w:ascii="Times New Roman" w:hAnsi="Times New Roman" w:eastAsia="仿宋_GB2312" w:cs="仿宋_GB2312"/>
          <w:sz w:val="32"/>
          <w:szCs w:val="32"/>
          <w:lang w:val="en-US" w:eastAsia="zh-CN"/>
        </w:rPr>
        <w:t>连队</w:t>
      </w:r>
      <w:r>
        <w:rPr>
          <w:rFonts w:hint="default" w:ascii="Times New Roman" w:hAnsi="Times New Roman" w:eastAsia="仿宋_GB2312" w:cs="仿宋_GB2312"/>
          <w:sz w:val="32"/>
          <w:szCs w:val="32"/>
          <w:lang w:val="en-US" w:eastAsia="zh-CN"/>
        </w:rPr>
        <w:t>设立病死畜禽收集暂存点。畜禽屠宰场、专业化活畜禽交易市场和大型规模饲养场</w:t>
      </w:r>
      <w:r>
        <w:rPr>
          <w:rFonts w:hint="eastAsia" w:ascii="Times New Roman" w:hAnsi="Times New Roman" w:eastAsia="仿宋_GB2312" w:cs="仿宋_GB2312"/>
          <w:sz w:val="32"/>
          <w:szCs w:val="32"/>
          <w:lang w:val="en-US" w:eastAsia="zh-CN"/>
        </w:rPr>
        <w:t>等</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根据实际</w:t>
      </w:r>
      <w:r>
        <w:rPr>
          <w:rFonts w:hint="default" w:ascii="Times New Roman" w:hAnsi="Times New Roman" w:eastAsia="仿宋_GB2312" w:cs="仿宋_GB2312"/>
          <w:sz w:val="32"/>
          <w:szCs w:val="32"/>
          <w:lang w:val="en-US" w:eastAsia="zh-CN"/>
        </w:rPr>
        <w:t>建立满足需要的收集暂存点。收集暂存点负责病死畜禽的消毒、包装、收集工作，无害化处理厂负责统一运输、处理收集暂存点的病死畜禽。组织病死畜禽收集暂存点、规模饲养场与无害化处理单位签订委托运输、处理协议，对病死畜禽进行集中处理。逐步形成</w:t>
      </w:r>
      <w:r>
        <w:rPr>
          <w:rFonts w:hint="eastAsia" w:ascii="Times New Roman" w:hAnsi="Times New Roman" w:eastAsia="仿宋_GB2312" w:cs="仿宋_GB2312"/>
          <w:sz w:val="32"/>
          <w:szCs w:val="32"/>
          <w:lang w:val="en-US" w:eastAsia="zh-CN"/>
        </w:rPr>
        <w:t>“团场</w:t>
      </w:r>
      <w:r>
        <w:rPr>
          <w:rFonts w:hint="default" w:ascii="Times New Roman" w:hAnsi="Times New Roman" w:eastAsia="仿宋_GB2312" w:cs="仿宋_GB2312"/>
          <w:sz w:val="32"/>
          <w:szCs w:val="32"/>
          <w:lang w:val="en-US" w:eastAsia="zh-CN"/>
        </w:rPr>
        <w:t>布点，重点企业收集暂存，无害化处理厂转运处理</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的病死畜禽无害化收集处理体系。</w:t>
      </w: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师市</w:t>
      </w:r>
      <w:r>
        <w:rPr>
          <w:rFonts w:hint="default" w:ascii="楷体_GB2312" w:hAnsi="楷体_GB2312" w:eastAsia="楷体_GB2312" w:cs="楷体_GB2312"/>
          <w:sz w:val="32"/>
          <w:szCs w:val="32"/>
          <w:lang w:val="en-US" w:eastAsia="zh-CN"/>
        </w:rPr>
        <w:t>农业农村局</w:t>
      </w:r>
      <w:r>
        <w:rPr>
          <w:rFonts w:hint="eastAsia" w:ascii="楷体_GB2312" w:hAnsi="楷体_GB2312" w:eastAsia="楷体_GB2312" w:cs="楷体_GB2312"/>
          <w:sz w:val="32"/>
          <w:szCs w:val="32"/>
          <w:lang w:val="en-US" w:eastAsia="zh-CN"/>
        </w:rPr>
        <w:t>牵头负责）</w:t>
      </w:r>
    </w:p>
    <w:p w14:paraId="705C3D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3.逐步提高农业废弃物综合利用率</w:t>
      </w:r>
    </w:p>
    <w:p w14:paraId="6ADE01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推进农业废弃物资源化利用。</w:t>
      </w:r>
      <w:r>
        <w:rPr>
          <w:rFonts w:hint="default" w:ascii="Times New Roman" w:hAnsi="Times New Roman" w:eastAsia="仿宋_GB2312" w:cs="仿宋_GB2312"/>
          <w:sz w:val="32"/>
          <w:szCs w:val="32"/>
          <w:lang w:val="en-US" w:eastAsia="zh-CN"/>
        </w:rPr>
        <w:t>按照</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因地制宜、就地消纳、综合利用、变废为宝</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原则，发展秸秆基料化利用以及其他综合利用途径，积极推进“机械秸秆还田”和落实配套“生物腐熟”等技术模式，切实提高秸秆综合利用率。（</w:t>
      </w:r>
      <w:r>
        <w:rPr>
          <w:rFonts w:hint="eastAsia" w:ascii="楷体_GB2312" w:hAnsi="楷体_GB2312" w:eastAsia="楷体_GB2312" w:cs="楷体_GB2312"/>
          <w:sz w:val="32"/>
          <w:szCs w:val="32"/>
          <w:lang w:val="en-US" w:eastAsia="zh-CN"/>
        </w:rPr>
        <w:t>师市</w:t>
      </w:r>
      <w:r>
        <w:rPr>
          <w:rFonts w:hint="default" w:ascii="楷体_GB2312" w:hAnsi="楷体_GB2312" w:eastAsia="楷体_GB2312" w:cs="楷体_GB2312"/>
          <w:sz w:val="32"/>
          <w:szCs w:val="32"/>
          <w:lang w:val="en-US" w:eastAsia="zh-CN"/>
        </w:rPr>
        <w:t>农业农村局</w:t>
      </w:r>
      <w:r>
        <w:rPr>
          <w:rFonts w:hint="eastAsia" w:ascii="楷体_GB2312" w:hAnsi="楷体_GB2312" w:eastAsia="楷体_GB2312" w:cs="楷体_GB2312"/>
          <w:sz w:val="32"/>
          <w:szCs w:val="32"/>
          <w:lang w:val="en-US" w:eastAsia="zh-CN"/>
        </w:rPr>
        <w:t>牵头负责</w:t>
      </w:r>
      <w:r>
        <w:rPr>
          <w:rFonts w:hint="default" w:ascii="楷体_GB2312" w:hAnsi="楷体_GB2312" w:eastAsia="楷体_GB2312" w:cs="楷体_GB2312"/>
          <w:sz w:val="32"/>
          <w:szCs w:val="32"/>
          <w:lang w:val="en-US" w:eastAsia="zh-CN"/>
        </w:rPr>
        <w:t>）</w:t>
      </w:r>
    </w:p>
    <w:p w14:paraId="0D0103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二是加大畜禽粪污治理力度。</w:t>
      </w:r>
      <w:r>
        <w:rPr>
          <w:rFonts w:hint="eastAsia" w:ascii="Times New Roman" w:hAnsi="Times New Roman" w:eastAsia="仿宋_GB2312" w:cs="仿宋_GB2312"/>
          <w:sz w:val="32"/>
          <w:szCs w:val="32"/>
          <w:lang w:val="en-US" w:eastAsia="zh-CN"/>
        </w:rPr>
        <w:t>全面推行规模养殖场粪污处理基础设施标准化建设。发展畜禽养殖废弃物资源化利用模式，重点推广“粪污专业化能源利用”“粪污肥料化利用”等技术模式，有效提高畜禽粪污综合利用率；鼓励规模养殖场通过自行配套土地或签订消纳利用协议等方式，就近、就地消纳畜禽粪污，生产销售商品有机肥、沼气，或流转土地发展种植。进一步加强小规模养殖场畜禽粪污治理，督促其按饲养规模和清粪模式，配套建设相应容积的粪水存储池和干粪堆积场等必要设施。（</w:t>
      </w:r>
      <w:r>
        <w:rPr>
          <w:rFonts w:hint="eastAsia" w:ascii="楷体_GB2312" w:hAnsi="楷体_GB2312" w:eastAsia="楷体_GB2312" w:cs="楷体_GB2312"/>
          <w:sz w:val="32"/>
          <w:szCs w:val="32"/>
          <w:lang w:val="en-US" w:eastAsia="zh-CN"/>
        </w:rPr>
        <w:t>师市</w:t>
      </w:r>
      <w:r>
        <w:rPr>
          <w:rFonts w:hint="default" w:ascii="楷体_GB2312" w:hAnsi="楷体_GB2312" w:eastAsia="楷体_GB2312" w:cs="楷体_GB2312"/>
          <w:sz w:val="32"/>
          <w:szCs w:val="32"/>
          <w:lang w:val="en-US" w:eastAsia="zh-CN"/>
        </w:rPr>
        <w:t>农业农村局</w:t>
      </w:r>
      <w:r>
        <w:rPr>
          <w:rFonts w:hint="eastAsia" w:ascii="楷体_GB2312" w:hAnsi="楷体_GB2312" w:eastAsia="楷体_GB2312" w:cs="楷体_GB2312"/>
          <w:sz w:val="32"/>
          <w:szCs w:val="32"/>
          <w:lang w:val="en-US" w:eastAsia="zh-CN"/>
        </w:rPr>
        <w:t>牵头负责</w:t>
      </w:r>
      <w:r>
        <w:rPr>
          <w:rFonts w:hint="eastAsia" w:ascii="Times New Roman" w:hAnsi="Times New Roman" w:eastAsia="仿宋_GB2312" w:cs="仿宋_GB2312"/>
          <w:sz w:val="32"/>
          <w:szCs w:val="32"/>
          <w:lang w:val="en-US" w:eastAsia="zh-CN"/>
        </w:rPr>
        <w:t>）</w:t>
      </w:r>
    </w:p>
    <w:p w14:paraId="538316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三是推动农药包装废弃物和病死畜禽安全处置。</w:t>
      </w:r>
      <w:r>
        <w:rPr>
          <w:rFonts w:hint="eastAsia" w:ascii="Times New Roman" w:hAnsi="Times New Roman" w:eastAsia="仿宋_GB2312" w:cs="仿宋_GB2312"/>
          <w:sz w:val="32"/>
          <w:szCs w:val="32"/>
          <w:lang w:val="en-US" w:eastAsia="zh-CN"/>
        </w:rPr>
        <w:t>将农药包装废弃物的处置纳入危险废物管理体系，集中安全处置农药包装废弃物。健全病死畜禽无害化收集处理体系，配套建设病死畜禽无害化处理设施，鼓励推广病死畜禽热解炭化、化制或发酵处理技术，有效提高病死畜禽集中无害化处理率。</w:t>
      </w:r>
      <w:r>
        <w:rPr>
          <w:rFonts w:hint="eastAsia" w:ascii="楷体_GB2312" w:hAnsi="楷体_GB2312" w:eastAsia="楷体_GB2312" w:cs="楷体_GB2312"/>
          <w:sz w:val="32"/>
          <w:szCs w:val="32"/>
          <w:lang w:val="en-US" w:eastAsia="zh-CN"/>
        </w:rPr>
        <w:t>（师市农业农村局牵头负责）</w:t>
      </w:r>
    </w:p>
    <w:p w14:paraId="34B295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四是强化废旧农膜回收利用技术创新。</w:t>
      </w:r>
      <w:r>
        <w:rPr>
          <w:rFonts w:hint="eastAsia" w:ascii="Times New Roman" w:hAnsi="Times New Roman" w:eastAsia="仿宋_GB2312" w:cs="仿宋_GB2312"/>
          <w:sz w:val="32"/>
          <w:szCs w:val="32"/>
          <w:lang w:val="en-US" w:eastAsia="zh-CN"/>
        </w:rPr>
        <w:t>积极引导废旧农膜回收加工企业加强再利用技术创新，研究开发和引进推广利用废旧农膜再生加工技术，延伸产业链条，提高废旧农膜回收加工产品附加值。</w:t>
      </w:r>
      <w:r>
        <w:rPr>
          <w:rFonts w:hint="eastAsia" w:ascii="楷体_GB2312" w:hAnsi="楷体_GB2312" w:eastAsia="楷体_GB2312" w:cs="楷体_GB2312"/>
          <w:sz w:val="32"/>
          <w:szCs w:val="32"/>
          <w:lang w:val="en-US" w:eastAsia="zh-CN"/>
        </w:rPr>
        <w:t>（师市农业农村局、科技局按职责分工负责）</w:t>
      </w:r>
    </w:p>
    <w:p w14:paraId="482E7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（三）加快生活垃圾源头减量和资源化利用</w:t>
      </w:r>
    </w:p>
    <w:p w14:paraId="3E67CC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1.践行绿色生活方式推进垃圾源头减量</w:t>
      </w:r>
    </w:p>
    <w:p w14:paraId="7CF912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一是建立长效机制。</w:t>
      </w:r>
      <w:r>
        <w:rPr>
          <w:rFonts w:hint="eastAsia" w:ascii="Times New Roman" w:hAnsi="Times New Roman" w:eastAsia="仿宋_GB2312" w:cs="仿宋_GB2312"/>
          <w:sz w:val="32"/>
          <w:szCs w:val="32"/>
          <w:lang w:val="en-US" w:eastAsia="zh-CN"/>
        </w:rPr>
        <w:t>加快完善师市生活垃圾分类管理办法等配套政策，形成政府主导、部门推动、全民参与的生活垃圾分类组织机制。逐步建立健全师市建筑垃圾排放、运输、经营的相关市场化机制。</w:t>
      </w:r>
      <w:r>
        <w:rPr>
          <w:rFonts w:hint="eastAsia" w:ascii="楷体_GB2312" w:hAnsi="楷体_GB2312" w:eastAsia="楷体_GB2312" w:cs="楷体_GB2312"/>
          <w:sz w:val="32"/>
          <w:szCs w:val="32"/>
          <w:lang w:val="en-US" w:eastAsia="zh-CN"/>
        </w:rPr>
        <w:t>（师市住建局牵头负责）</w:t>
      </w:r>
    </w:p>
    <w:p w14:paraId="5695B3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二是倡导绿色生活方式。</w:t>
      </w:r>
      <w:r>
        <w:rPr>
          <w:rFonts w:hint="eastAsia" w:ascii="Times New Roman" w:hAnsi="Times New Roman" w:eastAsia="仿宋_GB2312" w:cs="仿宋_GB2312"/>
          <w:sz w:val="32"/>
          <w:szCs w:val="32"/>
          <w:lang w:val="en-US" w:eastAsia="zh-CN"/>
        </w:rPr>
        <w:t>发布绿色生活方式指南，引导公众在衣食住行等方面践行绿色简约适度和低碳消费的生</w:t>
      </w:r>
      <w:r>
        <w:rPr>
          <w:rFonts w:hint="default" w:ascii="Times New Roman" w:hAnsi="Times New Roman" w:eastAsia="仿宋_GB2312" w:cs="仿宋_GB2312"/>
          <w:sz w:val="32"/>
          <w:szCs w:val="32"/>
          <w:lang w:val="en-US" w:eastAsia="zh-CN"/>
        </w:rPr>
        <w:t>活方式。在宾馆、餐饮等服务性行业推广使用可循环利用物品。倡导光盘行动、厉行节俭，以餐饮企业、酒店、机关事业单位和学校食堂为重点开展绿色餐厅、绿色餐饮企业创建。推动公共机构无纸化办公，重复利用纸张。推广使用菜篮子、布袋子，倡导“净菜进城”。</w:t>
      </w:r>
      <w:r>
        <w:rPr>
          <w:rFonts w:hint="eastAsia" w:ascii="楷体_GB2312" w:hAnsi="楷体_GB2312" w:eastAsia="楷体_GB2312" w:cs="楷体_GB2312"/>
          <w:sz w:val="32"/>
          <w:szCs w:val="32"/>
          <w:lang w:val="en-US" w:eastAsia="zh-CN"/>
        </w:rPr>
        <w:t>（师市市场监管局、商务局牵头，师市党委环委会各成员单位按职责分工负责）</w:t>
      </w:r>
    </w:p>
    <w:p w14:paraId="5474DB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大力推广绿色包装。</w:t>
      </w:r>
      <w:r>
        <w:rPr>
          <w:rFonts w:hint="default" w:ascii="Times New Roman" w:hAnsi="Times New Roman" w:eastAsia="仿宋_GB2312" w:cs="仿宋_GB2312"/>
          <w:sz w:val="32"/>
          <w:szCs w:val="32"/>
          <w:lang w:val="en-US" w:eastAsia="zh-CN"/>
        </w:rPr>
        <w:t>探索实行生产者责任延伸制度，与电商外卖平台、快递企业、再生资源回收企业、社会组织等联合开展包装回收试点行动。进一步减少编织袋和胶带使用量，推广使用可循环、可降解包装，鼓励使用生物基材料的环保包装制品。</w:t>
      </w:r>
      <w:r>
        <w:rPr>
          <w:rFonts w:hint="eastAsia" w:ascii="楷体_GB2312" w:hAnsi="楷体_GB2312" w:eastAsia="楷体_GB2312" w:cs="楷体_GB2312"/>
          <w:sz w:val="32"/>
          <w:szCs w:val="32"/>
          <w:lang w:val="en-US" w:eastAsia="zh-CN"/>
        </w:rPr>
        <w:t>（师市市场监督管理局、生态环境局、工信局等按职责分工负责）</w:t>
      </w:r>
    </w:p>
    <w:p w14:paraId="2A5C77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2.构建完善的生活垃圾分类收运处置体系</w:t>
      </w:r>
    </w:p>
    <w:p w14:paraId="32786B9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完善生活垃圾分类收运体系。</w:t>
      </w:r>
      <w:r>
        <w:rPr>
          <w:rFonts w:hint="default" w:ascii="Times New Roman" w:hAnsi="Times New Roman" w:eastAsia="仿宋_GB2312" w:cs="仿宋_GB2312"/>
          <w:sz w:val="32"/>
          <w:szCs w:val="32"/>
          <w:lang w:val="en-US" w:eastAsia="zh-CN"/>
        </w:rPr>
        <w:t>规范生活垃圾收集、运输及处理单位的台账管理，确保各类垃圾流向清晰、全过程分类管理。升级改造现有生活垃圾收运体系，完善分类垃圾运输车辆、垃圾中转站等生活垃圾分类配套设施建设。制定分类垃圾收运操作规程，科学设置分类垃圾收集时间和路线，运输车辆应当安装行驶及装卸记录仪，按照规定的时间、频次、路线和要求分类收集、运输生活垃圾。</w:t>
      </w:r>
      <w:r>
        <w:rPr>
          <w:rFonts w:hint="eastAsia" w:ascii="Times New Roman" w:hAnsi="Times New Roman" w:eastAsia="仿宋_GB2312" w:cs="仿宋_GB2312"/>
          <w:sz w:val="32"/>
          <w:szCs w:val="32"/>
          <w:lang w:val="en-US" w:eastAsia="zh-CN"/>
        </w:rPr>
        <w:t>各团场、社区、明珠街道逐步</w:t>
      </w:r>
      <w:r>
        <w:rPr>
          <w:rFonts w:hint="default" w:ascii="Times New Roman" w:hAnsi="Times New Roman" w:eastAsia="仿宋_GB2312" w:cs="仿宋_GB2312"/>
          <w:sz w:val="32"/>
          <w:szCs w:val="32"/>
          <w:lang w:val="en-US" w:eastAsia="zh-CN"/>
        </w:rPr>
        <w:t>形成生活垃圾前端清洁、分类投放、分类收集、分类运输、分类资源化利用及终端处置的全链条垃圾分类模式。</w:t>
      </w:r>
      <w:r>
        <w:rPr>
          <w:rFonts w:hint="eastAsia" w:ascii="楷体_GB2312" w:hAnsi="楷体_GB2312" w:eastAsia="楷体_GB2312" w:cs="楷体_GB2312"/>
          <w:sz w:val="32"/>
          <w:szCs w:val="32"/>
          <w:lang w:val="en-US" w:eastAsia="zh-CN"/>
        </w:rPr>
        <w:t>（师市住建局牵头负责）</w:t>
      </w:r>
    </w:p>
    <w:p w14:paraId="653A33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全面提升生活垃圾利用处置能力。</w:t>
      </w:r>
      <w:r>
        <w:rPr>
          <w:rFonts w:hint="eastAsia" w:ascii="Times New Roman" w:hAnsi="Times New Roman" w:eastAsia="仿宋_GB2312" w:cs="仿宋_GB2312"/>
          <w:sz w:val="32"/>
          <w:szCs w:val="32"/>
          <w:lang w:val="en-US" w:eastAsia="zh-CN"/>
        </w:rPr>
        <w:t>强化与博州对接合作，</w:t>
      </w:r>
      <w:r>
        <w:rPr>
          <w:rFonts w:hint="default" w:ascii="Times New Roman" w:hAnsi="Times New Roman" w:eastAsia="仿宋_GB2312" w:cs="仿宋_GB2312"/>
          <w:sz w:val="32"/>
          <w:szCs w:val="32"/>
          <w:lang w:val="en-US" w:eastAsia="zh-CN"/>
        </w:rPr>
        <w:t>发展以焚烧为主的垃圾处理方式，按照提前谋划、适度超前建设原则，</w:t>
      </w:r>
      <w:r>
        <w:rPr>
          <w:rFonts w:hint="eastAsia" w:ascii="Times New Roman" w:hAnsi="Times New Roman" w:eastAsia="仿宋_GB2312" w:cs="仿宋_GB2312"/>
          <w:sz w:val="32"/>
          <w:szCs w:val="32"/>
          <w:lang w:val="en-US" w:eastAsia="zh-CN"/>
        </w:rPr>
        <w:t>谋划</w:t>
      </w:r>
      <w:r>
        <w:rPr>
          <w:rFonts w:hint="default" w:ascii="Times New Roman" w:hAnsi="Times New Roman" w:eastAsia="仿宋_GB2312" w:cs="仿宋_GB2312"/>
          <w:sz w:val="32"/>
          <w:szCs w:val="32"/>
          <w:lang w:val="en-US" w:eastAsia="zh-CN"/>
        </w:rPr>
        <w:t>建设生活垃圾焚烧残渣资源化利用、飞灰无害化处置</w:t>
      </w:r>
      <w:r>
        <w:rPr>
          <w:rFonts w:hint="eastAsia" w:ascii="Times New Roman" w:hAnsi="Times New Roman" w:eastAsia="仿宋_GB2312" w:cs="仿宋_GB2312"/>
          <w:sz w:val="32"/>
          <w:szCs w:val="32"/>
          <w:lang w:val="en-US" w:eastAsia="zh-CN"/>
        </w:rPr>
        <w:t>等</w:t>
      </w:r>
      <w:r>
        <w:rPr>
          <w:rFonts w:hint="default" w:ascii="Times New Roman" w:hAnsi="Times New Roman" w:eastAsia="仿宋_GB2312" w:cs="仿宋_GB2312"/>
          <w:sz w:val="32"/>
          <w:szCs w:val="32"/>
          <w:lang w:val="en-US" w:eastAsia="zh-CN"/>
        </w:rPr>
        <w:t>项目，</w:t>
      </w:r>
      <w:r>
        <w:rPr>
          <w:rFonts w:hint="eastAsia" w:ascii="Times New Roman" w:hAnsi="Times New Roman" w:eastAsia="仿宋_GB2312" w:cs="仿宋_GB2312"/>
          <w:sz w:val="32"/>
          <w:szCs w:val="32"/>
          <w:lang w:val="en-US" w:eastAsia="zh-CN"/>
        </w:rPr>
        <w:t>稳步提升师市生活垃圾处置能力</w:t>
      </w:r>
      <w:r>
        <w:rPr>
          <w:rFonts w:hint="default" w:ascii="Times New Roman" w:hAnsi="Times New Roman" w:eastAsia="仿宋_GB2312" w:cs="仿宋_GB2312"/>
          <w:sz w:val="32"/>
          <w:szCs w:val="32"/>
          <w:lang w:val="en-US" w:eastAsia="zh-CN"/>
        </w:rPr>
        <w:t>。</w:t>
      </w:r>
      <w:r>
        <w:rPr>
          <w:rFonts w:hint="eastAsia" w:ascii="楷体_GB2312" w:hAnsi="楷体_GB2312" w:eastAsia="楷体_GB2312" w:cs="楷体_GB2312"/>
          <w:sz w:val="32"/>
          <w:szCs w:val="32"/>
          <w:lang w:val="en-US" w:eastAsia="zh-CN"/>
        </w:rPr>
        <w:t>（师市住建局牵头负责）</w:t>
      </w:r>
    </w:p>
    <w:p w14:paraId="76FB48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推进餐厨废弃物资源化利用。</w:t>
      </w:r>
      <w:r>
        <w:rPr>
          <w:rFonts w:hint="eastAsia" w:ascii="Times New Roman" w:hAnsi="Times New Roman" w:eastAsia="仿宋_GB2312" w:cs="仿宋_GB2312"/>
          <w:sz w:val="32"/>
          <w:szCs w:val="32"/>
          <w:lang w:val="en-US" w:eastAsia="zh-CN"/>
        </w:rPr>
        <w:t>谋划建设</w:t>
      </w:r>
      <w:r>
        <w:rPr>
          <w:rFonts w:hint="default" w:ascii="Times New Roman" w:hAnsi="Times New Roman" w:eastAsia="仿宋_GB2312" w:cs="仿宋_GB2312"/>
          <w:sz w:val="32"/>
          <w:szCs w:val="32"/>
          <w:lang w:val="en-US" w:eastAsia="zh-CN"/>
        </w:rPr>
        <w:t>餐厨废弃物处置中心项目，提高餐厨废弃物处置能力。逐步扩大餐厨垃圾收集覆盖范围，将农贸市场、果蔬交易市场等产生的有机易腐垃圾纳入餐厨废弃物处置体系。加强餐厨垃圾收运、处理的规范化全过程监管。建立餐厨垃圾市场化运作机制，实行餐厨垃圾密闭、定时定点收运处理。</w:t>
      </w:r>
      <w:r>
        <w:rPr>
          <w:rFonts w:hint="eastAsia" w:ascii="楷体_GB2312" w:hAnsi="楷体_GB2312" w:eastAsia="楷体_GB2312" w:cs="楷体_GB2312"/>
          <w:sz w:val="32"/>
          <w:szCs w:val="32"/>
          <w:lang w:val="en-US" w:eastAsia="zh-CN"/>
        </w:rPr>
        <w:t>（师市住建局牵头负责）</w:t>
      </w:r>
    </w:p>
    <w:p w14:paraId="0FD887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四是</w:t>
      </w:r>
      <w:r>
        <w:rPr>
          <w:rFonts w:hint="default" w:ascii="Times New Roman" w:hAnsi="Times New Roman" w:eastAsia="仿宋_GB2312" w:cs="仿宋_GB2312"/>
          <w:b/>
          <w:bCs/>
          <w:sz w:val="32"/>
          <w:szCs w:val="32"/>
          <w:lang w:val="en-US" w:eastAsia="zh-CN"/>
        </w:rPr>
        <w:t>规范再生资源回收。</w:t>
      </w:r>
      <w:r>
        <w:rPr>
          <w:rFonts w:hint="default" w:ascii="Times New Roman" w:hAnsi="Times New Roman" w:eastAsia="仿宋_GB2312" w:cs="仿宋_GB2312"/>
          <w:sz w:val="32"/>
          <w:szCs w:val="32"/>
          <w:lang w:val="en-US" w:eastAsia="zh-CN"/>
        </w:rPr>
        <w:t>积极探索再生资源回收体系与生活垃圾分类回收体系有效衔接和融合发展。加强再生资源回收行业管理，优化再生资源回收网络节点布局，形成点面结合、</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三位一体</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的再生资源回收网络体系。探索采取市场化机制委托专业社会机构，依托</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互联网+再生资源回收</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模式，促进传统回收行业的升级转型。</w:t>
      </w:r>
      <w:r>
        <w:rPr>
          <w:rFonts w:hint="eastAsia" w:ascii="楷体_GB2312" w:hAnsi="楷体_GB2312" w:eastAsia="楷体_GB2312" w:cs="楷体_GB2312"/>
          <w:sz w:val="32"/>
          <w:szCs w:val="32"/>
          <w:lang w:val="en-US" w:eastAsia="zh-CN"/>
        </w:rPr>
        <w:t>（师市住建局、商务局、发改委、自然资源和规划局、生态环境局、市场监督管理局，双河经开区管委会按职责分工负责）</w:t>
      </w:r>
    </w:p>
    <w:p w14:paraId="1CD41B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3.建设连队生活垃圾分类收集处理试点</w:t>
      </w:r>
    </w:p>
    <w:p w14:paraId="318EE9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一是逐步推行连队生活垃圾分类。</w:t>
      </w:r>
      <w:r>
        <w:rPr>
          <w:rFonts w:hint="eastAsia" w:ascii="Times New Roman" w:hAnsi="Times New Roman" w:eastAsia="仿宋_GB2312" w:cs="仿宋_GB2312"/>
          <w:sz w:val="32"/>
          <w:szCs w:val="32"/>
          <w:lang w:val="en-US" w:eastAsia="zh-CN"/>
        </w:rPr>
        <w:t>推进城乡“环卫一体化”建设，优先选择一批环境秀美、环卫设施配套齐全的连队开展连队生活垃圾分类和资源化利用试点，探索建立适合连队特点的垃圾就地分类和资源化利用体系，建立健全连队生活垃圾分类管理制度体系和长效运行机制。开展生活垃圾分类示范及评比活动，开展“无废连队”创建示范。</w:t>
      </w:r>
      <w:r>
        <w:rPr>
          <w:rFonts w:hint="eastAsia" w:ascii="楷体_GB2312" w:hAnsi="楷体_GB2312" w:eastAsia="楷体_GB2312" w:cs="楷体_GB2312"/>
          <w:sz w:val="32"/>
          <w:szCs w:val="32"/>
          <w:lang w:val="en-US" w:eastAsia="zh-CN"/>
        </w:rPr>
        <w:t>（师市农业农村局、住建局按职责分工负责）</w:t>
      </w:r>
    </w:p>
    <w:p w14:paraId="0765BC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二是完善连队生活垃圾收运处理体系。</w:t>
      </w:r>
      <w:r>
        <w:rPr>
          <w:rFonts w:hint="eastAsia" w:ascii="Times New Roman" w:hAnsi="Times New Roman" w:eastAsia="仿宋_GB2312" w:cs="仿宋_GB2312"/>
          <w:sz w:val="32"/>
          <w:szCs w:val="32"/>
          <w:lang w:val="en-US" w:eastAsia="zh-CN"/>
        </w:rPr>
        <w:t>完善连队生活垃圾收运处理体系，因地制宜推广“可回收垃圾不出户，可堆肥垃圾资源化利用，有毒有害垃圾集中处理”模式。加强保洁队伍建设，发挥环卫保洁员垃圾分类处理、宣传、监督和指导的作用。完善环卫基础设施建设，合理配置分类垃圾箱（桶），推进易腐烂垃圾就地资源化。推进可回收垃圾收运系统与城市再生资源回收利用系统相衔接，健全再生资源回收利用网络。</w:t>
      </w:r>
      <w:r>
        <w:rPr>
          <w:rFonts w:hint="eastAsia" w:ascii="楷体_GB2312" w:hAnsi="楷体_GB2312" w:eastAsia="楷体_GB2312" w:cs="楷体_GB2312"/>
          <w:sz w:val="32"/>
          <w:szCs w:val="32"/>
          <w:lang w:val="en-US" w:eastAsia="zh-CN"/>
        </w:rPr>
        <w:t>（师市农业农村局、住建局按职责分工负责）</w:t>
      </w:r>
    </w:p>
    <w:p w14:paraId="6EF500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三是积极开展团场连队非正规垃圾点整治。</w:t>
      </w:r>
      <w:r>
        <w:rPr>
          <w:rFonts w:hint="eastAsia" w:ascii="Times New Roman" w:hAnsi="Times New Roman" w:eastAsia="仿宋_GB2312" w:cs="仿宋_GB2312"/>
          <w:b w:val="0"/>
          <w:bCs w:val="0"/>
          <w:sz w:val="32"/>
          <w:szCs w:val="32"/>
          <w:lang w:val="en-US" w:eastAsia="zh-CN"/>
        </w:rPr>
        <w:t>结合师市非法倾倒处置固体废物整治行动，逐</w:t>
      </w:r>
      <w:r>
        <w:rPr>
          <w:rFonts w:hint="eastAsia" w:ascii="Times New Roman" w:hAnsi="Times New Roman" w:eastAsia="仿宋_GB2312" w:cs="仿宋_GB2312"/>
          <w:sz w:val="32"/>
          <w:szCs w:val="32"/>
          <w:lang w:val="en-US" w:eastAsia="zh-CN"/>
        </w:rPr>
        <w:t>步开展团场、连队非正规垃圾点整治及生态恢复工作。</w:t>
      </w:r>
      <w:r>
        <w:rPr>
          <w:rFonts w:hint="eastAsia" w:ascii="楷体_GB2312" w:hAnsi="楷体_GB2312" w:eastAsia="楷体_GB2312" w:cs="楷体_GB2312"/>
          <w:sz w:val="32"/>
          <w:szCs w:val="32"/>
          <w:lang w:val="en-US" w:eastAsia="zh-CN"/>
        </w:rPr>
        <w:t>（师市住建局、农业农村局、各团场按职责分工负责）</w:t>
      </w:r>
    </w:p>
    <w:p w14:paraId="288A44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4.加快完善建筑垃圾全过程管理机制</w:t>
      </w:r>
    </w:p>
    <w:p w14:paraId="571F2B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完善建筑垃圾资源化利用制度。</w:t>
      </w:r>
      <w:r>
        <w:rPr>
          <w:rFonts w:hint="default" w:ascii="Times New Roman" w:hAnsi="Times New Roman" w:eastAsia="仿宋_GB2312" w:cs="仿宋_GB2312"/>
          <w:sz w:val="32"/>
          <w:szCs w:val="32"/>
          <w:lang w:val="en-US" w:eastAsia="zh-CN"/>
        </w:rPr>
        <w:t>制定出台《</w:t>
      </w:r>
      <w:r>
        <w:rPr>
          <w:rFonts w:hint="eastAsia" w:ascii="Times New Roman" w:hAnsi="Times New Roman" w:eastAsia="仿宋_GB2312" w:cs="仿宋_GB2312"/>
          <w:sz w:val="32"/>
          <w:szCs w:val="32"/>
          <w:lang w:val="en-US" w:eastAsia="zh-CN"/>
        </w:rPr>
        <w:t>第五师双河市</w:t>
      </w:r>
      <w:r>
        <w:rPr>
          <w:rFonts w:hint="default" w:ascii="Times New Roman" w:hAnsi="Times New Roman" w:eastAsia="仿宋_GB2312" w:cs="仿宋_GB2312"/>
          <w:sz w:val="32"/>
          <w:szCs w:val="32"/>
          <w:lang w:val="en-US" w:eastAsia="zh-CN"/>
        </w:rPr>
        <w:t>建筑垃圾处置专项规划》，对建筑垃圾资源化设施的环保要求等进行规范完善，实现建筑垃圾减量化、资源化、无害化。探索建立建筑垃圾的全过程管理体系，开展各类建筑垃圾摸底清查，强化建筑垃圾产生、运输、利用环节的申报登记。综合考虑建筑垃圾产生区域、产生量、收集、运输距离等因素，规划布局建筑垃圾的转运、临时处理、消纳处置、资源化利用设施，形成与</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未来发展相匹配的建筑垃圾管理体系。建立建筑垃圾处置收费制度，吸引社会资本参与建筑垃圾资源化项目的投资建设。</w:t>
      </w:r>
      <w:r>
        <w:rPr>
          <w:rFonts w:hint="eastAsia" w:ascii="楷体_GB2312" w:hAnsi="楷体_GB2312" w:eastAsia="楷体_GB2312" w:cs="楷体_GB2312"/>
          <w:sz w:val="32"/>
          <w:szCs w:val="32"/>
          <w:lang w:val="en-US" w:eastAsia="zh-CN"/>
        </w:rPr>
        <w:t>（师市住建局牵头负责）</w:t>
      </w:r>
    </w:p>
    <w:p w14:paraId="3FEF4E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积极推广绿色建筑。</w:t>
      </w:r>
      <w:r>
        <w:rPr>
          <w:rFonts w:hint="default" w:ascii="Times New Roman" w:hAnsi="Times New Roman" w:eastAsia="仿宋_GB2312" w:cs="仿宋_GB2312"/>
          <w:sz w:val="32"/>
          <w:szCs w:val="32"/>
          <w:lang w:val="en-US" w:eastAsia="zh-CN"/>
        </w:rPr>
        <w:t>明确绿色建筑建设</w:t>
      </w:r>
      <w:r>
        <w:rPr>
          <w:rFonts w:hint="eastAsia" w:ascii="Times New Roman" w:hAnsi="Times New Roman" w:eastAsia="仿宋_GB2312" w:cs="仿宋_GB2312"/>
          <w:sz w:val="32"/>
          <w:szCs w:val="32"/>
          <w:lang w:val="en-US" w:eastAsia="zh-CN"/>
        </w:rPr>
        <w:t>的</w:t>
      </w:r>
      <w:r>
        <w:rPr>
          <w:rFonts w:hint="default" w:ascii="Times New Roman" w:hAnsi="Times New Roman" w:eastAsia="仿宋_GB2312" w:cs="仿宋_GB2312"/>
          <w:sz w:val="32"/>
          <w:szCs w:val="32"/>
          <w:lang w:val="en-US" w:eastAsia="zh-CN"/>
        </w:rPr>
        <w:t>各方责任，</w:t>
      </w:r>
      <w:r>
        <w:rPr>
          <w:rFonts w:hint="eastAsia" w:ascii="Times New Roman" w:hAnsi="Times New Roman" w:eastAsia="仿宋_GB2312" w:cs="仿宋_GB2312"/>
          <w:sz w:val="32"/>
          <w:szCs w:val="32"/>
          <w:lang w:val="en-US" w:eastAsia="zh-CN"/>
        </w:rPr>
        <w:t>督促</w:t>
      </w:r>
      <w:r>
        <w:rPr>
          <w:rFonts w:hint="default" w:ascii="Times New Roman" w:hAnsi="Times New Roman" w:eastAsia="仿宋_GB2312" w:cs="仿宋_GB2312"/>
          <w:sz w:val="32"/>
          <w:szCs w:val="32"/>
          <w:lang w:val="en-US" w:eastAsia="zh-CN"/>
        </w:rPr>
        <w:t>项目参建单位</w:t>
      </w:r>
      <w:r>
        <w:rPr>
          <w:rFonts w:hint="eastAsia" w:ascii="Times New Roman" w:hAnsi="Times New Roman" w:eastAsia="仿宋_GB2312" w:cs="仿宋_GB2312"/>
          <w:sz w:val="32"/>
          <w:szCs w:val="32"/>
          <w:lang w:val="en-US" w:eastAsia="zh-CN"/>
        </w:rPr>
        <w:t>严格</w:t>
      </w:r>
      <w:r>
        <w:rPr>
          <w:rFonts w:hint="default" w:ascii="Times New Roman" w:hAnsi="Times New Roman" w:eastAsia="仿宋_GB2312" w:cs="仿宋_GB2312"/>
          <w:sz w:val="32"/>
          <w:szCs w:val="32"/>
          <w:lang w:val="en-US" w:eastAsia="zh-CN"/>
        </w:rPr>
        <w:t>落实绿色建筑相关要求；大力发展装配式建筑，坚持标准化设计、工厂化生产、装配化施工、一体化装修、信息化管理。</w:t>
      </w:r>
      <w:r>
        <w:rPr>
          <w:rFonts w:hint="eastAsia" w:ascii="楷体_GB2312" w:hAnsi="楷体_GB2312" w:eastAsia="楷体_GB2312" w:cs="楷体_GB2312"/>
          <w:sz w:val="32"/>
          <w:szCs w:val="32"/>
          <w:lang w:val="en-US" w:eastAsia="zh-CN"/>
        </w:rPr>
        <w:t>（师市住建局牵头负责）</w:t>
      </w:r>
    </w:p>
    <w:p w14:paraId="794822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加快推进建筑垃圾回收利用。</w:t>
      </w:r>
      <w:r>
        <w:rPr>
          <w:rFonts w:hint="default" w:ascii="Times New Roman" w:hAnsi="Times New Roman" w:eastAsia="仿宋_GB2312" w:cs="仿宋_GB2312"/>
          <w:sz w:val="32"/>
          <w:szCs w:val="32"/>
          <w:lang w:val="en-US" w:eastAsia="zh-CN"/>
        </w:rPr>
        <w:t>就地处理与异地利用相结合，</w:t>
      </w:r>
      <w:r>
        <w:rPr>
          <w:rFonts w:hint="eastAsia" w:ascii="Times New Roman" w:hAnsi="Times New Roman" w:eastAsia="仿宋_GB2312" w:cs="仿宋_GB2312"/>
          <w:sz w:val="32"/>
          <w:szCs w:val="32"/>
          <w:lang w:val="en-US" w:eastAsia="zh-CN"/>
        </w:rPr>
        <w:t>逐步</w:t>
      </w:r>
      <w:r>
        <w:rPr>
          <w:rFonts w:hint="default" w:ascii="Times New Roman" w:hAnsi="Times New Roman" w:eastAsia="仿宋_GB2312" w:cs="仿宋_GB2312"/>
          <w:sz w:val="32"/>
          <w:szCs w:val="32"/>
          <w:lang w:val="en-US" w:eastAsia="zh-CN"/>
        </w:rPr>
        <w:t>建立建筑垃圾回收利用体系，开展建筑垃圾存量治理。</w:t>
      </w:r>
      <w:r>
        <w:rPr>
          <w:rFonts w:hint="eastAsia" w:ascii="Times New Roman" w:hAnsi="Times New Roman" w:eastAsia="仿宋_GB2312" w:cs="仿宋_GB2312"/>
          <w:sz w:val="32"/>
          <w:szCs w:val="32"/>
          <w:lang w:val="en-US" w:eastAsia="zh-CN"/>
        </w:rPr>
        <w:t>鼓励推进</w:t>
      </w:r>
      <w:r>
        <w:rPr>
          <w:rFonts w:hint="default" w:ascii="Times New Roman" w:hAnsi="Times New Roman" w:eastAsia="仿宋_GB2312" w:cs="仿宋_GB2312"/>
          <w:sz w:val="32"/>
          <w:szCs w:val="32"/>
          <w:lang w:val="en-US" w:eastAsia="zh-CN"/>
        </w:rPr>
        <w:t>建筑垃圾综合利用项目</w:t>
      </w:r>
      <w:r>
        <w:rPr>
          <w:rFonts w:hint="eastAsia" w:ascii="Times New Roman" w:hAnsi="Times New Roman" w:eastAsia="仿宋_GB2312" w:cs="仿宋_GB2312"/>
          <w:sz w:val="32"/>
          <w:szCs w:val="32"/>
          <w:lang w:val="en-US" w:eastAsia="zh-CN"/>
        </w:rPr>
        <w:t>申报、</w:t>
      </w:r>
      <w:r>
        <w:rPr>
          <w:rFonts w:hint="default" w:ascii="Times New Roman" w:hAnsi="Times New Roman" w:eastAsia="仿宋_GB2312" w:cs="仿宋_GB2312"/>
          <w:sz w:val="32"/>
          <w:szCs w:val="32"/>
          <w:lang w:val="en-US" w:eastAsia="zh-CN"/>
        </w:rPr>
        <w:t>建设，配套建设道路稳定砂拌和站及制砖生产线，加强再生骨料、粉料综合利用；鼓励在市政道路、园林绿化等基础设施建设中优先使用建筑垃圾再生产品，政府投资建设项目优先采用建筑垃圾再生产品。</w:t>
      </w:r>
      <w:r>
        <w:rPr>
          <w:rFonts w:hint="eastAsia" w:ascii="楷体_GB2312" w:hAnsi="楷体_GB2312" w:eastAsia="楷体_GB2312" w:cs="楷体_GB2312"/>
          <w:sz w:val="32"/>
          <w:szCs w:val="32"/>
          <w:lang w:val="en-US" w:eastAsia="zh-CN"/>
        </w:rPr>
        <w:t>（师市住建局牵头负责）</w:t>
      </w:r>
    </w:p>
    <w:p w14:paraId="01C5A5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四是</w:t>
      </w:r>
      <w:r>
        <w:rPr>
          <w:rFonts w:hint="default" w:ascii="Times New Roman" w:hAnsi="Times New Roman" w:eastAsia="仿宋_GB2312" w:cs="仿宋_GB2312"/>
          <w:b/>
          <w:bCs/>
          <w:sz w:val="32"/>
          <w:szCs w:val="32"/>
          <w:lang w:val="en-US" w:eastAsia="zh-CN"/>
        </w:rPr>
        <w:t>推动城镇污水污泥安全处置。</w:t>
      </w:r>
      <w:r>
        <w:rPr>
          <w:rFonts w:hint="default" w:ascii="Times New Roman" w:hAnsi="Times New Roman" w:eastAsia="仿宋_GB2312" w:cs="仿宋_GB2312"/>
          <w:sz w:val="32"/>
          <w:szCs w:val="32"/>
          <w:lang w:val="en-US" w:eastAsia="zh-CN"/>
        </w:rPr>
        <w:t>拓宽污泥利用途径，在现有基础上，加快配套建设标准化、专业化的污泥安全处置项目，拓展长期可持续、专业化的处置路径，推动城市污水污泥的安全化处置。</w:t>
      </w:r>
      <w:r>
        <w:rPr>
          <w:rFonts w:hint="eastAsia" w:ascii="Times New Roman" w:hAnsi="Times New Roman" w:eastAsia="仿宋_GB2312" w:cs="仿宋_GB2312"/>
          <w:sz w:val="32"/>
          <w:szCs w:val="32"/>
          <w:lang w:val="en-US" w:eastAsia="zh-CN"/>
        </w:rPr>
        <w:t>加强污水处理厂兵地融合监管，</w:t>
      </w:r>
      <w:r>
        <w:rPr>
          <w:rFonts w:hint="default" w:ascii="Times New Roman" w:hAnsi="Times New Roman" w:eastAsia="仿宋_GB2312" w:cs="仿宋_GB2312"/>
          <w:sz w:val="32"/>
          <w:szCs w:val="32"/>
          <w:lang w:val="en-US" w:eastAsia="zh-CN"/>
        </w:rPr>
        <w:t>探索建立污水处理厂污泥处理处置智慧化信息监控平台，对污泥运输、计量、安全处置等环节实施全过程监管。</w:t>
      </w:r>
      <w:r>
        <w:rPr>
          <w:rFonts w:hint="eastAsia" w:ascii="楷体_GB2312" w:hAnsi="楷体_GB2312" w:eastAsia="楷体_GB2312" w:cs="楷体_GB2312"/>
          <w:sz w:val="32"/>
          <w:szCs w:val="32"/>
          <w:lang w:val="en-US" w:eastAsia="zh-CN"/>
        </w:rPr>
        <w:t>（师市住建局、生态环境局按职责分工负责）</w:t>
      </w:r>
    </w:p>
    <w:p w14:paraId="67296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（四）完善危险废物全过程规范化管理与全面安全管控</w:t>
      </w:r>
    </w:p>
    <w:p w14:paraId="548BAD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1.强化危险废物源头防控</w:t>
      </w:r>
    </w:p>
    <w:p w14:paraId="11803A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一是强化危险废物源头严控。</w:t>
      </w:r>
      <w:r>
        <w:rPr>
          <w:rFonts w:hint="eastAsia" w:ascii="Times New Roman" w:hAnsi="Times New Roman" w:eastAsia="仿宋_GB2312" w:cs="仿宋_GB2312"/>
          <w:sz w:val="32"/>
          <w:szCs w:val="32"/>
          <w:lang w:val="en-US" w:eastAsia="zh-CN"/>
        </w:rPr>
        <w:t>结合危险废物专项治理工作和第二次全国污染源普查、环境统计、排污许可等数据，建立师市危险废物环境重点监管源清单，充分利用全国固体废物环境管理信息平台，督促涉废单位按规定填报危险废物产生、贮存、转移、利用处置等信息，提升危废申报数据质量，推动危险废物全流程规范监管。</w:t>
      </w:r>
      <w:r>
        <w:rPr>
          <w:rFonts w:hint="eastAsia" w:ascii="楷体_GB2312" w:hAnsi="楷体_GB2312" w:eastAsia="楷体_GB2312" w:cs="楷体_GB2312"/>
          <w:sz w:val="32"/>
          <w:szCs w:val="32"/>
          <w:lang w:val="en-US" w:eastAsia="zh-CN"/>
        </w:rPr>
        <w:t>（师市生态环境局牵头负责）</w:t>
      </w:r>
    </w:p>
    <w:p w14:paraId="148C24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二是推进危险废物源头减量。</w:t>
      </w:r>
      <w:r>
        <w:rPr>
          <w:rFonts w:hint="eastAsia" w:ascii="Times New Roman" w:hAnsi="Times New Roman" w:eastAsia="仿宋_GB2312" w:cs="仿宋_GB2312"/>
          <w:sz w:val="32"/>
          <w:szCs w:val="32"/>
          <w:lang w:val="en-US" w:eastAsia="zh-CN"/>
        </w:rPr>
        <w:t>坚持从源头避免或减少危险废物的产生，按照《国家鼓励的有毒有害原料（产品）替代品目录（2016年版）》要求，引导企业使用低毒低害和无毒无害原料。对以危险废物为原料进行生产或者生产中排放危险废物的重点企业，实施强制性清洁生产审核。鼓励企业从源头减量、加大回收利用力度，允许企业在法律允许的范围内利用自身完善的设施、成熟的生产工艺将具有较高利用价值的危险废物作为原辅料回用于生产或加工成符合标准的副产品。</w:t>
      </w:r>
      <w:r>
        <w:rPr>
          <w:rFonts w:hint="eastAsia" w:ascii="楷体_GB2312" w:hAnsi="楷体_GB2312" w:eastAsia="楷体_GB2312" w:cs="楷体_GB2312"/>
          <w:sz w:val="32"/>
          <w:szCs w:val="32"/>
          <w:lang w:val="en-US" w:eastAsia="zh-CN"/>
        </w:rPr>
        <w:t>（师市生态环境局、商务局、工信局，双河经开区管委会按职责分工负责）</w:t>
      </w:r>
    </w:p>
    <w:p w14:paraId="2DB455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三是完善医疗废物管理制度。</w:t>
      </w:r>
      <w:r>
        <w:rPr>
          <w:rFonts w:hint="eastAsia" w:ascii="Times New Roman" w:hAnsi="Times New Roman" w:eastAsia="仿宋_GB2312" w:cs="仿宋_GB2312"/>
          <w:sz w:val="32"/>
          <w:szCs w:val="32"/>
          <w:lang w:val="en-US" w:eastAsia="zh-CN"/>
        </w:rPr>
        <w:t>制定和完善医疗废物管理制度，加强对医疗卫生机构医疗废物收集、运输和贮存过程中的疾病防治工作，进一步深化对医护人员以及工勤人员的培训，根据有关要求做好医疗废物的分类收集工作。推动过期药品回收工作。</w:t>
      </w:r>
      <w:r>
        <w:rPr>
          <w:rFonts w:hint="eastAsia" w:ascii="楷体_GB2312" w:hAnsi="楷体_GB2312" w:eastAsia="楷体_GB2312" w:cs="楷体_GB2312"/>
          <w:sz w:val="32"/>
          <w:szCs w:val="32"/>
          <w:lang w:val="en-US" w:eastAsia="zh-CN"/>
        </w:rPr>
        <w:t>（师市卫健委、市场监管局、生态环境局按职责分工负责）</w:t>
      </w:r>
    </w:p>
    <w:p w14:paraId="0239BF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2.完善危废收集收运体系</w:t>
      </w:r>
    </w:p>
    <w:p w14:paraId="2A8E5B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完善收集运输体系。</w:t>
      </w:r>
      <w:r>
        <w:rPr>
          <w:rFonts w:hint="default" w:ascii="Times New Roman" w:hAnsi="Times New Roman" w:eastAsia="仿宋_GB2312" w:cs="仿宋_GB2312"/>
          <w:sz w:val="32"/>
          <w:szCs w:val="32"/>
          <w:lang w:val="en-US" w:eastAsia="zh-CN"/>
        </w:rPr>
        <w:t>推动危险废物分类收集专业化、规模化</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加强涉重金属危险废物无害化处置，鼓励生产或经营企业建立废铅酸蓄电池、废弃荧光灯、废镍镉电池等回收网络，支持分类回收处理。逐步健全机动车维修和拆解行业、</w:t>
      </w:r>
      <w:r>
        <w:rPr>
          <w:rFonts w:hint="eastAsia" w:ascii="Times New Roman" w:hAnsi="Times New Roman" w:eastAsia="仿宋_GB2312" w:cs="仿宋_GB2312"/>
          <w:sz w:val="32"/>
          <w:szCs w:val="32"/>
          <w:lang w:val="en-US" w:eastAsia="zh-CN"/>
        </w:rPr>
        <w:t>学校</w:t>
      </w:r>
      <w:r>
        <w:rPr>
          <w:rFonts w:hint="default" w:ascii="Times New Roman" w:hAnsi="Times New Roman" w:eastAsia="仿宋_GB2312" w:cs="仿宋_GB2312"/>
          <w:sz w:val="32"/>
          <w:szCs w:val="32"/>
          <w:lang w:val="en-US" w:eastAsia="zh-CN"/>
        </w:rPr>
        <w:t>实验室等危险废物的收集体系。完善医疗废物收集运输体系</w:t>
      </w:r>
      <w:r>
        <w:rPr>
          <w:rFonts w:hint="eastAsia" w:ascii="Times New Roman" w:hAnsi="Times New Roman" w:eastAsia="仿宋_GB2312" w:cs="仿宋_GB2312"/>
          <w:sz w:val="32"/>
          <w:szCs w:val="32"/>
          <w:lang w:val="en-US" w:eastAsia="zh-CN"/>
        </w:rPr>
        <w:t>和</w:t>
      </w:r>
      <w:r>
        <w:rPr>
          <w:rFonts w:hint="default" w:ascii="Times New Roman" w:hAnsi="Times New Roman" w:eastAsia="仿宋_GB2312" w:cs="仿宋_GB2312"/>
          <w:sz w:val="32"/>
          <w:szCs w:val="32"/>
          <w:lang w:val="en-US" w:eastAsia="zh-CN"/>
        </w:rPr>
        <w:t>医疗废物分类管理制度，严格落实医疗废物分类管理、专用包装、集中贮存要求，加强收集、转运设施设备配套。</w:t>
      </w:r>
      <w:r>
        <w:rPr>
          <w:rFonts w:hint="eastAsia" w:ascii="楷体_GB2312" w:hAnsi="楷体_GB2312" w:eastAsia="楷体_GB2312" w:cs="楷体_GB2312"/>
          <w:sz w:val="32"/>
          <w:szCs w:val="32"/>
          <w:lang w:val="en-US" w:eastAsia="zh-CN"/>
        </w:rPr>
        <w:t>（师市商务局、卫健委、工信局、交通运输局、生态环境局按职责分工负责）</w:t>
      </w:r>
    </w:p>
    <w:p w14:paraId="585E9C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二是开展社会源危险废物摸底调查。</w:t>
      </w:r>
      <w:r>
        <w:rPr>
          <w:rFonts w:hint="eastAsia" w:ascii="Times New Roman" w:hAnsi="Times New Roman" w:eastAsia="仿宋_GB2312" w:cs="仿宋_GB2312"/>
          <w:sz w:val="32"/>
          <w:szCs w:val="32"/>
          <w:lang w:val="en-US" w:eastAsia="zh-CN"/>
        </w:rPr>
        <w:t>开展对机动车维修和拆解行业等主要类别社会源危险废物的摸底调查，掌握主要类别社会源危险废物的产生、收集、贮存、利用、处置等情况，并将产生单位和企业逐步纳入师市危险废物监管重点源企业名单。</w:t>
      </w:r>
      <w:r>
        <w:rPr>
          <w:rFonts w:hint="default" w:ascii="Times New Roman" w:hAnsi="Times New Roman" w:eastAsia="仿宋_GB2312" w:cs="仿宋_GB2312"/>
          <w:sz w:val="32"/>
          <w:szCs w:val="32"/>
          <w:lang w:val="en-US" w:eastAsia="zh-CN"/>
        </w:rPr>
        <w:t>建立铅蓄电池回收处理体系</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在</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范围内建立规范有序的废铅蓄电池收集处理体系和防治环境污染的长效机制，积极推动铅蓄电池生产企业落实生产者责任延伸制度。</w:t>
      </w:r>
      <w:r>
        <w:rPr>
          <w:rFonts w:hint="eastAsia" w:ascii="楷体_GB2312" w:hAnsi="楷体_GB2312" w:eastAsia="楷体_GB2312" w:cs="楷体_GB2312"/>
          <w:sz w:val="32"/>
          <w:szCs w:val="32"/>
          <w:lang w:val="en-US" w:eastAsia="zh-CN"/>
        </w:rPr>
        <w:t>（师市生态环境局、工信局、交通运输局、商务局、双河经开区管委会按职责分工负责）</w:t>
      </w:r>
    </w:p>
    <w:p w14:paraId="1D16DB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三是</w:t>
      </w:r>
      <w:r>
        <w:rPr>
          <w:rFonts w:hint="default" w:ascii="Times New Roman" w:hAnsi="Times New Roman" w:eastAsia="仿宋_GB2312" w:cs="仿宋_GB2312"/>
          <w:b/>
          <w:bCs/>
          <w:sz w:val="32"/>
          <w:szCs w:val="32"/>
          <w:lang w:val="en-US" w:eastAsia="zh-CN"/>
        </w:rPr>
        <w:t>强化危险废物收集转运过程监管。</w:t>
      </w:r>
      <w:r>
        <w:rPr>
          <w:rFonts w:hint="default" w:ascii="Times New Roman" w:hAnsi="Times New Roman" w:eastAsia="仿宋_GB2312" w:cs="仿宋_GB2312"/>
          <w:sz w:val="32"/>
          <w:szCs w:val="32"/>
          <w:lang w:val="en-US" w:eastAsia="zh-CN"/>
        </w:rPr>
        <w:t>全面实施危险废物电子转移联单制度，依法加强危险废物道路运输安全管理，加强运输车辆和从业人员管理，严格执行危险废物转移交接记录制度，及时掌握危险废物流向，提升风险防控水平。</w:t>
      </w:r>
      <w:r>
        <w:rPr>
          <w:rFonts w:hint="eastAsia" w:ascii="楷体_GB2312" w:hAnsi="楷体_GB2312" w:eastAsia="楷体_GB2312" w:cs="楷体_GB2312"/>
          <w:sz w:val="32"/>
          <w:szCs w:val="32"/>
          <w:lang w:val="en-US" w:eastAsia="zh-CN"/>
        </w:rPr>
        <w:t>（师市生态环境局、交通运输局、双河经开区管委会按职责分工负责）</w:t>
      </w:r>
    </w:p>
    <w:p w14:paraId="7925EC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sz w:val="32"/>
          <w:szCs w:val="32"/>
          <w:lang w:val="en-US" w:eastAsia="zh-CN"/>
        </w:rPr>
      </w:pPr>
      <w:r>
        <w:rPr>
          <w:rFonts w:hint="eastAsia" w:ascii="Times New Roman" w:hAnsi="Times New Roman" w:eastAsia="仿宋_GB2312" w:cs="仿宋_GB2312"/>
          <w:b/>
          <w:bCs/>
          <w:sz w:val="32"/>
          <w:szCs w:val="32"/>
          <w:lang w:val="en-US" w:eastAsia="zh-CN"/>
        </w:rPr>
        <w:t>3.补足危废处置能力短板</w:t>
      </w:r>
    </w:p>
    <w:p w14:paraId="5A2F17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一是</w:t>
      </w:r>
      <w:r>
        <w:rPr>
          <w:rFonts w:hint="default" w:ascii="Times New Roman" w:hAnsi="Times New Roman" w:eastAsia="仿宋_GB2312" w:cs="仿宋_GB2312"/>
          <w:b/>
          <w:bCs/>
          <w:sz w:val="32"/>
          <w:szCs w:val="32"/>
          <w:lang w:val="en-US" w:eastAsia="zh-CN"/>
        </w:rPr>
        <w:t>推进危险废物</w:t>
      </w:r>
      <w:r>
        <w:rPr>
          <w:rFonts w:hint="eastAsia" w:ascii="Times New Roman" w:hAnsi="Times New Roman" w:eastAsia="仿宋_GB2312" w:cs="仿宋_GB2312"/>
          <w:b/>
          <w:bCs/>
          <w:sz w:val="32"/>
          <w:szCs w:val="32"/>
          <w:lang w:val="en-US" w:eastAsia="zh-CN"/>
        </w:rPr>
        <w:t>收集</w:t>
      </w:r>
      <w:r>
        <w:rPr>
          <w:rFonts w:hint="default" w:ascii="Times New Roman" w:hAnsi="Times New Roman" w:eastAsia="仿宋_GB2312" w:cs="仿宋_GB2312"/>
          <w:b/>
          <w:bCs/>
          <w:sz w:val="32"/>
          <w:szCs w:val="32"/>
          <w:lang w:val="en-US" w:eastAsia="zh-CN"/>
        </w:rPr>
        <w:t>利用处置能力。</w:t>
      </w:r>
      <w:r>
        <w:rPr>
          <w:rFonts w:hint="default" w:ascii="Times New Roman" w:hAnsi="Times New Roman" w:eastAsia="仿宋_GB2312" w:cs="仿宋_GB2312"/>
          <w:sz w:val="32"/>
          <w:szCs w:val="32"/>
          <w:lang w:val="en-US" w:eastAsia="zh-CN"/>
        </w:rPr>
        <w:t>提升危险废物集中处置基础保障能力，</w:t>
      </w:r>
      <w:r>
        <w:rPr>
          <w:rFonts w:hint="eastAsia" w:ascii="Times New Roman" w:hAnsi="Times New Roman" w:eastAsia="仿宋_GB2312" w:cs="仿宋_GB2312"/>
          <w:sz w:val="32"/>
          <w:szCs w:val="32"/>
          <w:lang w:val="en-US" w:eastAsia="zh-CN"/>
        </w:rPr>
        <w:t>谋划建设一批危险废物收集转移处置项目</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逐步建立师市</w:t>
      </w:r>
      <w:r>
        <w:rPr>
          <w:rFonts w:hint="default" w:ascii="Times New Roman" w:hAnsi="Times New Roman" w:eastAsia="仿宋_GB2312" w:cs="仿宋_GB2312"/>
          <w:sz w:val="32"/>
          <w:szCs w:val="32"/>
          <w:lang w:val="en-US" w:eastAsia="zh-CN"/>
        </w:rPr>
        <w:t>危险废物综合性处置</w:t>
      </w:r>
      <w:r>
        <w:rPr>
          <w:rFonts w:hint="eastAsia" w:ascii="Times New Roman" w:hAnsi="Times New Roman" w:eastAsia="仿宋_GB2312" w:cs="仿宋_GB2312"/>
          <w:sz w:val="32"/>
          <w:szCs w:val="32"/>
          <w:lang w:val="en-US" w:eastAsia="zh-CN"/>
        </w:rPr>
        <w:t>体系</w:t>
      </w:r>
      <w:r>
        <w:rPr>
          <w:rFonts w:hint="default" w:ascii="Times New Roman" w:hAnsi="Times New Roman" w:eastAsia="仿宋_GB2312" w:cs="仿宋_GB2312"/>
          <w:sz w:val="32"/>
          <w:szCs w:val="32"/>
          <w:lang w:val="en-US" w:eastAsia="zh-CN"/>
        </w:rPr>
        <w:t>。积极推动</w:t>
      </w:r>
      <w:r>
        <w:rPr>
          <w:rFonts w:hint="eastAsia" w:ascii="Times New Roman" w:hAnsi="Times New Roman" w:eastAsia="仿宋_GB2312" w:cs="仿宋_GB2312"/>
          <w:sz w:val="32"/>
          <w:szCs w:val="32"/>
          <w:lang w:val="en-US" w:eastAsia="zh-CN"/>
        </w:rPr>
        <w:t>危险废物产生、收集</w:t>
      </w:r>
      <w:r>
        <w:rPr>
          <w:rFonts w:hint="default" w:ascii="Times New Roman" w:hAnsi="Times New Roman" w:eastAsia="仿宋_GB2312" w:cs="仿宋_GB2312"/>
          <w:sz w:val="32"/>
          <w:szCs w:val="32"/>
          <w:lang w:val="en-US" w:eastAsia="zh-CN"/>
        </w:rPr>
        <w:t>单位技改提升、提档升级</w:t>
      </w:r>
      <w:r>
        <w:rPr>
          <w:rFonts w:hint="eastAsia" w:ascii="Times New Roman" w:hAnsi="Times New Roman" w:eastAsia="仿宋_GB2312" w:cs="仿宋_GB2312"/>
          <w:sz w:val="32"/>
          <w:szCs w:val="32"/>
          <w:lang w:val="en-US" w:eastAsia="zh-CN"/>
        </w:rPr>
        <w:t>，不断</w:t>
      </w:r>
      <w:r>
        <w:rPr>
          <w:rFonts w:hint="default" w:ascii="Times New Roman" w:hAnsi="Times New Roman" w:eastAsia="仿宋_GB2312" w:cs="仿宋_GB2312"/>
          <w:sz w:val="32"/>
          <w:szCs w:val="32"/>
          <w:lang w:val="en-US" w:eastAsia="zh-CN"/>
        </w:rPr>
        <w:t>增强环境风险防范能力。到20</w:t>
      </w:r>
      <w:r>
        <w:rPr>
          <w:rFonts w:hint="eastAsia" w:ascii="Times New Roman" w:hAnsi="Times New Roman" w:eastAsia="仿宋_GB2312" w:cs="仿宋_GB2312"/>
          <w:sz w:val="32"/>
          <w:szCs w:val="32"/>
          <w:lang w:val="en-US" w:eastAsia="zh-CN"/>
        </w:rPr>
        <w:t>30</w:t>
      </w:r>
      <w:r>
        <w:rPr>
          <w:rFonts w:hint="default" w:ascii="Times New Roman" w:hAnsi="Times New Roman" w:eastAsia="仿宋_GB2312" w:cs="仿宋_GB2312"/>
          <w:sz w:val="32"/>
          <w:szCs w:val="32"/>
          <w:lang w:val="en-US" w:eastAsia="zh-CN"/>
        </w:rPr>
        <w:t>年，</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工业危险废物综合利用率</w:t>
      </w:r>
      <w:r>
        <w:rPr>
          <w:rFonts w:hint="eastAsia" w:ascii="Times New Roman" w:hAnsi="Times New Roman" w:eastAsia="仿宋_GB2312" w:cs="仿宋_GB2312"/>
          <w:sz w:val="32"/>
          <w:szCs w:val="32"/>
          <w:lang w:val="en-US" w:eastAsia="zh-CN"/>
        </w:rPr>
        <w:t>明显提升</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师市</w:t>
      </w:r>
      <w:r>
        <w:rPr>
          <w:rFonts w:hint="default" w:ascii="Times New Roman" w:hAnsi="Times New Roman" w:eastAsia="仿宋_GB2312" w:cs="仿宋_GB2312"/>
          <w:sz w:val="32"/>
          <w:szCs w:val="32"/>
          <w:lang w:val="en-US" w:eastAsia="zh-CN"/>
        </w:rPr>
        <w:t>危险废物处置能力</w:t>
      </w:r>
      <w:r>
        <w:rPr>
          <w:rFonts w:hint="eastAsia" w:ascii="Times New Roman" w:hAnsi="Times New Roman" w:eastAsia="仿宋_GB2312" w:cs="仿宋_GB2312"/>
          <w:sz w:val="32"/>
          <w:szCs w:val="32"/>
          <w:lang w:val="en-US" w:eastAsia="zh-CN"/>
        </w:rPr>
        <w:t>显著增强</w:t>
      </w:r>
      <w:r>
        <w:rPr>
          <w:rFonts w:hint="default" w:ascii="Times New Roman" w:hAnsi="Times New Roman" w:eastAsia="仿宋_GB2312" w:cs="仿宋_GB2312"/>
          <w:sz w:val="32"/>
          <w:szCs w:val="32"/>
          <w:lang w:val="en-US" w:eastAsia="zh-CN"/>
        </w:rPr>
        <w:t>。</w:t>
      </w:r>
      <w:r>
        <w:rPr>
          <w:rFonts w:hint="eastAsia" w:ascii="楷体_GB2312" w:hAnsi="楷体_GB2312" w:eastAsia="楷体_GB2312" w:cs="楷体_GB2312"/>
          <w:sz w:val="32"/>
          <w:szCs w:val="32"/>
          <w:lang w:val="en-US" w:eastAsia="zh-CN"/>
        </w:rPr>
        <w:t>（师市生态环境局、发改委，双河经开区管委会按职责分工负责）</w:t>
      </w:r>
    </w:p>
    <w:p w14:paraId="50E43A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Times New Roman" w:hAnsi="Times New Roman" w:eastAsia="仿宋_GB2312" w:cs="仿宋_GB2312"/>
          <w:b/>
          <w:bCs/>
          <w:sz w:val="32"/>
          <w:szCs w:val="32"/>
          <w:lang w:val="en-US" w:eastAsia="zh-CN"/>
        </w:rPr>
        <w:t>二是</w:t>
      </w:r>
      <w:r>
        <w:rPr>
          <w:rFonts w:hint="default" w:ascii="Times New Roman" w:hAnsi="Times New Roman" w:eastAsia="仿宋_GB2312" w:cs="仿宋_GB2312"/>
          <w:b/>
          <w:bCs/>
          <w:sz w:val="32"/>
          <w:szCs w:val="32"/>
          <w:lang w:val="en-US" w:eastAsia="zh-CN"/>
        </w:rPr>
        <w:t>开展危险废物专项整治。</w:t>
      </w:r>
      <w:r>
        <w:rPr>
          <w:rFonts w:hint="default" w:ascii="Times New Roman" w:hAnsi="Times New Roman" w:eastAsia="仿宋_GB2312" w:cs="仿宋_GB2312"/>
          <w:sz w:val="32"/>
          <w:szCs w:val="32"/>
          <w:lang w:val="en-US" w:eastAsia="zh-CN"/>
        </w:rPr>
        <w:t>加大对涉危险废物环境违法行为的查处力度，深化落实危险废物全过程规范化环境管理评估机制。结合</w:t>
      </w:r>
      <w:r>
        <w:rPr>
          <w:rFonts w:hint="eastAsia" w:ascii="Times New Roman" w:hAnsi="Times New Roman" w:eastAsia="仿宋_GB2312" w:cs="仿宋_GB2312"/>
          <w:sz w:val="32"/>
          <w:szCs w:val="32"/>
          <w:lang w:val="en-US" w:eastAsia="zh-CN"/>
        </w:rPr>
        <w:t>非法倾倒处置固体废物整治行动（2025-2027年）和</w:t>
      </w:r>
      <w:r>
        <w:rPr>
          <w:rFonts w:hint="default" w:ascii="Times New Roman" w:hAnsi="Times New Roman" w:eastAsia="仿宋_GB2312" w:cs="仿宋_GB2312"/>
          <w:sz w:val="32"/>
          <w:szCs w:val="32"/>
          <w:lang w:val="en-US" w:eastAsia="zh-CN"/>
        </w:rPr>
        <w:t>安全生产专项整治要求，应急管理与生态环境部门联动，聚焦废弃危化品，深入推进专项整治行动，对排查发现的安全隐患及时依法处理，实现对危险废物安全监管与环境监管的无缝覆盖和联动把控。</w:t>
      </w:r>
      <w:r>
        <w:rPr>
          <w:rFonts w:hint="eastAsia" w:ascii="楷体_GB2312" w:hAnsi="楷体_GB2312" w:eastAsia="楷体_GB2312" w:cs="楷体_GB2312"/>
          <w:sz w:val="32"/>
          <w:szCs w:val="32"/>
          <w:lang w:val="en-US" w:eastAsia="zh-CN"/>
        </w:rPr>
        <w:t>（师市生态环境局、公安局、交通运输局、应急管理局按职责分工负责）</w:t>
      </w:r>
    </w:p>
    <w:p w14:paraId="7184C3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（五）布局“无废城市”精细化建设</w:t>
      </w:r>
    </w:p>
    <w:p w14:paraId="0391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Times New Roman" w:hAnsi="Times New Roman" w:eastAsia="仿宋_GB2312" w:cs="仿宋_GB2312"/>
          <w:sz w:val="32"/>
          <w:szCs w:val="32"/>
          <w:lang w:val="en-US" w:eastAsia="zh-CN"/>
        </w:rPr>
        <w:t>持续开展</w:t>
      </w:r>
      <w:r>
        <w:rPr>
          <w:rFonts w:hint="eastAsia" w:ascii="Times New Roman" w:hAnsi="Times New Roman" w:eastAsia="仿宋_GB2312" w:cs="仿宋_GB2312"/>
          <w:sz w:val="32"/>
          <w:szCs w:val="32"/>
          <w:lang w:val="en-US" w:eastAsia="zh-CN"/>
        </w:rPr>
        <w:t>“无废城市”</w:t>
      </w:r>
      <w:r>
        <w:rPr>
          <w:rFonts w:hint="default" w:ascii="Times New Roman" w:hAnsi="Times New Roman" w:eastAsia="仿宋_GB2312" w:cs="仿宋_GB2312"/>
          <w:sz w:val="32"/>
          <w:szCs w:val="32"/>
          <w:lang w:val="en-US" w:eastAsia="zh-CN"/>
        </w:rPr>
        <w:t>试点基础设施建设，打造</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无废机关</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无废学校</w:t>
      </w:r>
      <w:r>
        <w:rPr>
          <w:rFonts w:hint="eastAsia" w:ascii="Times New Roman" w:hAnsi="Times New Roman" w:eastAsia="仿宋_GB2312" w:cs="仿宋_GB2312"/>
          <w:sz w:val="32"/>
          <w:szCs w:val="32"/>
          <w:lang w:val="en-US" w:eastAsia="zh-CN"/>
        </w:rPr>
        <w:t>”“无废医院”“无废小区”“无废景区”“</w:t>
      </w:r>
      <w:r>
        <w:rPr>
          <w:rFonts w:hint="default" w:ascii="Times New Roman" w:hAnsi="Times New Roman" w:eastAsia="仿宋_GB2312" w:cs="仿宋_GB2312"/>
          <w:sz w:val="32"/>
          <w:szCs w:val="32"/>
          <w:lang w:val="en-US" w:eastAsia="zh-CN"/>
        </w:rPr>
        <w:t>无废社区</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等，以点带面推行</w:t>
      </w:r>
      <w:r>
        <w:rPr>
          <w:rFonts w:hint="eastAsia" w:ascii="Times New Roman" w:hAnsi="Times New Roman" w:eastAsia="仿宋_GB2312" w:cs="仿宋_GB2312"/>
          <w:sz w:val="32"/>
          <w:szCs w:val="32"/>
          <w:lang w:val="en-US" w:eastAsia="zh-CN"/>
        </w:rPr>
        <w:t>“无废细胞”建设</w:t>
      </w:r>
      <w:r>
        <w:rPr>
          <w:rFonts w:hint="default"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因地制宜率先确定一批机关、学校、医院、小区等，作为“无废细胞”建设试点，不同类型的“细胞”聚焦各自领域的固体废物管理重点，通过优化生产工艺、设置再生资源回收点、推广绿色采购、电子化办公和循环教材等方式，逐步推动整个社会向绿色、低碳、循环的方向发展。</w:t>
      </w:r>
      <w:r>
        <w:rPr>
          <w:rFonts w:hint="eastAsia" w:ascii="楷体_GB2312" w:hAnsi="楷体_GB2312" w:eastAsia="楷体_GB2312" w:cs="楷体_GB2312"/>
          <w:sz w:val="32"/>
          <w:szCs w:val="32"/>
          <w:lang w:val="en-US" w:eastAsia="zh-CN"/>
        </w:rPr>
        <w:t>（师市机关党工委，师市教育局、卫健委、住建局、文旅局等按职责分工负责）</w:t>
      </w:r>
    </w:p>
    <w:p w14:paraId="30454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五、保障措施</w:t>
      </w:r>
    </w:p>
    <w:p w14:paraId="598EF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（一）加强组织领导，建立有效协调机制。</w:t>
      </w:r>
      <w:r>
        <w:rPr>
          <w:rFonts w:hint="eastAsia" w:ascii="Times New Roman" w:hAnsi="Times New Roman" w:eastAsia="仿宋_GB2312" w:cs="仿宋_GB2312"/>
          <w:sz w:val="32"/>
          <w:szCs w:val="32"/>
          <w:lang w:val="en-US" w:eastAsia="zh-CN"/>
        </w:rPr>
        <w:t>加强“无废城市”建设指标考核，厘清各类固体废物产生、收集、贮存、运输、利用处置等环节部门监管职责，强化兵地协同治理，形成分工明确、权责清晰的综合治理机制体制，推动各项工作落地见效。</w:t>
      </w:r>
    </w:p>
    <w:p w14:paraId="1BDB4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（二）加大金融支持，多渠道筹措资金。</w:t>
      </w:r>
      <w:r>
        <w:rPr>
          <w:rFonts w:hint="eastAsia" w:ascii="Times New Roman" w:hAnsi="Times New Roman" w:eastAsia="仿宋_GB2312" w:cs="仿宋_GB2312"/>
          <w:sz w:val="32"/>
          <w:szCs w:val="32"/>
          <w:lang w:val="en-US" w:eastAsia="zh-CN"/>
        </w:rPr>
        <w:t>强化财政资金统筹整合力度，鼓励金融机构加大对“无废城市”建设的金融支持力度。加强“无废城市”建设市场化投融资机制和商业模式探索，激发市场活力。鼓励帮助符合条件的项目积极争取国家及兵团财政专项资金支持。</w:t>
      </w:r>
    </w:p>
    <w:p w14:paraId="049561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（三）加强宣传引导，提高群众认知。</w:t>
      </w:r>
      <w:r>
        <w:rPr>
          <w:rFonts w:hint="eastAsia" w:ascii="Times New Roman" w:hAnsi="Times New Roman" w:eastAsia="仿宋_GB2312" w:cs="仿宋_GB2312"/>
          <w:sz w:val="32"/>
          <w:szCs w:val="32"/>
          <w:lang w:val="en-US" w:eastAsia="zh-CN"/>
        </w:rPr>
        <w:t>充分发挥媒体优势，结合“全民国家安全教育日”“世界环境日”等主题活动以及各类公共文化服务活动，通过报刊、广播电视、微信、微博等多种渠道，广泛开展“无废城市”建设报道，宣传“无废”理念，提升公众生态文明意识，推动形成简约适度、绿色低碳、文明健康的生活方式和消费模式。</w:t>
      </w:r>
    </w:p>
    <w:p w14:paraId="716AEC5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仿宋_GB2312"/>
          <w:sz w:val="32"/>
          <w:szCs w:val="32"/>
          <w:lang w:val="en-US" w:eastAsia="zh-CN"/>
        </w:rPr>
      </w:pPr>
    </w:p>
    <w:p w14:paraId="4183D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w:t>
      </w:r>
      <w:r>
        <w:rPr>
          <w:rFonts w:hint="eastAsia" w:ascii="Times New Roman" w:hAnsi="Times New Roman" w:eastAsia="仿宋_GB2312" w:cs="仿宋_GB2312"/>
          <w:spacing w:val="-6"/>
          <w:sz w:val="32"/>
          <w:szCs w:val="32"/>
          <w:lang w:val="en-US" w:eastAsia="zh-CN"/>
        </w:rPr>
        <w:t>第五师双河市“无废城市”任务清单及进度安排</w:t>
      </w:r>
    </w:p>
    <w:p w14:paraId="169E861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2.第五师双河市“无废城市”工程清单</w:t>
      </w:r>
    </w:p>
    <w:p w14:paraId="3D5FD43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3.第五师双河市“无废城市”指标体系</w:t>
      </w:r>
    </w:p>
    <w:p w14:paraId="44CC1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724AC6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14:paraId="39C3FA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6F0777EB">
      <w:pPr>
        <w:keepNext w:val="0"/>
        <w:keepLines w:val="0"/>
        <w:widowControl/>
        <w:suppressLineNumbers w:val="0"/>
        <w:jc w:val="center"/>
        <w:rPr>
          <w:rFonts w:hint="eastAsia" w:ascii="方正小标宋简体" w:hAnsi="方正小标宋简体" w:eastAsia="方正小标宋简体" w:cs="方正小标宋简体"/>
          <w:sz w:val="16"/>
          <w:szCs w:val="16"/>
          <w:lang w:val="en-US" w:eastAsia="zh-CN"/>
        </w:rPr>
      </w:pPr>
    </w:p>
    <w:p w14:paraId="370FC03D">
      <w:pPr>
        <w:keepNext w:val="0"/>
        <w:keepLines w:val="0"/>
        <w:widowControl/>
        <w:suppressLineNumbers w:val="0"/>
        <w:jc w:val="center"/>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sz w:val="40"/>
          <w:szCs w:val="40"/>
          <w:lang w:val="en-US" w:eastAsia="zh-CN"/>
        </w:rPr>
        <w:t>第五师双河市“无废城市”</w:t>
      </w:r>
      <w:r>
        <w:rPr>
          <w:rFonts w:hint="eastAsia" w:ascii="方正小标宋简体" w:hAnsi="方正小标宋简体" w:eastAsia="方正小标宋简体" w:cs="方正小标宋简体"/>
          <w:color w:val="000000"/>
          <w:kern w:val="0"/>
          <w:sz w:val="40"/>
          <w:szCs w:val="40"/>
          <w:lang w:val="en-US" w:eastAsia="zh-CN" w:bidi="ar"/>
        </w:rPr>
        <w:t>任务清单及进度安排</w:t>
      </w:r>
    </w:p>
    <w:p w14:paraId="6EC51DDE">
      <w:pPr>
        <w:keepNext w:val="0"/>
        <w:keepLines w:val="0"/>
        <w:widowControl/>
        <w:suppressLineNumbers w:val="0"/>
        <w:jc w:val="center"/>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（制度体系建设）</w:t>
      </w:r>
    </w:p>
    <w:tbl>
      <w:tblPr>
        <w:tblStyle w:val="5"/>
        <w:tblpPr w:leftFromText="180" w:rightFromText="180" w:vertAnchor="text" w:horzAnchor="page" w:tblpX="1519" w:tblpY="2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7571"/>
        <w:gridCol w:w="3040"/>
        <w:gridCol w:w="2121"/>
      </w:tblGrid>
      <w:tr w14:paraId="6C51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5B787A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序号</w:t>
            </w:r>
          </w:p>
        </w:tc>
        <w:tc>
          <w:tcPr>
            <w:tcW w:w="7571" w:type="dxa"/>
          </w:tcPr>
          <w:p w14:paraId="684908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工作目标及内容</w:t>
            </w:r>
          </w:p>
        </w:tc>
        <w:tc>
          <w:tcPr>
            <w:tcW w:w="3040" w:type="dxa"/>
          </w:tcPr>
          <w:p w14:paraId="36C1F7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责任单位</w:t>
            </w:r>
          </w:p>
        </w:tc>
        <w:tc>
          <w:tcPr>
            <w:tcW w:w="2121" w:type="dxa"/>
          </w:tcPr>
          <w:p w14:paraId="7E2C26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0"/>
                <w:szCs w:val="30"/>
                <w:vertAlign w:val="baseline"/>
                <w:lang w:val="en-US" w:eastAsia="zh-CN"/>
              </w:rPr>
            </w:pPr>
            <w:r>
              <w:rPr>
                <w:rFonts w:hint="eastAsia" w:ascii="黑体" w:hAnsi="黑体" w:eastAsia="黑体" w:cs="黑体"/>
                <w:b w:val="0"/>
                <w:bCs w:val="0"/>
                <w:sz w:val="30"/>
                <w:szCs w:val="30"/>
                <w:vertAlign w:val="baseline"/>
                <w:lang w:val="en-US" w:eastAsia="zh-CN"/>
              </w:rPr>
              <w:t>完成时限</w:t>
            </w:r>
          </w:p>
        </w:tc>
      </w:tr>
      <w:tr w14:paraId="3222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42" w:type="dxa"/>
          </w:tcPr>
          <w:p w14:paraId="43987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w:t>
            </w:r>
          </w:p>
        </w:tc>
        <w:tc>
          <w:tcPr>
            <w:tcW w:w="7571" w:type="dxa"/>
          </w:tcPr>
          <w:p w14:paraId="52A6A1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探索建立一套适合师市的固体废物统计制度。</w:t>
            </w:r>
          </w:p>
        </w:tc>
        <w:tc>
          <w:tcPr>
            <w:tcW w:w="3040" w:type="dxa"/>
          </w:tcPr>
          <w:p w14:paraId="056083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师市党委环委会办公室</w:t>
            </w:r>
          </w:p>
        </w:tc>
        <w:tc>
          <w:tcPr>
            <w:tcW w:w="2121" w:type="dxa"/>
          </w:tcPr>
          <w:p w14:paraId="02CA13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2030</w:t>
            </w:r>
            <w:r>
              <w:rPr>
                <w:rFonts w:hint="eastAsia" w:ascii="仿宋_GB2312" w:hAnsi="仿宋_GB2312" w:eastAsia="仿宋_GB2312" w:cs="仿宋_GB2312"/>
                <w:sz w:val="24"/>
                <w:szCs w:val="24"/>
                <w:vertAlign w:val="baseline"/>
                <w:lang w:val="en-US" w:eastAsia="zh-CN"/>
              </w:rPr>
              <w:t>年</w:t>
            </w:r>
          </w:p>
        </w:tc>
      </w:tr>
      <w:tr w14:paraId="455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5969A7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w:t>
            </w:r>
          </w:p>
        </w:tc>
        <w:tc>
          <w:tcPr>
            <w:tcW w:w="7571" w:type="dxa"/>
          </w:tcPr>
          <w:p w14:paraId="3DD2DBB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稳步推进碳达峰碳中和工作，推动实施《第五师双河市碳达峰实施</w:t>
            </w:r>
          </w:p>
          <w:p w14:paraId="63F6F68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方案》。</w:t>
            </w:r>
          </w:p>
        </w:tc>
        <w:tc>
          <w:tcPr>
            <w:tcW w:w="3040" w:type="dxa"/>
          </w:tcPr>
          <w:p w14:paraId="764208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师市发改委、工信局、</w:t>
            </w:r>
          </w:p>
          <w:p w14:paraId="2E632B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生态环境局</w:t>
            </w:r>
          </w:p>
        </w:tc>
        <w:tc>
          <w:tcPr>
            <w:tcW w:w="2121" w:type="dxa"/>
            <w:vAlign w:val="center"/>
          </w:tcPr>
          <w:p w14:paraId="48939B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持续推进</w:t>
            </w:r>
          </w:p>
        </w:tc>
      </w:tr>
      <w:tr w14:paraId="05B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vAlign w:val="center"/>
          </w:tcPr>
          <w:p w14:paraId="29305D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w:t>
            </w:r>
          </w:p>
        </w:tc>
        <w:tc>
          <w:tcPr>
            <w:tcW w:w="7571" w:type="dxa"/>
            <w:vAlign w:val="center"/>
          </w:tcPr>
          <w:p w14:paraId="5E4397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按年度制定《第五师双河市危险废物规范化环境管理评估工作方案》。</w:t>
            </w:r>
          </w:p>
        </w:tc>
        <w:tc>
          <w:tcPr>
            <w:tcW w:w="3040" w:type="dxa"/>
            <w:vAlign w:val="center"/>
          </w:tcPr>
          <w:p w14:paraId="0BE8342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师市生态环境局</w:t>
            </w:r>
          </w:p>
        </w:tc>
        <w:tc>
          <w:tcPr>
            <w:tcW w:w="2121" w:type="dxa"/>
            <w:vAlign w:val="center"/>
          </w:tcPr>
          <w:p w14:paraId="627A69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持续推进</w:t>
            </w:r>
          </w:p>
        </w:tc>
      </w:tr>
      <w:tr w14:paraId="10C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14:paraId="3818DF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w:t>
            </w:r>
          </w:p>
        </w:tc>
        <w:tc>
          <w:tcPr>
            <w:tcW w:w="7571" w:type="dxa"/>
            <w:vAlign w:val="center"/>
          </w:tcPr>
          <w:p w14:paraId="1DB1CB3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加快完善师市生活垃圾分类管理办法等配套政策，形成政府主导、部门推动、全民参与的生活垃圾分类组织机制。</w:t>
            </w:r>
          </w:p>
        </w:tc>
        <w:tc>
          <w:tcPr>
            <w:tcW w:w="3040" w:type="dxa"/>
            <w:vAlign w:val="center"/>
          </w:tcPr>
          <w:p w14:paraId="14D987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师市住建局、发改委</w:t>
            </w:r>
          </w:p>
        </w:tc>
        <w:tc>
          <w:tcPr>
            <w:tcW w:w="2121" w:type="dxa"/>
            <w:vAlign w:val="center"/>
          </w:tcPr>
          <w:p w14:paraId="17FDC3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持续推进</w:t>
            </w:r>
          </w:p>
        </w:tc>
      </w:tr>
      <w:tr w14:paraId="3A45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vAlign w:val="center"/>
          </w:tcPr>
          <w:p w14:paraId="295D2B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w:t>
            </w:r>
          </w:p>
        </w:tc>
        <w:tc>
          <w:tcPr>
            <w:tcW w:w="7571" w:type="dxa"/>
          </w:tcPr>
          <w:p w14:paraId="4294CFB4">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研究制定“无废细胞”相关标准，开展“无废机关”“无废集贸市场”“无废商场”“无废景区”等多种“无废细胞”培育和创建工作。</w:t>
            </w:r>
          </w:p>
        </w:tc>
        <w:tc>
          <w:tcPr>
            <w:tcW w:w="3040" w:type="dxa"/>
            <w:vAlign w:val="center"/>
          </w:tcPr>
          <w:p w14:paraId="3DF012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师市党委环委会办公室</w:t>
            </w:r>
          </w:p>
        </w:tc>
        <w:tc>
          <w:tcPr>
            <w:tcW w:w="2121" w:type="dxa"/>
            <w:vAlign w:val="center"/>
          </w:tcPr>
          <w:p w14:paraId="5872FB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持续推进</w:t>
            </w:r>
          </w:p>
        </w:tc>
      </w:tr>
      <w:tr w14:paraId="3D8E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2" w:type="dxa"/>
          </w:tcPr>
          <w:p w14:paraId="7F0279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w:t>
            </w:r>
          </w:p>
        </w:tc>
        <w:tc>
          <w:tcPr>
            <w:tcW w:w="7571" w:type="dxa"/>
          </w:tcPr>
          <w:p w14:paraId="725F7C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建立绿色工厂、绿色园区创建推动工作机制。</w:t>
            </w:r>
          </w:p>
        </w:tc>
        <w:tc>
          <w:tcPr>
            <w:tcW w:w="3040" w:type="dxa"/>
          </w:tcPr>
          <w:p w14:paraId="383FF2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师市工信局</w:t>
            </w:r>
          </w:p>
        </w:tc>
        <w:tc>
          <w:tcPr>
            <w:tcW w:w="2121" w:type="dxa"/>
            <w:vAlign w:val="center"/>
          </w:tcPr>
          <w:p w14:paraId="1B530E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持续推进</w:t>
            </w:r>
          </w:p>
        </w:tc>
      </w:tr>
    </w:tbl>
    <w:p w14:paraId="763858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14:paraId="592C4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lang w:val="en-US" w:eastAsia="zh-CN"/>
        </w:rPr>
      </w:pPr>
      <w:r>
        <w:rPr>
          <w:rFonts w:hint="eastAsia" w:ascii="方正小标宋简体" w:hAnsi="方正小标宋简体" w:eastAsia="方正小标宋简体" w:cs="方正小标宋简体"/>
          <w:color w:val="000000"/>
          <w:kern w:val="0"/>
          <w:sz w:val="36"/>
          <w:szCs w:val="36"/>
          <w:lang w:val="en-US" w:eastAsia="zh-CN" w:bidi="ar"/>
        </w:rPr>
        <w:t>（技术体系建设）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40"/>
        <w:gridCol w:w="1850"/>
        <w:gridCol w:w="3720"/>
        <w:gridCol w:w="2370"/>
        <w:gridCol w:w="2090"/>
        <w:gridCol w:w="1352"/>
      </w:tblGrid>
      <w:tr w14:paraId="0630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2" w:type="dxa"/>
            <w:vAlign w:val="center"/>
          </w:tcPr>
          <w:p w14:paraId="6FE6B3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1840" w:type="dxa"/>
            <w:vAlign w:val="center"/>
          </w:tcPr>
          <w:p w14:paraId="445D8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类别</w:t>
            </w:r>
          </w:p>
        </w:tc>
        <w:tc>
          <w:tcPr>
            <w:tcW w:w="1850" w:type="dxa"/>
            <w:vAlign w:val="center"/>
          </w:tcPr>
          <w:p w14:paraId="3C30B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名称</w:t>
            </w:r>
          </w:p>
        </w:tc>
        <w:tc>
          <w:tcPr>
            <w:tcW w:w="3720" w:type="dxa"/>
            <w:vAlign w:val="center"/>
          </w:tcPr>
          <w:p w14:paraId="1188F6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内容</w:t>
            </w:r>
          </w:p>
        </w:tc>
        <w:tc>
          <w:tcPr>
            <w:tcW w:w="2370" w:type="dxa"/>
            <w:vAlign w:val="center"/>
          </w:tcPr>
          <w:p w14:paraId="08E054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预期效果</w:t>
            </w:r>
          </w:p>
        </w:tc>
        <w:tc>
          <w:tcPr>
            <w:tcW w:w="2090" w:type="dxa"/>
            <w:vAlign w:val="center"/>
          </w:tcPr>
          <w:p w14:paraId="24AD60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责任单位</w:t>
            </w:r>
          </w:p>
        </w:tc>
        <w:tc>
          <w:tcPr>
            <w:tcW w:w="1352" w:type="dxa"/>
            <w:vAlign w:val="center"/>
          </w:tcPr>
          <w:p w14:paraId="4F0E81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完成时限</w:t>
            </w:r>
          </w:p>
        </w:tc>
      </w:tr>
      <w:tr w14:paraId="604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52" w:type="dxa"/>
            <w:vAlign w:val="center"/>
          </w:tcPr>
          <w:p w14:paraId="62331A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w:t>
            </w:r>
          </w:p>
        </w:tc>
        <w:tc>
          <w:tcPr>
            <w:tcW w:w="1840" w:type="dxa"/>
            <w:vMerge w:val="restart"/>
            <w:vAlign w:val="center"/>
          </w:tcPr>
          <w:p w14:paraId="2C9A58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农业废弃物</w:t>
            </w:r>
          </w:p>
          <w:p w14:paraId="7B579E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资源化利用</w:t>
            </w:r>
          </w:p>
        </w:tc>
        <w:tc>
          <w:tcPr>
            <w:tcW w:w="1850" w:type="dxa"/>
            <w:vAlign w:val="center"/>
          </w:tcPr>
          <w:p w14:paraId="5D1A47A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畜禽粪污资源化利用、种养结合技术模式</w:t>
            </w:r>
          </w:p>
        </w:tc>
        <w:tc>
          <w:tcPr>
            <w:tcW w:w="3720" w:type="dxa"/>
            <w:vAlign w:val="center"/>
          </w:tcPr>
          <w:p w14:paraId="3A57CF5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实施种养结合循环农业示范工程，探索“有机废物循环养地利用—培育健康土壤—优质有机农产品生产”的全链条闭环的有机废物资源化与面源污染控制产业化模式。</w:t>
            </w:r>
          </w:p>
        </w:tc>
        <w:tc>
          <w:tcPr>
            <w:tcW w:w="2370" w:type="dxa"/>
            <w:vAlign w:val="center"/>
          </w:tcPr>
          <w:p w14:paraId="521582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提升畜禽粪污资源化利用水平，带动师市绿色有机种植业发展。</w:t>
            </w:r>
          </w:p>
        </w:tc>
        <w:tc>
          <w:tcPr>
            <w:tcW w:w="2090" w:type="dxa"/>
            <w:vAlign w:val="center"/>
          </w:tcPr>
          <w:p w14:paraId="128153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师市农业农村局、生态环境局</w:t>
            </w:r>
          </w:p>
        </w:tc>
        <w:tc>
          <w:tcPr>
            <w:tcW w:w="1352" w:type="dxa"/>
            <w:vAlign w:val="center"/>
          </w:tcPr>
          <w:p w14:paraId="4EF700D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2030年</w:t>
            </w:r>
          </w:p>
        </w:tc>
      </w:tr>
      <w:tr w14:paraId="51E8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952" w:type="dxa"/>
            <w:vAlign w:val="center"/>
          </w:tcPr>
          <w:p w14:paraId="7A3988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w:t>
            </w:r>
          </w:p>
        </w:tc>
        <w:tc>
          <w:tcPr>
            <w:tcW w:w="1840" w:type="dxa"/>
            <w:vMerge w:val="continue"/>
            <w:vAlign w:val="center"/>
          </w:tcPr>
          <w:p w14:paraId="6D0595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p>
        </w:tc>
        <w:tc>
          <w:tcPr>
            <w:tcW w:w="1850" w:type="dxa"/>
            <w:vAlign w:val="center"/>
          </w:tcPr>
          <w:p w14:paraId="5E3DBEB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大力推广秸秆还田新技术</w:t>
            </w:r>
          </w:p>
        </w:tc>
        <w:tc>
          <w:tcPr>
            <w:tcW w:w="3720" w:type="dxa"/>
            <w:vAlign w:val="center"/>
          </w:tcPr>
          <w:p w14:paraId="3D54A6E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探索推广先进秸秆还田机械和落实配套生物腐熟技术。</w:t>
            </w:r>
          </w:p>
        </w:tc>
        <w:tc>
          <w:tcPr>
            <w:tcW w:w="2370" w:type="dxa"/>
            <w:vAlign w:val="center"/>
          </w:tcPr>
          <w:p w14:paraId="6E47F4C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提升秸秆资源化利用水平。</w:t>
            </w:r>
          </w:p>
        </w:tc>
        <w:tc>
          <w:tcPr>
            <w:tcW w:w="2090" w:type="dxa"/>
            <w:vAlign w:val="center"/>
          </w:tcPr>
          <w:p w14:paraId="662683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师市农业农村局、生态环境局</w:t>
            </w:r>
          </w:p>
        </w:tc>
        <w:tc>
          <w:tcPr>
            <w:tcW w:w="1352" w:type="dxa"/>
            <w:vAlign w:val="center"/>
          </w:tcPr>
          <w:p w14:paraId="367C651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2112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952" w:type="dxa"/>
            <w:vAlign w:val="center"/>
          </w:tcPr>
          <w:p w14:paraId="46AED1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w:t>
            </w:r>
          </w:p>
        </w:tc>
        <w:tc>
          <w:tcPr>
            <w:tcW w:w="1840" w:type="dxa"/>
            <w:vMerge w:val="restart"/>
            <w:vAlign w:val="center"/>
          </w:tcPr>
          <w:p w14:paraId="1A797C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农业废弃物</w:t>
            </w:r>
          </w:p>
          <w:p w14:paraId="3D30E82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源头减量</w:t>
            </w:r>
          </w:p>
        </w:tc>
        <w:tc>
          <w:tcPr>
            <w:tcW w:w="1850" w:type="dxa"/>
            <w:vAlign w:val="center"/>
          </w:tcPr>
          <w:p w14:paraId="0F84110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化肥减量使用技术</w:t>
            </w:r>
          </w:p>
        </w:tc>
        <w:tc>
          <w:tcPr>
            <w:tcW w:w="3720" w:type="dxa"/>
            <w:vAlign w:val="center"/>
          </w:tcPr>
          <w:p w14:paraId="421889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推进畜禽粪便生产有机肥利用，引导和鼓励农民应用缓释肥料、水溶肥料、生物有机肥等高效、新型肥料。</w:t>
            </w:r>
          </w:p>
        </w:tc>
        <w:tc>
          <w:tcPr>
            <w:tcW w:w="2370" w:type="dxa"/>
            <w:vAlign w:val="center"/>
          </w:tcPr>
          <w:p w14:paraId="7B0550B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实现化肥使用量零增长。</w:t>
            </w:r>
          </w:p>
        </w:tc>
        <w:tc>
          <w:tcPr>
            <w:tcW w:w="2090" w:type="dxa"/>
            <w:vMerge w:val="restart"/>
            <w:vAlign w:val="center"/>
          </w:tcPr>
          <w:p w14:paraId="30204F7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52" w:type="dxa"/>
            <w:vAlign w:val="center"/>
          </w:tcPr>
          <w:p w14:paraId="19F137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32AA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52" w:type="dxa"/>
            <w:vAlign w:val="center"/>
          </w:tcPr>
          <w:p w14:paraId="07E177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w:t>
            </w:r>
          </w:p>
        </w:tc>
        <w:tc>
          <w:tcPr>
            <w:tcW w:w="1840" w:type="dxa"/>
            <w:vMerge w:val="continue"/>
            <w:vAlign w:val="center"/>
          </w:tcPr>
          <w:p w14:paraId="25F7792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p>
        </w:tc>
        <w:tc>
          <w:tcPr>
            <w:tcW w:w="1850" w:type="dxa"/>
            <w:vAlign w:val="center"/>
          </w:tcPr>
          <w:p w14:paraId="7C7F2CC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农药减量使用技术</w:t>
            </w:r>
          </w:p>
        </w:tc>
        <w:tc>
          <w:tcPr>
            <w:tcW w:w="3720" w:type="dxa"/>
            <w:vAlign w:val="center"/>
          </w:tcPr>
          <w:p w14:paraId="14406627">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大力推广农业病虫绿色防控技术，加大现代高效植保机械和生物农药、高效低残留农药安全科学使用推广应用力度。</w:t>
            </w:r>
          </w:p>
        </w:tc>
        <w:tc>
          <w:tcPr>
            <w:tcW w:w="2370" w:type="dxa"/>
            <w:vAlign w:val="center"/>
          </w:tcPr>
          <w:p w14:paraId="7AEE82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达到农药使用量零增长。</w:t>
            </w:r>
          </w:p>
        </w:tc>
        <w:tc>
          <w:tcPr>
            <w:tcW w:w="2090" w:type="dxa"/>
            <w:vMerge w:val="continue"/>
            <w:vAlign w:val="center"/>
          </w:tcPr>
          <w:p w14:paraId="6CDE328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p>
        </w:tc>
        <w:tc>
          <w:tcPr>
            <w:tcW w:w="1352" w:type="dxa"/>
            <w:vAlign w:val="center"/>
          </w:tcPr>
          <w:p w14:paraId="2504D1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393D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52" w:type="dxa"/>
            <w:vAlign w:val="center"/>
          </w:tcPr>
          <w:p w14:paraId="402C18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w:t>
            </w:r>
          </w:p>
        </w:tc>
        <w:tc>
          <w:tcPr>
            <w:tcW w:w="1840" w:type="dxa"/>
            <w:vAlign w:val="center"/>
          </w:tcPr>
          <w:p w14:paraId="4903E11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生活垃圾</w:t>
            </w:r>
          </w:p>
          <w:p w14:paraId="5BF90A5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资源化利用</w:t>
            </w:r>
          </w:p>
        </w:tc>
        <w:tc>
          <w:tcPr>
            <w:tcW w:w="1850" w:type="dxa"/>
            <w:vAlign w:val="center"/>
          </w:tcPr>
          <w:p w14:paraId="3E285C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连队分类垃圾就近资源化利用技术体系</w:t>
            </w:r>
          </w:p>
        </w:tc>
        <w:tc>
          <w:tcPr>
            <w:tcW w:w="3720" w:type="dxa"/>
            <w:vAlign w:val="center"/>
          </w:tcPr>
          <w:p w14:paraId="2A3EC43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推动连队生活垃圾源头减量、就近处理和资源化利用。</w:t>
            </w:r>
          </w:p>
        </w:tc>
        <w:tc>
          <w:tcPr>
            <w:tcW w:w="2370" w:type="dxa"/>
            <w:vAlign w:val="center"/>
          </w:tcPr>
          <w:p w14:paraId="6CDE7B8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逐步建立连队分类生活垃圾就近资源化利用技术体系。</w:t>
            </w:r>
          </w:p>
        </w:tc>
        <w:tc>
          <w:tcPr>
            <w:tcW w:w="2090" w:type="dxa"/>
            <w:vAlign w:val="center"/>
          </w:tcPr>
          <w:p w14:paraId="69E8145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师市住建局、</w:t>
            </w:r>
          </w:p>
          <w:p w14:paraId="2BB8AC1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农业农村局</w:t>
            </w:r>
          </w:p>
        </w:tc>
        <w:tc>
          <w:tcPr>
            <w:tcW w:w="1352" w:type="dxa"/>
            <w:vAlign w:val="center"/>
          </w:tcPr>
          <w:p w14:paraId="2F7AD1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07D3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52" w:type="dxa"/>
            <w:vAlign w:val="center"/>
          </w:tcPr>
          <w:p w14:paraId="1EA900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w:t>
            </w:r>
          </w:p>
        </w:tc>
        <w:tc>
          <w:tcPr>
            <w:tcW w:w="1840" w:type="dxa"/>
            <w:vAlign w:val="center"/>
          </w:tcPr>
          <w:p w14:paraId="065A8A1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危险废物</w:t>
            </w:r>
          </w:p>
        </w:tc>
        <w:tc>
          <w:tcPr>
            <w:tcW w:w="1850" w:type="dxa"/>
            <w:vAlign w:val="center"/>
          </w:tcPr>
          <w:p w14:paraId="6205369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加强危险废物信息化监管</w:t>
            </w:r>
          </w:p>
        </w:tc>
        <w:tc>
          <w:tcPr>
            <w:tcW w:w="3720" w:type="dxa"/>
            <w:vAlign w:val="center"/>
          </w:tcPr>
          <w:p w14:paraId="0C92C23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探索形成危险废物“产生+集中转运+处置+全面安全管控”技术。</w:t>
            </w:r>
          </w:p>
        </w:tc>
        <w:tc>
          <w:tcPr>
            <w:tcW w:w="2370" w:type="dxa"/>
            <w:vAlign w:val="center"/>
          </w:tcPr>
          <w:p w14:paraId="0DE12CE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危险废物信息化管理进一步强化。</w:t>
            </w:r>
          </w:p>
        </w:tc>
        <w:tc>
          <w:tcPr>
            <w:tcW w:w="2090" w:type="dxa"/>
            <w:vAlign w:val="center"/>
          </w:tcPr>
          <w:p w14:paraId="502D8E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师市生态环境局</w:t>
            </w:r>
          </w:p>
        </w:tc>
        <w:tc>
          <w:tcPr>
            <w:tcW w:w="1352" w:type="dxa"/>
            <w:vAlign w:val="center"/>
          </w:tcPr>
          <w:p w14:paraId="6BC6B4A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bl>
    <w:p w14:paraId="486709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63D6EB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0ED805CF">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70567D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lang w:val="en-US" w:eastAsia="zh-CN"/>
        </w:rPr>
      </w:pPr>
      <w:r>
        <w:rPr>
          <w:rFonts w:hint="eastAsia" w:ascii="方正小标宋简体" w:hAnsi="方正小标宋简体" w:eastAsia="方正小标宋简体" w:cs="方正小标宋简体"/>
          <w:color w:val="000000"/>
          <w:kern w:val="0"/>
          <w:sz w:val="36"/>
          <w:szCs w:val="36"/>
          <w:lang w:val="en-US" w:eastAsia="zh-CN" w:bidi="ar"/>
        </w:rPr>
        <w:t>（市场体系建设）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840"/>
        <w:gridCol w:w="1850"/>
        <w:gridCol w:w="3720"/>
        <w:gridCol w:w="2370"/>
        <w:gridCol w:w="2081"/>
        <w:gridCol w:w="1361"/>
      </w:tblGrid>
      <w:tr w14:paraId="703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2" w:type="dxa"/>
            <w:vAlign w:val="center"/>
          </w:tcPr>
          <w:p w14:paraId="33CF42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1840" w:type="dxa"/>
            <w:vAlign w:val="center"/>
          </w:tcPr>
          <w:p w14:paraId="563034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类别</w:t>
            </w:r>
          </w:p>
        </w:tc>
        <w:tc>
          <w:tcPr>
            <w:tcW w:w="1850" w:type="dxa"/>
            <w:vAlign w:val="center"/>
          </w:tcPr>
          <w:p w14:paraId="6256F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名称</w:t>
            </w:r>
          </w:p>
        </w:tc>
        <w:tc>
          <w:tcPr>
            <w:tcW w:w="3720" w:type="dxa"/>
            <w:vAlign w:val="center"/>
          </w:tcPr>
          <w:p w14:paraId="79CB32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内容</w:t>
            </w:r>
          </w:p>
        </w:tc>
        <w:tc>
          <w:tcPr>
            <w:tcW w:w="2370" w:type="dxa"/>
            <w:vAlign w:val="center"/>
          </w:tcPr>
          <w:p w14:paraId="01359B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预期效果</w:t>
            </w:r>
          </w:p>
        </w:tc>
        <w:tc>
          <w:tcPr>
            <w:tcW w:w="2081" w:type="dxa"/>
            <w:vAlign w:val="center"/>
          </w:tcPr>
          <w:p w14:paraId="5844E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责任单位</w:t>
            </w:r>
          </w:p>
        </w:tc>
        <w:tc>
          <w:tcPr>
            <w:tcW w:w="1361" w:type="dxa"/>
            <w:vAlign w:val="center"/>
          </w:tcPr>
          <w:p w14:paraId="5B8CE2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完成时限</w:t>
            </w:r>
          </w:p>
        </w:tc>
      </w:tr>
      <w:tr w14:paraId="1171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52" w:type="dxa"/>
            <w:vAlign w:val="center"/>
          </w:tcPr>
          <w:p w14:paraId="605AA5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w:t>
            </w:r>
          </w:p>
        </w:tc>
        <w:tc>
          <w:tcPr>
            <w:tcW w:w="1840" w:type="dxa"/>
            <w:vAlign w:val="center"/>
          </w:tcPr>
          <w:p w14:paraId="301AA8A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default" w:ascii="Times New Roman" w:hAnsi="Times New Roman" w:eastAsia="仿宋_GB2312" w:cs="仿宋_GB2312"/>
                <w:sz w:val="24"/>
                <w:szCs w:val="24"/>
                <w:vertAlign w:val="baseline"/>
                <w:lang w:val="en-US" w:eastAsia="zh-CN"/>
              </w:rPr>
              <w:t>再生资源</w:t>
            </w:r>
          </w:p>
          <w:p w14:paraId="74A6EA6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default" w:ascii="Times New Roman" w:hAnsi="Times New Roman" w:eastAsia="仿宋_GB2312" w:cs="仿宋_GB2312"/>
                <w:sz w:val="24"/>
                <w:szCs w:val="24"/>
                <w:vertAlign w:val="baseline"/>
                <w:lang w:val="en-US" w:eastAsia="zh-CN"/>
              </w:rPr>
              <w:t>资源化利用</w:t>
            </w:r>
          </w:p>
        </w:tc>
        <w:tc>
          <w:tcPr>
            <w:tcW w:w="1850" w:type="dxa"/>
            <w:vAlign w:val="center"/>
          </w:tcPr>
          <w:p w14:paraId="6BB2E95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再生资源回收体系</w:t>
            </w:r>
          </w:p>
        </w:tc>
        <w:tc>
          <w:tcPr>
            <w:tcW w:w="3720" w:type="dxa"/>
            <w:vAlign w:val="center"/>
          </w:tcPr>
          <w:p w14:paraId="187EE2C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建设师市再生资源回收体系，构建完善的废弃电器电子产品回收、报废汽车等固体废物回收利用体系。</w:t>
            </w:r>
          </w:p>
        </w:tc>
        <w:tc>
          <w:tcPr>
            <w:tcW w:w="2370" w:type="dxa"/>
            <w:vAlign w:val="center"/>
          </w:tcPr>
          <w:p w14:paraId="4F55768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初步建立再生资源回收体系。</w:t>
            </w:r>
          </w:p>
        </w:tc>
        <w:tc>
          <w:tcPr>
            <w:tcW w:w="2081" w:type="dxa"/>
            <w:vAlign w:val="center"/>
          </w:tcPr>
          <w:p w14:paraId="1C49901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师市商务局</w:t>
            </w:r>
          </w:p>
        </w:tc>
        <w:tc>
          <w:tcPr>
            <w:tcW w:w="1361" w:type="dxa"/>
            <w:vAlign w:val="center"/>
          </w:tcPr>
          <w:p w14:paraId="4E64079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2027年</w:t>
            </w:r>
          </w:p>
        </w:tc>
      </w:tr>
      <w:tr w14:paraId="0445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952" w:type="dxa"/>
            <w:vAlign w:val="center"/>
          </w:tcPr>
          <w:p w14:paraId="44559E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w:t>
            </w:r>
          </w:p>
        </w:tc>
        <w:tc>
          <w:tcPr>
            <w:tcW w:w="1840" w:type="dxa"/>
            <w:vAlign w:val="center"/>
          </w:tcPr>
          <w:p w14:paraId="1C352E0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农业废弃物</w:t>
            </w:r>
          </w:p>
          <w:p w14:paraId="33F5575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资源化利用</w:t>
            </w:r>
          </w:p>
        </w:tc>
        <w:tc>
          <w:tcPr>
            <w:tcW w:w="1850" w:type="dxa"/>
            <w:vAlign w:val="center"/>
          </w:tcPr>
          <w:p w14:paraId="5C6C3BC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农业有机废弃物资源化利用联盟</w:t>
            </w:r>
          </w:p>
        </w:tc>
        <w:tc>
          <w:tcPr>
            <w:tcW w:w="3720" w:type="dxa"/>
            <w:vAlign w:val="center"/>
          </w:tcPr>
          <w:p w14:paraId="27FC871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联合有机肥料企业、畜禽养殖企业（合作社）和绿色有机种植企业（合作社、大户）成立双河市有机废弃物资源化利用联盟。</w:t>
            </w:r>
          </w:p>
        </w:tc>
        <w:tc>
          <w:tcPr>
            <w:tcW w:w="2370" w:type="dxa"/>
            <w:vAlign w:val="center"/>
          </w:tcPr>
          <w:p w14:paraId="03B5571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打通循环农业产业链、推进服务升级、搭建沟通平台、落实产品标准，推进博乐农业生态环境建设，形成产业链。</w:t>
            </w:r>
          </w:p>
        </w:tc>
        <w:tc>
          <w:tcPr>
            <w:tcW w:w="2081" w:type="dxa"/>
            <w:vAlign w:val="center"/>
          </w:tcPr>
          <w:p w14:paraId="731590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师市农业农村局、市场监管局、</w:t>
            </w:r>
          </w:p>
          <w:p w14:paraId="2756565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生态环境局</w:t>
            </w:r>
          </w:p>
        </w:tc>
        <w:tc>
          <w:tcPr>
            <w:tcW w:w="1361" w:type="dxa"/>
            <w:vAlign w:val="center"/>
          </w:tcPr>
          <w:p w14:paraId="75A1DB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3D9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52" w:type="dxa"/>
            <w:shd w:val="clear" w:color="auto" w:fill="auto"/>
            <w:vAlign w:val="center"/>
          </w:tcPr>
          <w:p w14:paraId="76BDA8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序号</w:t>
            </w:r>
          </w:p>
        </w:tc>
        <w:tc>
          <w:tcPr>
            <w:tcW w:w="1840" w:type="dxa"/>
            <w:shd w:val="clear" w:color="auto" w:fill="auto"/>
            <w:vAlign w:val="center"/>
          </w:tcPr>
          <w:p w14:paraId="1DE98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类别</w:t>
            </w:r>
          </w:p>
        </w:tc>
        <w:tc>
          <w:tcPr>
            <w:tcW w:w="1850" w:type="dxa"/>
            <w:shd w:val="clear" w:color="auto" w:fill="auto"/>
            <w:vAlign w:val="center"/>
          </w:tcPr>
          <w:p w14:paraId="3BC582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名称</w:t>
            </w:r>
          </w:p>
        </w:tc>
        <w:tc>
          <w:tcPr>
            <w:tcW w:w="3720" w:type="dxa"/>
            <w:shd w:val="clear" w:color="auto" w:fill="auto"/>
            <w:vAlign w:val="center"/>
          </w:tcPr>
          <w:p w14:paraId="460E74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内容</w:t>
            </w:r>
          </w:p>
        </w:tc>
        <w:tc>
          <w:tcPr>
            <w:tcW w:w="2370" w:type="dxa"/>
            <w:shd w:val="clear" w:color="auto" w:fill="auto"/>
            <w:vAlign w:val="center"/>
          </w:tcPr>
          <w:p w14:paraId="74892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预期效果</w:t>
            </w:r>
          </w:p>
        </w:tc>
        <w:tc>
          <w:tcPr>
            <w:tcW w:w="2081" w:type="dxa"/>
            <w:shd w:val="clear" w:color="auto" w:fill="auto"/>
            <w:vAlign w:val="center"/>
          </w:tcPr>
          <w:p w14:paraId="1B6214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责任单位</w:t>
            </w:r>
          </w:p>
        </w:tc>
        <w:tc>
          <w:tcPr>
            <w:tcW w:w="1361" w:type="dxa"/>
            <w:shd w:val="clear" w:color="auto" w:fill="auto"/>
            <w:vAlign w:val="center"/>
          </w:tcPr>
          <w:p w14:paraId="564463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完成时限</w:t>
            </w:r>
          </w:p>
        </w:tc>
      </w:tr>
      <w:tr w14:paraId="5E62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952" w:type="dxa"/>
            <w:shd w:val="clear" w:color="auto" w:fill="auto"/>
            <w:vAlign w:val="center"/>
          </w:tcPr>
          <w:p w14:paraId="24ADC1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w:t>
            </w:r>
          </w:p>
        </w:tc>
        <w:tc>
          <w:tcPr>
            <w:tcW w:w="1840" w:type="dxa"/>
            <w:vMerge w:val="restart"/>
            <w:shd w:val="clear" w:color="auto" w:fill="auto"/>
            <w:vAlign w:val="center"/>
          </w:tcPr>
          <w:p w14:paraId="6226288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农业废弃物</w:t>
            </w:r>
          </w:p>
          <w:p w14:paraId="59716D4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运输体系</w:t>
            </w:r>
          </w:p>
        </w:tc>
        <w:tc>
          <w:tcPr>
            <w:tcW w:w="1850" w:type="dxa"/>
            <w:shd w:val="clear" w:color="auto" w:fill="auto"/>
            <w:vAlign w:val="center"/>
          </w:tcPr>
          <w:p w14:paraId="6F3425A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秸秆收集储运体系</w:t>
            </w:r>
          </w:p>
        </w:tc>
        <w:tc>
          <w:tcPr>
            <w:tcW w:w="3720" w:type="dxa"/>
            <w:shd w:val="clear" w:color="auto" w:fill="auto"/>
            <w:vAlign w:val="center"/>
          </w:tcPr>
          <w:p w14:paraId="7B35FFF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探索建立以团场、连队、企业为主体，以秸秆收储站点为依托的秸秆收集储运体系。</w:t>
            </w:r>
          </w:p>
        </w:tc>
        <w:tc>
          <w:tcPr>
            <w:tcW w:w="2370" w:type="dxa"/>
            <w:shd w:val="clear" w:color="auto" w:fill="auto"/>
            <w:vAlign w:val="center"/>
          </w:tcPr>
          <w:p w14:paraId="18F21AC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建成完善的秸秆收集储运体系。</w:t>
            </w:r>
          </w:p>
        </w:tc>
        <w:tc>
          <w:tcPr>
            <w:tcW w:w="2081" w:type="dxa"/>
            <w:shd w:val="clear" w:color="auto" w:fill="auto"/>
            <w:vAlign w:val="center"/>
          </w:tcPr>
          <w:p w14:paraId="429CD6D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61" w:type="dxa"/>
            <w:shd w:val="clear" w:color="auto" w:fill="auto"/>
            <w:vAlign w:val="center"/>
          </w:tcPr>
          <w:p w14:paraId="574555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2027年</w:t>
            </w:r>
          </w:p>
        </w:tc>
      </w:tr>
      <w:tr w14:paraId="3DC4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952" w:type="dxa"/>
            <w:shd w:val="clear" w:color="auto" w:fill="auto"/>
            <w:vAlign w:val="center"/>
          </w:tcPr>
          <w:p w14:paraId="49BB94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w:t>
            </w:r>
          </w:p>
        </w:tc>
        <w:tc>
          <w:tcPr>
            <w:tcW w:w="1840" w:type="dxa"/>
            <w:vMerge w:val="continue"/>
            <w:shd w:val="clear" w:color="auto" w:fill="auto"/>
            <w:vAlign w:val="center"/>
          </w:tcPr>
          <w:p w14:paraId="0FBCE64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p>
        </w:tc>
        <w:tc>
          <w:tcPr>
            <w:tcW w:w="1850" w:type="dxa"/>
            <w:shd w:val="clear" w:color="auto" w:fill="auto"/>
            <w:vAlign w:val="center"/>
          </w:tcPr>
          <w:p w14:paraId="6619A50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畜禽粪污收集处理体系</w:t>
            </w:r>
          </w:p>
        </w:tc>
        <w:tc>
          <w:tcPr>
            <w:tcW w:w="3720" w:type="dxa"/>
            <w:shd w:val="clear" w:color="auto" w:fill="auto"/>
            <w:vAlign w:val="center"/>
          </w:tcPr>
          <w:p w14:paraId="3A710AC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鼓励支持建设专业化粪污集中处理、完善畜禽粪污收集、转化、利用三级网络体系，探索规模化、专业化、社会化运营机制。</w:t>
            </w:r>
          </w:p>
        </w:tc>
        <w:tc>
          <w:tcPr>
            <w:tcW w:w="2370" w:type="dxa"/>
            <w:shd w:val="clear" w:color="auto" w:fill="auto"/>
            <w:vAlign w:val="center"/>
          </w:tcPr>
          <w:p w14:paraId="4CBEA2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完善畜禽粪污收集、转化、利用三级网络体系。</w:t>
            </w:r>
          </w:p>
        </w:tc>
        <w:tc>
          <w:tcPr>
            <w:tcW w:w="2081" w:type="dxa"/>
            <w:shd w:val="clear" w:color="auto" w:fill="auto"/>
            <w:vAlign w:val="center"/>
          </w:tcPr>
          <w:p w14:paraId="326B23E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61" w:type="dxa"/>
            <w:shd w:val="clear" w:color="auto" w:fill="auto"/>
            <w:vAlign w:val="center"/>
          </w:tcPr>
          <w:p w14:paraId="12D29F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2027年</w:t>
            </w:r>
          </w:p>
        </w:tc>
      </w:tr>
      <w:tr w14:paraId="1F6E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952" w:type="dxa"/>
            <w:shd w:val="clear" w:color="auto" w:fill="auto"/>
            <w:vAlign w:val="center"/>
          </w:tcPr>
          <w:p w14:paraId="2C1E2AB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w:t>
            </w:r>
          </w:p>
        </w:tc>
        <w:tc>
          <w:tcPr>
            <w:tcW w:w="1840" w:type="dxa"/>
            <w:vMerge w:val="continue"/>
            <w:shd w:val="clear" w:color="auto" w:fill="auto"/>
            <w:vAlign w:val="center"/>
          </w:tcPr>
          <w:p w14:paraId="4421963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p>
        </w:tc>
        <w:tc>
          <w:tcPr>
            <w:tcW w:w="1850" w:type="dxa"/>
            <w:shd w:val="clear" w:color="auto" w:fill="auto"/>
            <w:vAlign w:val="center"/>
          </w:tcPr>
          <w:p w14:paraId="39ADDEF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废旧农膜回收处理体系</w:t>
            </w:r>
          </w:p>
        </w:tc>
        <w:tc>
          <w:tcPr>
            <w:tcW w:w="3720" w:type="dxa"/>
            <w:shd w:val="clear" w:color="auto" w:fill="auto"/>
            <w:vAlign w:val="center"/>
          </w:tcPr>
          <w:p w14:paraId="231D640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建立“连队收集、团场、师市处理”的一体化废旧农膜回收处理体系。</w:t>
            </w:r>
          </w:p>
        </w:tc>
        <w:tc>
          <w:tcPr>
            <w:tcW w:w="2370" w:type="dxa"/>
            <w:shd w:val="clear" w:color="auto" w:fill="auto"/>
            <w:vAlign w:val="center"/>
          </w:tcPr>
          <w:p w14:paraId="06900D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建成一体化废旧农膜回收处理体系。</w:t>
            </w:r>
          </w:p>
        </w:tc>
        <w:tc>
          <w:tcPr>
            <w:tcW w:w="2081" w:type="dxa"/>
            <w:shd w:val="clear" w:color="auto" w:fill="auto"/>
            <w:vAlign w:val="center"/>
          </w:tcPr>
          <w:p w14:paraId="34CA7E4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61" w:type="dxa"/>
            <w:shd w:val="clear" w:color="auto" w:fill="auto"/>
            <w:vAlign w:val="center"/>
          </w:tcPr>
          <w:p w14:paraId="11FE20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2026年</w:t>
            </w:r>
          </w:p>
        </w:tc>
      </w:tr>
      <w:tr w14:paraId="191B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52" w:type="dxa"/>
            <w:shd w:val="clear" w:color="auto" w:fill="auto"/>
            <w:vAlign w:val="center"/>
          </w:tcPr>
          <w:p w14:paraId="6E7C04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序号</w:t>
            </w:r>
          </w:p>
        </w:tc>
        <w:tc>
          <w:tcPr>
            <w:tcW w:w="1840" w:type="dxa"/>
            <w:shd w:val="clear" w:color="auto" w:fill="auto"/>
            <w:vAlign w:val="center"/>
          </w:tcPr>
          <w:p w14:paraId="03ACB3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类别</w:t>
            </w:r>
          </w:p>
        </w:tc>
        <w:tc>
          <w:tcPr>
            <w:tcW w:w="1850" w:type="dxa"/>
            <w:shd w:val="clear" w:color="auto" w:fill="auto"/>
            <w:vAlign w:val="center"/>
          </w:tcPr>
          <w:p w14:paraId="2D780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名称</w:t>
            </w:r>
          </w:p>
        </w:tc>
        <w:tc>
          <w:tcPr>
            <w:tcW w:w="3720" w:type="dxa"/>
            <w:shd w:val="clear" w:color="auto" w:fill="auto"/>
            <w:vAlign w:val="center"/>
          </w:tcPr>
          <w:p w14:paraId="6E155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内容</w:t>
            </w:r>
          </w:p>
        </w:tc>
        <w:tc>
          <w:tcPr>
            <w:tcW w:w="2370" w:type="dxa"/>
            <w:shd w:val="clear" w:color="auto" w:fill="auto"/>
            <w:vAlign w:val="center"/>
          </w:tcPr>
          <w:p w14:paraId="5F692A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预期效果</w:t>
            </w:r>
          </w:p>
        </w:tc>
        <w:tc>
          <w:tcPr>
            <w:tcW w:w="2081" w:type="dxa"/>
            <w:shd w:val="clear" w:color="auto" w:fill="auto"/>
            <w:vAlign w:val="center"/>
          </w:tcPr>
          <w:p w14:paraId="432402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责任单位</w:t>
            </w:r>
          </w:p>
        </w:tc>
        <w:tc>
          <w:tcPr>
            <w:tcW w:w="1361" w:type="dxa"/>
            <w:shd w:val="clear" w:color="auto" w:fill="auto"/>
            <w:vAlign w:val="center"/>
          </w:tcPr>
          <w:p w14:paraId="5FFBF6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完成时限</w:t>
            </w:r>
          </w:p>
        </w:tc>
      </w:tr>
      <w:tr w14:paraId="222A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52" w:type="dxa"/>
            <w:shd w:val="clear" w:color="auto" w:fill="auto"/>
            <w:vAlign w:val="center"/>
          </w:tcPr>
          <w:p w14:paraId="1E4CA4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w:t>
            </w:r>
          </w:p>
        </w:tc>
        <w:tc>
          <w:tcPr>
            <w:tcW w:w="1840" w:type="dxa"/>
            <w:vMerge w:val="restart"/>
            <w:shd w:val="clear" w:color="auto" w:fill="auto"/>
            <w:vAlign w:val="center"/>
          </w:tcPr>
          <w:p w14:paraId="4A0D28E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农业废弃物</w:t>
            </w:r>
          </w:p>
          <w:p w14:paraId="009355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运输体系</w:t>
            </w:r>
          </w:p>
        </w:tc>
        <w:tc>
          <w:tcPr>
            <w:tcW w:w="1850" w:type="dxa"/>
            <w:shd w:val="clear" w:color="auto" w:fill="auto"/>
            <w:vAlign w:val="center"/>
          </w:tcPr>
          <w:p w14:paraId="76AACC7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农药包装废弃物回收处置</w:t>
            </w:r>
          </w:p>
          <w:p w14:paraId="5C39DB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体系</w:t>
            </w:r>
          </w:p>
        </w:tc>
        <w:tc>
          <w:tcPr>
            <w:tcW w:w="3720" w:type="dxa"/>
            <w:shd w:val="clear" w:color="auto" w:fill="auto"/>
            <w:vAlign w:val="center"/>
          </w:tcPr>
          <w:p w14:paraId="1F9D3DB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建立以“谁使用谁交回、谁销售谁收集、专业机构处置、市场主体承担、公共财政补充”为主要模式的农药包装废弃物回收处置体系。</w:t>
            </w:r>
          </w:p>
        </w:tc>
        <w:tc>
          <w:tcPr>
            <w:tcW w:w="2370" w:type="dxa"/>
            <w:shd w:val="clear" w:color="auto" w:fill="auto"/>
            <w:vAlign w:val="center"/>
          </w:tcPr>
          <w:p w14:paraId="728C611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建立农药包装废弃物回收处置体系。</w:t>
            </w:r>
          </w:p>
        </w:tc>
        <w:tc>
          <w:tcPr>
            <w:tcW w:w="2081" w:type="dxa"/>
            <w:shd w:val="clear" w:color="auto" w:fill="auto"/>
            <w:vAlign w:val="center"/>
          </w:tcPr>
          <w:p w14:paraId="4DEAC7C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61" w:type="dxa"/>
            <w:shd w:val="clear" w:color="auto" w:fill="auto"/>
            <w:vAlign w:val="center"/>
          </w:tcPr>
          <w:p w14:paraId="5ED5A1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2030年</w:t>
            </w:r>
          </w:p>
        </w:tc>
      </w:tr>
      <w:tr w14:paraId="584D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52" w:type="dxa"/>
            <w:shd w:val="clear" w:color="auto" w:fill="auto"/>
            <w:vAlign w:val="center"/>
          </w:tcPr>
          <w:p w14:paraId="4B4D59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w:t>
            </w:r>
          </w:p>
        </w:tc>
        <w:tc>
          <w:tcPr>
            <w:tcW w:w="1840" w:type="dxa"/>
            <w:vMerge w:val="continue"/>
            <w:shd w:val="clear" w:color="auto" w:fill="auto"/>
            <w:vAlign w:val="center"/>
          </w:tcPr>
          <w:p w14:paraId="0EB11B5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p>
        </w:tc>
        <w:tc>
          <w:tcPr>
            <w:tcW w:w="1850" w:type="dxa"/>
            <w:shd w:val="clear" w:color="auto" w:fill="auto"/>
            <w:vAlign w:val="center"/>
          </w:tcPr>
          <w:p w14:paraId="572E432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病死畜禽无害收集处理体系</w:t>
            </w:r>
          </w:p>
        </w:tc>
        <w:tc>
          <w:tcPr>
            <w:tcW w:w="3720" w:type="dxa"/>
            <w:shd w:val="clear" w:color="auto" w:fill="auto"/>
            <w:vAlign w:val="center"/>
          </w:tcPr>
          <w:p w14:paraId="38934FB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建立健全“团场布点，重点连队和企业收集暂存，无害化处理厂转运处理”的病死畜禽无害化收集处理体系。</w:t>
            </w:r>
          </w:p>
        </w:tc>
        <w:tc>
          <w:tcPr>
            <w:tcW w:w="2370" w:type="dxa"/>
            <w:shd w:val="clear" w:color="auto" w:fill="auto"/>
            <w:vAlign w:val="center"/>
          </w:tcPr>
          <w:p w14:paraId="61DA775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建立病死畜禽无害化收集处理体系。</w:t>
            </w:r>
          </w:p>
        </w:tc>
        <w:tc>
          <w:tcPr>
            <w:tcW w:w="2081" w:type="dxa"/>
            <w:shd w:val="clear" w:color="auto" w:fill="auto"/>
            <w:vAlign w:val="center"/>
          </w:tcPr>
          <w:p w14:paraId="3674E71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361" w:type="dxa"/>
            <w:shd w:val="clear" w:color="auto" w:fill="auto"/>
            <w:vAlign w:val="center"/>
          </w:tcPr>
          <w:p w14:paraId="4B89F6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2027年</w:t>
            </w:r>
          </w:p>
        </w:tc>
      </w:tr>
    </w:tbl>
    <w:p w14:paraId="45B326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46E08689">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6BE739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仿宋_GB2312"/>
          <w:sz w:val="32"/>
          <w:szCs w:val="32"/>
          <w:lang w:val="en-US" w:eastAsia="zh-CN"/>
        </w:rPr>
      </w:pPr>
      <w:r>
        <w:rPr>
          <w:rFonts w:hint="eastAsia" w:ascii="方正小标宋简体" w:hAnsi="方正小标宋简体" w:eastAsia="方正小标宋简体" w:cs="方正小标宋简体"/>
          <w:color w:val="000000"/>
          <w:kern w:val="0"/>
          <w:sz w:val="36"/>
          <w:szCs w:val="36"/>
          <w:lang w:val="en-US" w:eastAsia="zh-CN" w:bidi="ar"/>
        </w:rPr>
        <w:t>（宣传教育体系建设）</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27"/>
        <w:gridCol w:w="1838"/>
        <w:gridCol w:w="3690"/>
        <w:gridCol w:w="2353"/>
        <w:gridCol w:w="2016"/>
        <w:gridCol w:w="1502"/>
      </w:tblGrid>
      <w:tr w14:paraId="5093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52" w:type="dxa"/>
            <w:vAlign w:val="center"/>
          </w:tcPr>
          <w:p w14:paraId="2C5A9E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序号</w:t>
            </w:r>
          </w:p>
        </w:tc>
        <w:tc>
          <w:tcPr>
            <w:tcW w:w="1840" w:type="dxa"/>
            <w:vAlign w:val="center"/>
          </w:tcPr>
          <w:p w14:paraId="4E16DD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类别</w:t>
            </w:r>
          </w:p>
        </w:tc>
        <w:tc>
          <w:tcPr>
            <w:tcW w:w="1850" w:type="dxa"/>
            <w:vAlign w:val="center"/>
          </w:tcPr>
          <w:p w14:paraId="5C16F3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名称</w:t>
            </w:r>
          </w:p>
        </w:tc>
        <w:tc>
          <w:tcPr>
            <w:tcW w:w="3720" w:type="dxa"/>
            <w:vAlign w:val="center"/>
          </w:tcPr>
          <w:p w14:paraId="2C112C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内容</w:t>
            </w:r>
          </w:p>
        </w:tc>
        <w:tc>
          <w:tcPr>
            <w:tcW w:w="2370" w:type="dxa"/>
            <w:vAlign w:val="center"/>
          </w:tcPr>
          <w:p w14:paraId="2987F9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预期效果</w:t>
            </w:r>
          </w:p>
        </w:tc>
        <w:tc>
          <w:tcPr>
            <w:tcW w:w="1930" w:type="dxa"/>
            <w:vAlign w:val="center"/>
          </w:tcPr>
          <w:p w14:paraId="4DE0FD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责任单位</w:t>
            </w:r>
          </w:p>
        </w:tc>
        <w:tc>
          <w:tcPr>
            <w:tcW w:w="1512" w:type="dxa"/>
            <w:vAlign w:val="center"/>
          </w:tcPr>
          <w:p w14:paraId="7FFDF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完成时限</w:t>
            </w:r>
          </w:p>
        </w:tc>
      </w:tr>
      <w:tr w14:paraId="3737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52" w:type="dxa"/>
            <w:vAlign w:val="center"/>
          </w:tcPr>
          <w:p w14:paraId="46C977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w:t>
            </w:r>
          </w:p>
        </w:tc>
        <w:tc>
          <w:tcPr>
            <w:tcW w:w="1840" w:type="dxa"/>
            <w:vMerge w:val="restart"/>
            <w:vAlign w:val="center"/>
          </w:tcPr>
          <w:p w14:paraId="03E7C5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宣传教育</w:t>
            </w:r>
          </w:p>
        </w:tc>
        <w:tc>
          <w:tcPr>
            <w:tcW w:w="1850" w:type="dxa"/>
            <w:vAlign w:val="center"/>
          </w:tcPr>
          <w:p w14:paraId="28ED07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“无废城市”</w:t>
            </w:r>
          </w:p>
          <w:p w14:paraId="1AB7061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rPr>
            </w:pPr>
            <w:r>
              <w:rPr>
                <w:rFonts w:hint="eastAsia" w:ascii="Times New Roman" w:hAnsi="Times New Roman" w:eastAsia="仿宋_GB2312" w:cs="仿宋_GB2312"/>
                <w:sz w:val="24"/>
                <w:szCs w:val="24"/>
                <w:vertAlign w:val="baseline"/>
                <w:lang w:val="en-US" w:eastAsia="zh-CN"/>
              </w:rPr>
              <w:t>建设宣传教育</w:t>
            </w:r>
          </w:p>
        </w:tc>
        <w:tc>
          <w:tcPr>
            <w:tcW w:w="3720" w:type="dxa"/>
            <w:vAlign w:val="center"/>
          </w:tcPr>
          <w:p w14:paraId="083D3D9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面向党政机关、学校、社区、家庭、企业开展全方位的“无废城市”建设宣传工作，在景区、宣传媒体和网络宣传“无废城市”建设理念。</w:t>
            </w:r>
          </w:p>
        </w:tc>
        <w:tc>
          <w:tcPr>
            <w:tcW w:w="2370" w:type="dxa"/>
            <w:vAlign w:val="center"/>
          </w:tcPr>
          <w:p w14:paraId="0C1C29E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提高群众对绿色生活、绿色消费的认知，培养垃圾分类习惯，发挥非政府组织和公众的监督作用。</w:t>
            </w:r>
          </w:p>
        </w:tc>
        <w:tc>
          <w:tcPr>
            <w:tcW w:w="1930" w:type="dxa"/>
            <w:vAlign w:val="center"/>
          </w:tcPr>
          <w:p w14:paraId="1E89432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pacing w:val="1"/>
                <w:w w:val="93"/>
                <w:kern w:val="0"/>
                <w:sz w:val="24"/>
                <w:szCs w:val="24"/>
                <w:fitText w:val="1800" w:id="1195460003"/>
                <w:vertAlign w:val="baseline"/>
                <w:lang w:val="en-US" w:eastAsia="zh-CN"/>
              </w:rPr>
              <w:t>师市党委宣传部</w:t>
            </w:r>
            <w:r>
              <w:rPr>
                <w:rFonts w:hint="eastAsia" w:ascii="Times New Roman" w:hAnsi="Times New Roman" w:eastAsia="仿宋_GB2312" w:cs="仿宋_GB2312"/>
                <w:spacing w:val="0"/>
                <w:w w:val="93"/>
                <w:kern w:val="0"/>
                <w:sz w:val="24"/>
                <w:szCs w:val="24"/>
                <w:fitText w:val="1800" w:id="1195460003"/>
                <w:vertAlign w:val="baseline"/>
                <w:lang w:val="en-US" w:eastAsia="zh-CN"/>
              </w:rPr>
              <w:t>，</w:t>
            </w:r>
            <w:r>
              <w:rPr>
                <w:rFonts w:hint="eastAsia" w:ascii="Times New Roman" w:hAnsi="Times New Roman" w:eastAsia="仿宋_GB2312" w:cs="仿宋_GB2312"/>
                <w:kern w:val="0"/>
                <w:sz w:val="24"/>
                <w:szCs w:val="24"/>
                <w:vertAlign w:val="baseline"/>
                <w:lang w:val="en-US" w:eastAsia="zh-CN"/>
              </w:rPr>
              <w:t>师市</w:t>
            </w:r>
            <w:r>
              <w:rPr>
                <w:rFonts w:hint="eastAsia" w:ascii="Times New Roman" w:hAnsi="Times New Roman" w:eastAsia="仿宋_GB2312" w:cs="仿宋_GB2312"/>
                <w:sz w:val="24"/>
                <w:szCs w:val="24"/>
                <w:vertAlign w:val="baseline"/>
                <w:lang w:val="en-US" w:eastAsia="zh-CN"/>
              </w:rPr>
              <w:t>教育局、</w:t>
            </w:r>
          </w:p>
          <w:p w14:paraId="40B0635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文旅局</w:t>
            </w:r>
          </w:p>
        </w:tc>
        <w:tc>
          <w:tcPr>
            <w:tcW w:w="1512" w:type="dxa"/>
            <w:vAlign w:val="center"/>
          </w:tcPr>
          <w:p w14:paraId="28937B2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586A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952" w:type="dxa"/>
            <w:vAlign w:val="center"/>
          </w:tcPr>
          <w:p w14:paraId="5311D8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w:t>
            </w:r>
          </w:p>
        </w:tc>
        <w:tc>
          <w:tcPr>
            <w:tcW w:w="1840" w:type="dxa"/>
            <w:vMerge w:val="continue"/>
            <w:vAlign w:val="center"/>
          </w:tcPr>
          <w:p w14:paraId="38EA4A0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p>
        </w:tc>
        <w:tc>
          <w:tcPr>
            <w:tcW w:w="1850" w:type="dxa"/>
            <w:vAlign w:val="center"/>
          </w:tcPr>
          <w:p w14:paraId="3434597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生活垃圾分类宣传培训和</w:t>
            </w:r>
          </w:p>
          <w:p w14:paraId="13D08ED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引导</w:t>
            </w:r>
          </w:p>
        </w:tc>
        <w:tc>
          <w:tcPr>
            <w:tcW w:w="3720" w:type="dxa"/>
            <w:vAlign w:val="center"/>
          </w:tcPr>
          <w:p w14:paraId="3F9B98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利用网络、广播、电视、报纸、公共交通等多种形式宣传垃圾分类工作；编制分类指导手册；将垃圾分类和“无废城市”建设相关内容纳入中小学生学校教育体系；开展生活垃圾分类培训工作，重点开展党政机关相关人员、企事业单位和志愿者队伍培训。</w:t>
            </w:r>
          </w:p>
        </w:tc>
        <w:tc>
          <w:tcPr>
            <w:tcW w:w="2370" w:type="dxa"/>
            <w:vAlign w:val="center"/>
          </w:tcPr>
          <w:p w14:paraId="24519D1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示范带动，积极引导市民参与垃圾分类，培养师市职工群众主动分类的习惯，提高分类准确率，形成全社会共同参与的良好氛围。</w:t>
            </w:r>
          </w:p>
        </w:tc>
        <w:tc>
          <w:tcPr>
            <w:tcW w:w="1930" w:type="dxa"/>
            <w:vAlign w:val="center"/>
          </w:tcPr>
          <w:p w14:paraId="5BE1831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师市党委宣传部，师市住建局、</w:t>
            </w:r>
          </w:p>
          <w:p w14:paraId="432F940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教育局等相关部门</w:t>
            </w:r>
          </w:p>
        </w:tc>
        <w:tc>
          <w:tcPr>
            <w:tcW w:w="1512" w:type="dxa"/>
            <w:vAlign w:val="center"/>
          </w:tcPr>
          <w:p w14:paraId="324FD6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780E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52" w:type="dxa"/>
            <w:shd w:val="clear" w:color="auto" w:fill="auto"/>
            <w:vAlign w:val="center"/>
          </w:tcPr>
          <w:p w14:paraId="6F22B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序号</w:t>
            </w:r>
          </w:p>
        </w:tc>
        <w:tc>
          <w:tcPr>
            <w:tcW w:w="1840" w:type="dxa"/>
            <w:shd w:val="clear" w:color="auto" w:fill="auto"/>
            <w:vAlign w:val="center"/>
          </w:tcPr>
          <w:p w14:paraId="23785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类别</w:t>
            </w:r>
          </w:p>
        </w:tc>
        <w:tc>
          <w:tcPr>
            <w:tcW w:w="1850" w:type="dxa"/>
            <w:shd w:val="clear" w:color="auto" w:fill="auto"/>
            <w:vAlign w:val="center"/>
          </w:tcPr>
          <w:p w14:paraId="24C2B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名称</w:t>
            </w:r>
          </w:p>
        </w:tc>
        <w:tc>
          <w:tcPr>
            <w:tcW w:w="3720" w:type="dxa"/>
            <w:shd w:val="clear" w:color="auto" w:fill="auto"/>
            <w:vAlign w:val="center"/>
          </w:tcPr>
          <w:p w14:paraId="064550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内容</w:t>
            </w:r>
          </w:p>
        </w:tc>
        <w:tc>
          <w:tcPr>
            <w:tcW w:w="2370" w:type="dxa"/>
            <w:shd w:val="clear" w:color="auto" w:fill="auto"/>
            <w:vAlign w:val="center"/>
          </w:tcPr>
          <w:p w14:paraId="07A6E7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预期效果</w:t>
            </w:r>
          </w:p>
        </w:tc>
        <w:tc>
          <w:tcPr>
            <w:tcW w:w="1930" w:type="dxa"/>
            <w:shd w:val="clear" w:color="auto" w:fill="auto"/>
            <w:vAlign w:val="center"/>
          </w:tcPr>
          <w:p w14:paraId="32385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责任单位</w:t>
            </w:r>
          </w:p>
        </w:tc>
        <w:tc>
          <w:tcPr>
            <w:tcW w:w="1512" w:type="dxa"/>
            <w:shd w:val="clear" w:color="auto" w:fill="auto"/>
            <w:vAlign w:val="center"/>
          </w:tcPr>
          <w:p w14:paraId="591BAA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kern w:val="2"/>
                <w:sz w:val="30"/>
                <w:szCs w:val="30"/>
                <w:vertAlign w:val="baseline"/>
                <w:lang w:val="en-US" w:eastAsia="zh-CN" w:bidi="ar-SA"/>
              </w:rPr>
            </w:pPr>
            <w:r>
              <w:rPr>
                <w:rFonts w:hint="eastAsia" w:ascii="黑体" w:hAnsi="黑体" w:eastAsia="黑体" w:cs="黑体"/>
                <w:sz w:val="30"/>
                <w:szCs w:val="30"/>
                <w:vertAlign w:val="baseline"/>
                <w:lang w:val="en-US" w:eastAsia="zh-CN"/>
              </w:rPr>
              <w:t>完成时限</w:t>
            </w:r>
          </w:p>
        </w:tc>
      </w:tr>
      <w:tr w14:paraId="4611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trPr>
        <w:tc>
          <w:tcPr>
            <w:tcW w:w="952" w:type="dxa"/>
            <w:vAlign w:val="center"/>
          </w:tcPr>
          <w:p w14:paraId="6C3543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w:t>
            </w:r>
          </w:p>
        </w:tc>
        <w:tc>
          <w:tcPr>
            <w:tcW w:w="1840" w:type="dxa"/>
            <w:vMerge w:val="restart"/>
            <w:vAlign w:val="center"/>
          </w:tcPr>
          <w:p w14:paraId="25910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宣传教育</w:t>
            </w:r>
          </w:p>
        </w:tc>
        <w:tc>
          <w:tcPr>
            <w:tcW w:w="1850" w:type="dxa"/>
            <w:vAlign w:val="center"/>
          </w:tcPr>
          <w:p w14:paraId="6F95294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绿色生活方式指南</w:t>
            </w:r>
          </w:p>
        </w:tc>
        <w:tc>
          <w:tcPr>
            <w:tcW w:w="3720" w:type="dxa"/>
            <w:vAlign w:val="center"/>
          </w:tcPr>
          <w:p w14:paraId="5362932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引导公众在衣食住行等方面践行绿色简约适度和低碳消费的生活方式。</w:t>
            </w:r>
          </w:p>
        </w:tc>
        <w:tc>
          <w:tcPr>
            <w:tcW w:w="2370" w:type="dxa"/>
            <w:vAlign w:val="center"/>
          </w:tcPr>
          <w:p w14:paraId="4BB724F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推行绿色生活方式，促进生活垃圾源头减量。</w:t>
            </w:r>
          </w:p>
        </w:tc>
        <w:tc>
          <w:tcPr>
            <w:tcW w:w="1930" w:type="dxa"/>
            <w:vAlign w:val="center"/>
          </w:tcPr>
          <w:p w14:paraId="56E0608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师市党委环委会办公室</w:t>
            </w:r>
          </w:p>
        </w:tc>
        <w:tc>
          <w:tcPr>
            <w:tcW w:w="1512" w:type="dxa"/>
            <w:vAlign w:val="center"/>
          </w:tcPr>
          <w:p w14:paraId="22F31D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r w14:paraId="5A8D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952" w:type="dxa"/>
            <w:vAlign w:val="center"/>
          </w:tcPr>
          <w:p w14:paraId="6A2D59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w:t>
            </w:r>
          </w:p>
        </w:tc>
        <w:tc>
          <w:tcPr>
            <w:tcW w:w="1840" w:type="dxa"/>
            <w:vMerge w:val="continue"/>
            <w:vAlign w:val="center"/>
          </w:tcPr>
          <w:p w14:paraId="0C59C5D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p>
        </w:tc>
        <w:tc>
          <w:tcPr>
            <w:tcW w:w="1850" w:type="dxa"/>
            <w:vAlign w:val="center"/>
          </w:tcPr>
          <w:p w14:paraId="113F3F3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建立农业技术培训体系</w:t>
            </w:r>
          </w:p>
        </w:tc>
        <w:tc>
          <w:tcPr>
            <w:tcW w:w="3720" w:type="dxa"/>
            <w:vAlign w:val="center"/>
          </w:tcPr>
          <w:p w14:paraId="773B682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加强产学研合作，引进先进培训体系，培训和开发本地农业技术人才。</w:t>
            </w:r>
          </w:p>
        </w:tc>
        <w:tc>
          <w:tcPr>
            <w:tcW w:w="2370" w:type="dxa"/>
            <w:vAlign w:val="center"/>
          </w:tcPr>
          <w:p w14:paraId="1CDE115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提升连队职工环保意识，提升生产技术水平。</w:t>
            </w:r>
          </w:p>
        </w:tc>
        <w:tc>
          <w:tcPr>
            <w:tcW w:w="1930" w:type="dxa"/>
            <w:vAlign w:val="center"/>
          </w:tcPr>
          <w:p w14:paraId="7DB8E40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师市农业农村局</w:t>
            </w:r>
          </w:p>
        </w:tc>
        <w:tc>
          <w:tcPr>
            <w:tcW w:w="1512" w:type="dxa"/>
            <w:vAlign w:val="center"/>
          </w:tcPr>
          <w:p w14:paraId="650585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持续推进</w:t>
            </w:r>
          </w:p>
        </w:tc>
      </w:tr>
    </w:tbl>
    <w:p w14:paraId="49B6C6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3202825F">
      <w:pP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br w:type="page"/>
      </w:r>
    </w:p>
    <w:p w14:paraId="557F714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167EA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第五师双河市“无废城市”工程清单</w:t>
      </w:r>
    </w:p>
    <w:p w14:paraId="367BAF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450"/>
        <w:gridCol w:w="5180"/>
        <w:gridCol w:w="1290"/>
        <w:gridCol w:w="1620"/>
        <w:gridCol w:w="1420"/>
      </w:tblGrid>
      <w:tr w14:paraId="0DB2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52" w:type="dxa"/>
            <w:shd w:val="clear" w:color="auto" w:fill="auto"/>
            <w:vAlign w:val="center"/>
          </w:tcPr>
          <w:p w14:paraId="2C3DE6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val="en-US" w:eastAsia="zh-CN"/>
              </w:rPr>
              <w:t>序号</w:t>
            </w:r>
          </w:p>
        </w:tc>
        <w:tc>
          <w:tcPr>
            <w:tcW w:w="3450" w:type="dxa"/>
            <w:shd w:val="clear" w:color="auto" w:fill="auto"/>
            <w:vAlign w:val="center"/>
          </w:tcPr>
          <w:p w14:paraId="6C0CDE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val="en-US" w:eastAsia="zh-CN"/>
              </w:rPr>
              <w:t>项目名称</w:t>
            </w:r>
          </w:p>
        </w:tc>
        <w:tc>
          <w:tcPr>
            <w:tcW w:w="5180" w:type="dxa"/>
            <w:shd w:val="clear" w:color="auto" w:fill="auto"/>
            <w:vAlign w:val="center"/>
          </w:tcPr>
          <w:p w14:paraId="04647D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kern w:val="2"/>
                <w:sz w:val="30"/>
                <w:szCs w:val="30"/>
                <w:vertAlign w:val="baseline"/>
                <w:lang w:val="en-US" w:eastAsia="zh-CN" w:bidi="ar-SA"/>
              </w:rPr>
              <w:t>主要内容</w:t>
            </w:r>
          </w:p>
        </w:tc>
        <w:tc>
          <w:tcPr>
            <w:tcW w:w="1290" w:type="dxa"/>
            <w:shd w:val="clear" w:color="auto" w:fill="auto"/>
            <w:vAlign w:val="center"/>
          </w:tcPr>
          <w:p w14:paraId="41362A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val="en-US" w:eastAsia="zh-CN"/>
              </w:rPr>
              <w:t>总投资</w:t>
            </w:r>
          </w:p>
        </w:tc>
        <w:tc>
          <w:tcPr>
            <w:tcW w:w="1620" w:type="dxa"/>
            <w:shd w:val="clear" w:color="auto" w:fill="auto"/>
            <w:vAlign w:val="center"/>
          </w:tcPr>
          <w:p w14:paraId="0FE09F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val="en-US" w:eastAsia="zh-CN"/>
              </w:rPr>
              <w:t>责任单位</w:t>
            </w:r>
          </w:p>
        </w:tc>
        <w:tc>
          <w:tcPr>
            <w:tcW w:w="1420" w:type="dxa"/>
            <w:shd w:val="clear" w:color="auto" w:fill="auto"/>
            <w:vAlign w:val="center"/>
          </w:tcPr>
          <w:p w14:paraId="063325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2"/>
                <w:sz w:val="30"/>
                <w:szCs w:val="30"/>
                <w:vertAlign w:val="baseline"/>
                <w:lang w:val="en-US" w:eastAsia="zh-CN" w:bidi="ar-SA"/>
              </w:rPr>
            </w:pPr>
            <w:r>
              <w:rPr>
                <w:rFonts w:hint="default" w:ascii="Times New Roman" w:hAnsi="Times New Roman" w:eastAsia="黑体" w:cs="Times New Roman"/>
                <w:sz w:val="30"/>
                <w:szCs w:val="30"/>
                <w:vertAlign w:val="baseline"/>
                <w:lang w:val="en-US" w:eastAsia="zh-CN"/>
              </w:rPr>
              <w:t>完成时限</w:t>
            </w:r>
          </w:p>
        </w:tc>
      </w:tr>
      <w:tr w14:paraId="109E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52" w:type="dxa"/>
            <w:shd w:val="clear" w:color="auto" w:fill="auto"/>
            <w:vAlign w:val="center"/>
          </w:tcPr>
          <w:p w14:paraId="4D04426E">
            <w:pPr>
              <w:widowControl w:val="0"/>
              <w:spacing w:before="42" w:line="228" w:lineRule="auto"/>
              <w:ind w:left="44" w:leftChars="0" w:right="2" w:rightChars="0" w:hanging="21" w:firstLineChars="0"/>
              <w:jc w:val="center"/>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lang w:val="en-US" w:eastAsia="zh-CN"/>
              </w:rPr>
              <w:t>1</w:t>
            </w:r>
          </w:p>
        </w:tc>
        <w:tc>
          <w:tcPr>
            <w:tcW w:w="3450" w:type="dxa"/>
            <w:shd w:val="clear" w:color="auto" w:fill="auto"/>
            <w:vAlign w:val="center"/>
          </w:tcPr>
          <w:p w14:paraId="245C5A5C">
            <w:pPr>
              <w:widowControl w:val="0"/>
              <w:spacing w:before="42" w:line="228" w:lineRule="auto"/>
              <w:ind w:left="44" w:leftChars="0" w:right="2" w:rightChars="0" w:hanging="21" w:firstLineChars="0"/>
              <w:jc w:val="center"/>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rPr>
              <w:t>农业面源污染治理项目</w:t>
            </w:r>
          </w:p>
        </w:tc>
        <w:tc>
          <w:tcPr>
            <w:tcW w:w="5180" w:type="dxa"/>
            <w:shd w:val="clear" w:color="auto" w:fill="auto"/>
            <w:vAlign w:val="center"/>
          </w:tcPr>
          <w:p w14:paraId="0490308D">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kern w:val="2"/>
                <w:sz w:val="24"/>
                <w:szCs w:val="24"/>
                <w:vertAlign w:val="baseline"/>
                <w:lang w:val="en-US" w:eastAsia="zh-CN" w:bidi="ar-SA"/>
              </w:rPr>
            </w:pPr>
            <w:r>
              <w:rPr>
                <w:rFonts w:hint="eastAsia" w:ascii="Times New Roman" w:hAnsi="Times New Roman" w:eastAsia="仿宋" w:cs="Times New Roman"/>
                <w:spacing w:val="5"/>
                <w:sz w:val="24"/>
                <w:szCs w:val="24"/>
                <w:lang w:val="en-US" w:eastAsia="zh-CN"/>
              </w:rPr>
              <w:t>师市各团场</w:t>
            </w:r>
            <w:r>
              <w:rPr>
                <w:rFonts w:hint="default" w:ascii="Times New Roman" w:hAnsi="Times New Roman" w:eastAsia="仿宋" w:cs="Times New Roman"/>
                <w:spacing w:val="5"/>
                <w:sz w:val="24"/>
                <w:szCs w:val="24"/>
              </w:rPr>
              <w:t>推广节肥、节药、节水和清洁生产技术，促进化肥、农药等农业投入品使用和农业用水总量逐步减量化。加强畜禽和水产养殖污染防治，搞好农村垃圾和污水收集、处置，开展土壤重金属污染等专项治理，严控</w:t>
            </w:r>
            <w:r>
              <w:rPr>
                <w:rFonts w:hint="eastAsia" w:ascii="Times New Roman" w:hAnsi="Times New Roman" w:eastAsia="仿宋" w:cs="Times New Roman"/>
                <w:spacing w:val="5"/>
                <w:sz w:val="24"/>
                <w:szCs w:val="24"/>
                <w:lang w:val="en-US" w:eastAsia="zh-CN"/>
              </w:rPr>
              <w:t>农业</w:t>
            </w:r>
            <w:r>
              <w:rPr>
                <w:rFonts w:hint="default" w:ascii="Times New Roman" w:hAnsi="Times New Roman" w:eastAsia="仿宋" w:cs="Times New Roman"/>
                <w:spacing w:val="5"/>
                <w:sz w:val="24"/>
                <w:szCs w:val="24"/>
              </w:rPr>
              <w:t>面源污染</w:t>
            </w:r>
            <w:r>
              <w:rPr>
                <w:rFonts w:hint="default" w:ascii="Times New Roman" w:hAnsi="Times New Roman" w:eastAsia="仿宋" w:cs="Times New Roman"/>
                <w:spacing w:val="5"/>
                <w:sz w:val="24"/>
                <w:szCs w:val="24"/>
                <w:lang w:eastAsia="zh-CN"/>
              </w:rPr>
              <w:t>。</w:t>
            </w:r>
          </w:p>
        </w:tc>
        <w:tc>
          <w:tcPr>
            <w:tcW w:w="1290" w:type="dxa"/>
            <w:shd w:val="clear" w:color="auto" w:fill="auto"/>
            <w:vAlign w:val="center"/>
          </w:tcPr>
          <w:p w14:paraId="6DCEFA7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pacing w:val="5"/>
                <w:sz w:val="24"/>
                <w:szCs w:val="24"/>
              </w:rPr>
              <w:t>17000</w:t>
            </w:r>
          </w:p>
        </w:tc>
        <w:tc>
          <w:tcPr>
            <w:tcW w:w="1620" w:type="dxa"/>
            <w:shd w:val="clear" w:color="auto" w:fill="auto"/>
            <w:vAlign w:val="center"/>
          </w:tcPr>
          <w:p w14:paraId="3ABA8C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师市农业</w:t>
            </w:r>
          </w:p>
          <w:p w14:paraId="68E32C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zh-CN"/>
              </w:rPr>
              <w:t>农村局</w:t>
            </w:r>
          </w:p>
        </w:tc>
        <w:tc>
          <w:tcPr>
            <w:tcW w:w="1420" w:type="dxa"/>
            <w:shd w:val="clear" w:color="auto" w:fill="auto"/>
            <w:vAlign w:val="center"/>
          </w:tcPr>
          <w:p w14:paraId="10132A3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pacing w:val="5"/>
                <w:sz w:val="24"/>
                <w:szCs w:val="24"/>
              </w:rPr>
              <w:t>2026-2030</w:t>
            </w:r>
          </w:p>
        </w:tc>
      </w:tr>
      <w:tr w14:paraId="0040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952" w:type="dxa"/>
            <w:shd w:val="clear" w:color="auto" w:fill="auto"/>
            <w:vAlign w:val="center"/>
          </w:tcPr>
          <w:p w14:paraId="2FF4A8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2</w:t>
            </w:r>
          </w:p>
        </w:tc>
        <w:tc>
          <w:tcPr>
            <w:tcW w:w="3450" w:type="dxa"/>
            <w:shd w:val="clear" w:color="auto" w:fill="auto"/>
            <w:vAlign w:val="center"/>
          </w:tcPr>
          <w:p w14:paraId="26A0B4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rPr>
              <w:t>工业固体废物协同处置工程</w:t>
            </w:r>
          </w:p>
        </w:tc>
        <w:tc>
          <w:tcPr>
            <w:tcW w:w="5180" w:type="dxa"/>
            <w:shd w:val="clear" w:color="auto" w:fill="auto"/>
            <w:vAlign w:val="center"/>
          </w:tcPr>
          <w:p w14:paraId="7CA48CE4">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_GB2312" w:cs="Times New Roman"/>
                <w:kern w:val="2"/>
                <w:sz w:val="24"/>
                <w:szCs w:val="24"/>
                <w:vertAlign w:val="baseline"/>
                <w:lang w:val="en-US" w:eastAsia="zh-CN" w:bidi="ar-SA"/>
                <w14:ligatures w14:val="standardContextual"/>
              </w:rPr>
            </w:pPr>
            <w:r>
              <w:rPr>
                <w:rFonts w:hint="default" w:ascii="Times New Roman" w:hAnsi="Times New Roman" w:eastAsia="仿宋" w:cs="Times New Roman"/>
                <w:spacing w:val="5"/>
                <w:sz w:val="24"/>
                <w:szCs w:val="24"/>
                <w:lang w:val="en-US" w:eastAsia="en-US"/>
              </w:rPr>
              <w:t>建设处理400万吨固体废物综合处理处置设施，包括工业固体废物堆存场、工业固体废物利用设施、建筑垃圾</w:t>
            </w:r>
            <w:r>
              <w:rPr>
                <w:rFonts w:hint="eastAsia" w:ascii="Times New Roman" w:hAnsi="Times New Roman" w:eastAsia="仿宋" w:cs="Times New Roman"/>
                <w:spacing w:val="5"/>
                <w:sz w:val="24"/>
                <w:szCs w:val="24"/>
                <w:lang w:val="en-US" w:eastAsia="zh-CN"/>
              </w:rPr>
              <w:t>消纳场</w:t>
            </w:r>
            <w:r>
              <w:rPr>
                <w:rFonts w:hint="default" w:ascii="Times New Roman" w:hAnsi="Times New Roman" w:eastAsia="仿宋" w:cs="Times New Roman"/>
                <w:spacing w:val="5"/>
                <w:sz w:val="24"/>
                <w:szCs w:val="24"/>
                <w:lang w:val="en-US" w:eastAsia="en-US"/>
              </w:rPr>
              <w:t>及公用工程等。</w:t>
            </w:r>
          </w:p>
        </w:tc>
        <w:tc>
          <w:tcPr>
            <w:tcW w:w="1290" w:type="dxa"/>
            <w:shd w:val="clear" w:color="auto" w:fill="auto"/>
            <w:vAlign w:val="center"/>
          </w:tcPr>
          <w:p w14:paraId="1C11A1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lang w:val="en-US" w:eastAsia="zh-CN"/>
              </w:rPr>
              <w:t>4000</w:t>
            </w:r>
          </w:p>
        </w:tc>
        <w:tc>
          <w:tcPr>
            <w:tcW w:w="1620" w:type="dxa"/>
            <w:shd w:val="clear" w:color="auto" w:fill="auto"/>
            <w:vAlign w:val="center"/>
          </w:tcPr>
          <w:p w14:paraId="3043B3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lang w:val="en-US" w:eastAsia="zh-CN"/>
              </w:rPr>
              <w:t>师市住建局、双河经开区</w:t>
            </w:r>
          </w:p>
        </w:tc>
        <w:tc>
          <w:tcPr>
            <w:tcW w:w="1420" w:type="dxa"/>
            <w:shd w:val="clear" w:color="auto" w:fill="auto"/>
            <w:vAlign w:val="center"/>
          </w:tcPr>
          <w:p w14:paraId="492A7C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pacing w:val="5"/>
                <w:sz w:val="24"/>
                <w:szCs w:val="24"/>
              </w:rPr>
              <w:t>2026-2030</w:t>
            </w:r>
          </w:p>
        </w:tc>
      </w:tr>
      <w:tr w14:paraId="7EAE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52" w:type="dxa"/>
            <w:shd w:val="clear" w:color="auto" w:fill="auto"/>
            <w:vAlign w:val="center"/>
          </w:tcPr>
          <w:p w14:paraId="66FEF0D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3</w:t>
            </w:r>
          </w:p>
        </w:tc>
        <w:tc>
          <w:tcPr>
            <w:tcW w:w="3450" w:type="dxa"/>
            <w:shd w:val="clear" w:color="auto" w:fill="auto"/>
            <w:vAlign w:val="center"/>
          </w:tcPr>
          <w:p w14:paraId="296F334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生活垃圾分类收集与处理</w:t>
            </w:r>
          </w:p>
          <w:p w14:paraId="1E2705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en-US"/>
              </w:rPr>
              <w:t>处置能力建设工程</w:t>
            </w:r>
          </w:p>
        </w:tc>
        <w:tc>
          <w:tcPr>
            <w:tcW w:w="5180" w:type="dxa"/>
            <w:shd w:val="clear" w:color="auto" w:fill="auto"/>
            <w:vAlign w:val="center"/>
          </w:tcPr>
          <w:p w14:paraId="73F06056">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新增生活垃圾分类投放、收集、运输设施，新增收集能力日收转运能力180吨，1.建设垃圾分类投放设施。2.建设垃圾分类运输设施</w:t>
            </w:r>
            <w:r>
              <w:rPr>
                <w:rFonts w:hint="default" w:ascii="Times New Roman" w:hAnsi="Times New Roman" w:eastAsia="仿宋" w:cs="Times New Roman"/>
                <w:spacing w:val="5"/>
                <w:sz w:val="24"/>
                <w:szCs w:val="24"/>
                <w:lang w:val="en-US" w:eastAsia="zh-CN"/>
              </w:rPr>
              <w:t>。</w:t>
            </w:r>
            <w:r>
              <w:rPr>
                <w:rFonts w:hint="default" w:ascii="Times New Roman" w:hAnsi="Times New Roman" w:eastAsia="仿宋" w:cs="Times New Roman"/>
                <w:spacing w:val="5"/>
                <w:sz w:val="24"/>
                <w:szCs w:val="24"/>
                <w:lang w:val="en-US" w:eastAsia="en-US"/>
              </w:rPr>
              <w:t>3.建设环境整治设施。</w:t>
            </w:r>
          </w:p>
        </w:tc>
        <w:tc>
          <w:tcPr>
            <w:tcW w:w="1290" w:type="dxa"/>
            <w:shd w:val="clear" w:color="auto" w:fill="auto"/>
            <w:vAlign w:val="center"/>
          </w:tcPr>
          <w:p w14:paraId="15CEFC1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zh-CN"/>
              </w:rPr>
              <w:t>6000</w:t>
            </w:r>
          </w:p>
        </w:tc>
        <w:tc>
          <w:tcPr>
            <w:tcW w:w="1620" w:type="dxa"/>
            <w:shd w:val="clear" w:color="auto" w:fill="auto"/>
            <w:vAlign w:val="center"/>
          </w:tcPr>
          <w:p w14:paraId="268CA0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zh-CN"/>
              </w:rPr>
              <w:t>师市住建局</w:t>
            </w:r>
          </w:p>
        </w:tc>
        <w:tc>
          <w:tcPr>
            <w:tcW w:w="1420" w:type="dxa"/>
            <w:shd w:val="clear" w:color="auto" w:fill="auto"/>
            <w:vAlign w:val="center"/>
          </w:tcPr>
          <w:p w14:paraId="6BCB57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pacing w:val="5"/>
                <w:sz w:val="24"/>
                <w:szCs w:val="24"/>
              </w:rPr>
              <w:t>2026-2030</w:t>
            </w:r>
          </w:p>
        </w:tc>
      </w:tr>
      <w:tr w14:paraId="5566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952" w:type="dxa"/>
            <w:shd w:val="clear" w:color="auto" w:fill="auto"/>
            <w:vAlign w:val="center"/>
          </w:tcPr>
          <w:p w14:paraId="2AB8E6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4</w:t>
            </w:r>
          </w:p>
        </w:tc>
        <w:tc>
          <w:tcPr>
            <w:tcW w:w="3450" w:type="dxa"/>
            <w:shd w:val="clear" w:color="auto" w:fill="auto"/>
            <w:vAlign w:val="center"/>
          </w:tcPr>
          <w:p w14:paraId="71EAEB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napToGrid w:val="0"/>
                <w:color w:val="000000"/>
                <w:spacing w:val="5"/>
                <w:kern w:val="0"/>
                <w:sz w:val="24"/>
                <w:szCs w:val="24"/>
                <w:lang w:val="en-US" w:eastAsia="zh-CN" w:bidi="ar-SA"/>
                <w14:ligatures w14:val="none"/>
              </w:rPr>
            </w:pPr>
            <w:r>
              <w:rPr>
                <w:rFonts w:hint="default" w:ascii="Times New Roman" w:hAnsi="Times New Roman" w:eastAsia="仿宋" w:cs="Times New Roman"/>
                <w:snapToGrid w:val="0"/>
                <w:color w:val="000000"/>
                <w:spacing w:val="5"/>
                <w:kern w:val="0"/>
                <w:sz w:val="24"/>
                <w:szCs w:val="24"/>
                <w:lang w:val="en-US" w:eastAsia="en-US" w:bidi="ar-SA"/>
                <w14:ligatures w14:val="none"/>
              </w:rPr>
              <w:t>农膜回收与利用项目</w:t>
            </w:r>
          </w:p>
        </w:tc>
        <w:tc>
          <w:tcPr>
            <w:tcW w:w="5180" w:type="dxa"/>
            <w:shd w:val="clear" w:color="auto" w:fill="auto"/>
            <w:vAlign w:val="center"/>
          </w:tcPr>
          <w:p w14:paraId="0F43153F">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pacing w:val="5"/>
                <w:sz w:val="24"/>
                <w:szCs w:val="24"/>
                <w:lang w:val="en-US" w:eastAsia="zh-CN"/>
              </w:rPr>
              <w:t>师市各团场</w:t>
            </w:r>
            <w:r>
              <w:rPr>
                <w:rFonts w:hint="default" w:ascii="Times New Roman" w:hAnsi="Times New Roman" w:eastAsia="仿宋" w:cs="Times New Roman"/>
                <w:spacing w:val="5"/>
                <w:sz w:val="24"/>
                <w:szCs w:val="24"/>
                <w:lang w:val="en-US" w:eastAsia="en-US"/>
              </w:rPr>
              <w:t>通过粮棉、菜棉轮作，减少地膜覆盖，降低地膜覆盖依赖度，防治农田土壤残膜污染，保护耕地资源，同时提升产品品质，提高农业生产效益</w:t>
            </w:r>
          </w:p>
        </w:tc>
        <w:tc>
          <w:tcPr>
            <w:tcW w:w="1290" w:type="dxa"/>
            <w:shd w:val="clear" w:color="auto" w:fill="auto"/>
            <w:vAlign w:val="center"/>
          </w:tcPr>
          <w:p w14:paraId="069F802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zh-CN"/>
              </w:rPr>
              <w:t>2000</w:t>
            </w:r>
          </w:p>
        </w:tc>
        <w:tc>
          <w:tcPr>
            <w:tcW w:w="1620" w:type="dxa"/>
            <w:shd w:val="clear" w:color="auto" w:fill="auto"/>
            <w:vAlign w:val="center"/>
          </w:tcPr>
          <w:p w14:paraId="1E9E71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 w:cs="Times New Roman"/>
                <w:spacing w:val="5"/>
                <w:sz w:val="24"/>
                <w:szCs w:val="24"/>
                <w:lang w:val="en-US" w:eastAsia="zh-CN"/>
              </w:rPr>
              <w:t>师市农业农村局</w:t>
            </w:r>
          </w:p>
        </w:tc>
        <w:tc>
          <w:tcPr>
            <w:tcW w:w="1420" w:type="dxa"/>
            <w:shd w:val="clear" w:color="auto" w:fill="auto"/>
            <w:vAlign w:val="center"/>
          </w:tcPr>
          <w:p w14:paraId="00513E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pacing w:val="5"/>
                <w:kern w:val="2"/>
                <w:sz w:val="24"/>
                <w:szCs w:val="24"/>
                <w:lang w:val="en-US" w:eastAsia="zh-CN" w:bidi="ar-SA"/>
              </w:rPr>
            </w:pPr>
            <w:r>
              <w:rPr>
                <w:rFonts w:hint="default" w:ascii="Times New Roman" w:hAnsi="Times New Roman" w:eastAsia="仿宋_GB2312" w:cs="Times New Roman"/>
                <w:spacing w:val="5"/>
                <w:sz w:val="24"/>
                <w:szCs w:val="24"/>
              </w:rPr>
              <w:t>2026-2030</w:t>
            </w:r>
          </w:p>
        </w:tc>
      </w:tr>
      <w:tr w14:paraId="6E8A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0" w:type="auto"/>
            <w:shd w:val="clear" w:color="auto" w:fill="auto"/>
            <w:vAlign w:val="center"/>
          </w:tcPr>
          <w:p w14:paraId="78E8961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5</w:t>
            </w:r>
          </w:p>
        </w:tc>
        <w:tc>
          <w:tcPr>
            <w:tcW w:w="0" w:type="auto"/>
            <w:shd w:val="clear" w:color="auto" w:fill="auto"/>
            <w:vAlign w:val="center"/>
          </w:tcPr>
          <w:p w14:paraId="1825C7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imes New Roman" w:hAnsi="Times New Roman" w:eastAsia="仿宋" w:cs="Times New Roman"/>
                <w:snapToGrid w:val="0"/>
                <w:color w:val="000000"/>
                <w:spacing w:val="5"/>
                <w:kern w:val="0"/>
                <w:sz w:val="24"/>
                <w:szCs w:val="24"/>
                <w:lang w:val="en-US" w:eastAsia="zh-CN" w:bidi="ar-SA"/>
                <w14:ligatures w14:val="none"/>
              </w:rPr>
            </w:pPr>
            <w:r>
              <w:rPr>
                <w:rFonts w:hint="default" w:ascii="Times New Roman" w:hAnsi="Times New Roman" w:eastAsia="仿宋" w:cs="Times New Roman"/>
                <w:snapToGrid w:val="0"/>
                <w:color w:val="000000"/>
                <w:spacing w:val="5"/>
                <w:kern w:val="0"/>
                <w:sz w:val="24"/>
                <w:szCs w:val="24"/>
                <w:lang w:val="en-US" w:eastAsia="en-US" w:bidi="ar-SA"/>
                <w14:ligatures w14:val="none"/>
              </w:rPr>
              <w:t>废弃垃圾填埋</w:t>
            </w:r>
            <w:r>
              <w:rPr>
                <w:rFonts w:hint="eastAsia" w:ascii="Times New Roman" w:hAnsi="Times New Roman" w:eastAsia="仿宋" w:cs="Times New Roman"/>
                <w:snapToGrid w:val="0"/>
                <w:color w:val="000000"/>
                <w:spacing w:val="5"/>
                <w:kern w:val="0"/>
                <w:sz w:val="24"/>
                <w:szCs w:val="24"/>
                <w:lang w:val="en-US" w:eastAsia="zh-CN" w:bidi="ar-SA"/>
                <w14:ligatures w14:val="none"/>
              </w:rPr>
              <w:t>矿坑</w:t>
            </w:r>
          </w:p>
          <w:p w14:paraId="3E5D76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napToGrid w:val="0"/>
                <w:color w:val="000000"/>
                <w:spacing w:val="5"/>
                <w:kern w:val="0"/>
                <w:sz w:val="24"/>
                <w:szCs w:val="24"/>
                <w:lang w:val="en-US" w:eastAsia="zh-CN" w:bidi="ar-SA"/>
                <w14:ligatures w14:val="none"/>
              </w:rPr>
            </w:pPr>
            <w:r>
              <w:rPr>
                <w:rFonts w:hint="default" w:ascii="Times New Roman" w:hAnsi="Times New Roman" w:eastAsia="仿宋" w:cs="Times New Roman"/>
                <w:snapToGrid w:val="0"/>
                <w:color w:val="000000"/>
                <w:spacing w:val="5"/>
                <w:kern w:val="0"/>
                <w:sz w:val="24"/>
                <w:szCs w:val="24"/>
                <w:lang w:val="en-US" w:eastAsia="en-US" w:bidi="ar-SA"/>
                <w14:ligatures w14:val="none"/>
              </w:rPr>
              <w:t>生态修复项目</w:t>
            </w:r>
          </w:p>
        </w:tc>
        <w:tc>
          <w:tcPr>
            <w:tcW w:w="0" w:type="auto"/>
            <w:shd w:val="clear" w:color="auto" w:fill="auto"/>
            <w:vAlign w:val="center"/>
          </w:tcPr>
          <w:p w14:paraId="4C68204E">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修复经相关部门、</w:t>
            </w:r>
            <w:r>
              <w:rPr>
                <w:rFonts w:hint="eastAsia" w:ascii="Times New Roman" w:hAnsi="Times New Roman" w:eastAsia="仿宋" w:cs="Times New Roman"/>
                <w:spacing w:val="5"/>
                <w:sz w:val="24"/>
                <w:szCs w:val="24"/>
                <w:lang w:val="en-US" w:eastAsia="zh-CN"/>
              </w:rPr>
              <w:t>各团场、双河经开区</w:t>
            </w:r>
            <w:r>
              <w:rPr>
                <w:rFonts w:hint="default" w:ascii="Times New Roman" w:hAnsi="Times New Roman" w:eastAsia="仿宋" w:cs="Times New Roman"/>
                <w:spacing w:val="5"/>
                <w:sz w:val="24"/>
                <w:szCs w:val="24"/>
                <w:lang w:val="en-US" w:eastAsia="zh-CN"/>
              </w:rPr>
              <w:t>完成清理垃圾后需要治理的历史遗留矿坑及列入国家历史遗留废弃矿山图斑数据库的矿坑，方式包括回填、削坡、客土喷播复绿、耕地修复等</w:t>
            </w:r>
            <w:r>
              <w:rPr>
                <w:rFonts w:hint="eastAsia" w:ascii="Times New Roman" w:hAnsi="Times New Roman" w:eastAsia="仿宋" w:cs="Times New Roman"/>
                <w:spacing w:val="5"/>
                <w:sz w:val="24"/>
                <w:szCs w:val="24"/>
                <w:lang w:val="en-US" w:eastAsia="zh-CN"/>
              </w:rPr>
              <w:t>。</w:t>
            </w:r>
          </w:p>
        </w:tc>
        <w:tc>
          <w:tcPr>
            <w:tcW w:w="1290" w:type="dxa"/>
            <w:shd w:val="clear" w:color="auto" w:fill="auto"/>
            <w:vAlign w:val="center"/>
          </w:tcPr>
          <w:p w14:paraId="18DA7B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lang w:val="en-US" w:eastAsia="zh-CN"/>
              </w:rPr>
              <w:t>3600</w:t>
            </w:r>
          </w:p>
        </w:tc>
        <w:tc>
          <w:tcPr>
            <w:tcW w:w="1620" w:type="dxa"/>
            <w:shd w:val="clear" w:color="auto" w:fill="auto"/>
            <w:vAlign w:val="center"/>
          </w:tcPr>
          <w:p w14:paraId="16689A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sz w:val="24"/>
                <w:szCs w:val="24"/>
                <w:lang w:val="en-US" w:eastAsia="zh-CN"/>
              </w:rPr>
              <w:t>师市自然资源和规划局</w:t>
            </w:r>
          </w:p>
        </w:tc>
        <w:tc>
          <w:tcPr>
            <w:tcW w:w="0" w:type="auto"/>
            <w:shd w:val="clear" w:color="auto" w:fill="auto"/>
            <w:vAlign w:val="center"/>
          </w:tcPr>
          <w:p w14:paraId="250F29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pacing w:val="5"/>
                <w:kern w:val="2"/>
                <w:sz w:val="24"/>
                <w:szCs w:val="24"/>
                <w:lang w:val="en-US" w:eastAsia="zh-CN" w:bidi="ar-SA"/>
              </w:rPr>
            </w:pPr>
            <w:r>
              <w:rPr>
                <w:rFonts w:hint="default" w:ascii="Times New Roman" w:hAnsi="Times New Roman" w:eastAsia="仿宋_GB2312" w:cs="Times New Roman"/>
                <w:spacing w:val="5"/>
                <w:sz w:val="24"/>
                <w:szCs w:val="24"/>
              </w:rPr>
              <w:t>2026-2030</w:t>
            </w:r>
          </w:p>
        </w:tc>
      </w:tr>
    </w:tbl>
    <w:p w14:paraId="3286D5F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A86C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3E34E3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第五师双河市“无废城市”指标体系</w:t>
      </w:r>
    </w:p>
    <w:tbl>
      <w:tblPr>
        <w:tblStyle w:val="5"/>
        <w:tblpPr w:leftFromText="180" w:rightFromText="180" w:vertAnchor="text" w:horzAnchor="page" w:tblpX="1448" w:tblpY="690"/>
        <w:tblOverlap w:val="never"/>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143"/>
        <w:gridCol w:w="1401"/>
        <w:gridCol w:w="4739"/>
        <w:gridCol w:w="1870"/>
        <w:gridCol w:w="2200"/>
        <w:gridCol w:w="2260"/>
      </w:tblGrid>
      <w:tr w14:paraId="6747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 w:type="dxa"/>
            <w:vAlign w:val="center"/>
          </w:tcPr>
          <w:p w14:paraId="2C3E96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序号</w:t>
            </w:r>
          </w:p>
        </w:tc>
        <w:tc>
          <w:tcPr>
            <w:tcW w:w="1143" w:type="dxa"/>
            <w:vAlign w:val="center"/>
          </w:tcPr>
          <w:p w14:paraId="754E0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一级指标</w:t>
            </w:r>
          </w:p>
        </w:tc>
        <w:tc>
          <w:tcPr>
            <w:tcW w:w="1401" w:type="dxa"/>
            <w:vAlign w:val="center"/>
          </w:tcPr>
          <w:p w14:paraId="2F726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二级指标</w:t>
            </w:r>
          </w:p>
        </w:tc>
        <w:tc>
          <w:tcPr>
            <w:tcW w:w="4739" w:type="dxa"/>
            <w:vAlign w:val="center"/>
          </w:tcPr>
          <w:p w14:paraId="4689C9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三级指标</w:t>
            </w:r>
          </w:p>
        </w:tc>
        <w:tc>
          <w:tcPr>
            <w:tcW w:w="1870" w:type="dxa"/>
            <w:vAlign w:val="center"/>
          </w:tcPr>
          <w:p w14:paraId="55701BA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现状值</w:t>
            </w:r>
          </w:p>
          <w:p w14:paraId="2BC4AA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 w:cs="Times New Roman"/>
                <w:spacing w:val="5"/>
                <w:sz w:val="24"/>
                <w:szCs w:val="24"/>
                <w:lang w:val="en-US" w:eastAsia="zh-CN"/>
              </w:rPr>
              <w:t>（</w:t>
            </w:r>
            <w:r>
              <w:rPr>
                <w:rFonts w:hint="eastAsia" w:ascii="Times New Roman" w:hAnsi="Times New Roman" w:eastAsia="仿宋" w:cs="Times New Roman"/>
                <w:spacing w:val="5"/>
                <w:sz w:val="24"/>
                <w:szCs w:val="24"/>
                <w:lang w:val="en-US" w:eastAsia="zh-CN"/>
              </w:rPr>
              <w:t>2024</w:t>
            </w:r>
            <w:r>
              <w:rPr>
                <w:rFonts w:hint="default" w:ascii="Times New Roman" w:hAnsi="Times New Roman" w:eastAsia="仿宋" w:cs="Times New Roman"/>
                <w:spacing w:val="5"/>
                <w:sz w:val="24"/>
                <w:szCs w:val="24"/>
                <w:lang w:val="en-US" w:eastAsia="zh-CN"/>
              </w:rPr>
              <w:t>年）</w:t>
            </w:r>
          </w:p>
        </w:tc>
        <w:tc>
          <w:tcPr>
            <w:tcW w:w="2200" w:type="dxa"/>
            <w:vAlign w:val="center"/>
          </w:tcPr>
          <w:p w14:paraId="66CEA41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目标值</w:t>
            </w:r>
          </w:p>
          <w:p w14:paraId="7B0082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仿宋" w:cs="Times New Roman"/>
                <w:spacing w:val="5"/>
                <w:sz w:val="24"/>
                <w:szCs w:val="24"/>
                <w:lang w:val="en-US" w:eastAsia="zh-CN"/>
              </w:rPr>
              <w:t>（到2030年）</w:t>
            </w:r>
          </w:p>
        </w:tc>
        <w:tc>
          <w:tcPr>
            <w:tcW w:w="2260" w:type="dxa"/>
            <w:vAlign w:val="center"/>
          </w:tcPr>
          <w:p w14:paraId="04AA2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数据来源</w:t>
            </w:r>
          </w:p>
        </w:tc>
      </w:tr>
      <w:tr w14:paraId="3ED8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92" w:type="dxa"/>
            <w:vAlign w:val="center"/>
          </w:tcPr>
          <w:p w14:paraId="6037EB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w:t>
            </w:r>
          </w:p>
        </w:tc>
        <w:tc>
          <w:tcPr>
            <w:tcW w:w="1143" w:type="dxa"/>
            <w:vMerge w:val="restart"/>
            <w:vAlign w:val="top"/>
          </w:tcPr>
          <w:p w14:paraId="1D34806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p>
          <w:p w14:paraId="332024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p>
          <w:p w14:paraId="459A57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p>
          <w:p w14:paraId="17A7EE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p>
          <w:p w14:paraId="281676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p>
          <w:p w14:paraId="17E0448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固体废物源头减量</w:t>
            </w:r>
          </w:p>
          <w:p w14:paraId="2F3A5EB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58DE2A0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34B89D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4BE72A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restart"/>
            <w:vAlign w:val="center"/>
          </w:tcPr>
          <w:p w14:paraId="59EFB7E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工业源头</w:t>
            </w:r>
          </w:p>
          <w:p w14:paraId="66D88E0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减量</w:t>
            </w:r>
          </w:p>
        </w:tc>
        <w:tc>
          <w:tcPr>
            <w:tcW w:w="4739" w:type="dxa"/>
            <w:vAlign w:val="center"/>
          </w:tcPr>
          <w:p w14:paraId="16AE2B3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一般工业固体废物产生强度★</w:t>
            </w:r>
          </w:p>
        </w:tc>
        <w:tc>
          <w:tcPr>
            <w:tcW w:w="1870" w:type="dxa"/>
            <w:vAlign w:val="center"/>
          </w:tcPr>
          <w:p w14:paraId="08EE1E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2.73</w:t>
            </w:r>
            <w:r>
              <w:rPr>
                <w:rFonts w:hint="eastAsia" w:ascii="Times New Roman" w:hAnsi="Times New Roman" w:eastAsia="仿宋" w:cs="Times New Roman"/>
                <w:spacing w:val="5"/>
                <w:sz w:val="24"/>
                <w:szCs w:val="24"/>
                <w:lang w:val="en-US" w:eastAsia="zh-CN"/>
              </w:rPr>
              <w:t>（吨/万元）</w:t>
            </w:r>
          </w:p>
        </w:tc>
        <w:tc>
          <w:tcPr>
            <w:tcW w:w="2200" w:type="dxa"/>
            <w:vAlign w:val="center"/>
          </w:tcPr>
          <w:p w14:paraId="1B84A8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2.5</w:t>
            </w:r>
            <w:r>
              <w:rPr>
                <w:rFonts w:hint="eastAsia" w:ascii="Times New Roman" w:hAnsi="Times New Roman" w:eastAsia="仿宋" w:cs="Times New Roman"/>
                <w:spacing w:val="5"/>
                <w:sz w:val="24"/>
                <w:szCs w:val="24"/>
                <w:lang w:val="en-US" w:eastAsia="zh-CN"/>
              </w:rPr>
              <w:t>（吨/万元）</w:t>
            </w:r>
          </w:p>
        </w:tc>
        <w:tc>
          <w:tcPr>
            <w:tcW w:w="2260" w:type="dxa"/>
            <w:vAlign w:val="center"/>
          </w:tcPr>
          <w:p w14:paraId="54164A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r>
              <w:rPr>
                <w:rFonts w:hint="eastAsia" w:ascii="Times New Roman" w:hAnsi="Times New Roman" w:eastAsia="仿宋" w:cs="Times New Roman"/>
                <w:spacing w:val="5"/>
                <w:sz w:val="24"/>
                <w:szCs w:val="24"/>
                <w:lang w:val="en-US" w:eastAsia="zh-CN"/>
              </w:rPr>
              <w:t>、</w:t>
            </w:r>
          </w:p>
          <w:p w14:paraId="784B3C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统计局</w:t>
            </w:r>
          </w:p>
        </w:tc>
      </w:tr>
      <w:tr w14:paraId="25DB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92" w:type="dxa"/>
            <w:vAlign w:val="center"/>
          </w:tcPr>
          <w:p w14:paraId="7DE427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w:t>
            </w:r>
          </w:p>
        </w:tc>
        <w:tc>
          <w:tcPr>
            <w:tcW w:w="1143" w:type="dxa"/>
            <w:vMerge w:val="continue"/>
            <w:vAlign w:val="center"/>
          </w:tcPr>
          <w:p w14:paraId="50C7FBB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27DA837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1CFD98C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工业危险废物产生强度★</w:t>
            </w:r>
          </w:p>
        </w:tc>
        <w:tc>
          <w:tcPr>
            <w:tcW w:w="1870" w:type="dxa"/>
            <w:vAlign w:val="center"/>
          </w:tcPr>
          <w:p w14:paraId="1574F2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0.0003</w:t>
            </w:r>
          </w:p>
          <w:p w14:paraId="5A11A0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pacing w:val="5"/>
                <w:sz w:val="24"/>
                <w:szCs w:val="24"/>
                <w:lang w:val="en-US" w:eastAsia="zh-CN"/>
              </w:rPr>
              <w:t>（吨/万元）</w:t>
            </w:r>
          </w:p>
        </w:tc>
        <w:tc>
          <w:tcPr>
            <w:tcW w:w="2200" w:type="dxa"/>
            <w:vAlign w:val="center"/>
          </w:tcPr>
          <w:p w14:paraId="2AD98B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＜0.00</w:t>
            </w:r>
            <w:r>
              <w:rPr>
                <w:rFonts w:hint="default" w:ascii="Times New Roman" w:hAnsi="Times New Roman" w:eastAsia="仿宋" w:cs="Times New Roman"/>
                <w:spacing w:val="5"/>
                <w:sz w:val="24"/>
                <w:szCs w:val="24"/>
                <w:lang w:val="en-US" w:eastAsia="zh-CN"/>
              </w:rPr>
              <w:t>03</w:t>
            </w:r>
          </w:p>
          <w:p w14:paraId="21E9728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pacing w:val="5"/>
                <w:sz w:val="24"/>
                <w:szCs w:val="24"/>
                <w:lang w:val="en-US" w:eastAsia="zh-CN"/>
              </w:rPr>
              <w:t>（吨/万元）</w:t>
            </w:r>
          </w:p>
        </w:tc>
        <w:tc>
          <w:tcPr>
            <w:tcW w:w="2260" w:type="dxa"/>
            <w:vAlign w:val="center"/>
          </w:tcPr>
          <w:p w14:paraId="062C74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r>
              <w:rPr>
                <w:rFonts w:hint="eastAsia" w:ascii="Times New Roman" w:hAnsi="Times New Roman" w:eastAsia="仿宋" w:cs="Times New Roman"/>
                <w:spacing w:val="5"/>
                <w:sz w:val="24"/>
                <w:szCs w:val="24"/>
                <w:lang w:val="en-US" w:eastAsia="zh-CN"/>
              </w:rPr>
              <w:t>、</w:t>
            </w:r>
          </w:p>
          <w:p w14:paraId="7EC5AE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统计局</w:t>
            </w:r>
          </w:p>
        </w:tc>
      </w:tr>
      <w:tr w14:paraId="6920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92" w:type="dxa"/>
            <w:vAlign w:val="center"/>
          </w:tcPr>
          <w:p w14:paraId="05683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w:t>
            </w:r>
          </w:p>
        </w:tc>
        <w:tc>
          <w:tcPr>
            <w:tcW w:w="1143" w:type="dxa"/>
            <w:vMerge w:val="continue"/>
            <w:vAlign w:val="center"/>
          </w:tcPr>
          <w:p w14:paraId="09A1B84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6F205BD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65AC63F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完成清洁生产审核验收企业占比★</w:t>
            </w:r>
          </w:p>
        </w:tc>
        <w:tc>
          <w:tcPr>
            <w:tcW w:w="1870" w:type="dxa"/>
            <w:vAlign w:val="center"/>
          </w:tcPr>
          <w:p w14:paraId="3C06EBA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00" w:type="dxa"/>
            <w:vAlign w:val="center"/>
          </w:tcPr>
          <w:p w14:paraId="7B7CEF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3D5FBA5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w:t>
            </w:r>
            <w:r>
              <w:rPr>
                <w:rFonts w:hint="default" w:ascii="Times New Roman" w:hAnsi="Times New Roman" w:eastAsia="仿宋" w:cs="Times New Roman"/>
                <w:spacing w:val="5"/>
                <w:sz w:val="24"/>
                <w:szCs w:val="24"/>
                <w:lang w:val="en-US" w:eastAsia="en-US"/>
              </w:rPr>
              <w:t>生态环境局</w:t>
            </w:r>
            <w:r>
              <w:rPr>
                <w:rFonts w:hint="eastAsia" w:ascii="Times New Roman" w:hAnsi="Times New Roman" w:eastAsia="仿宋" w:cs="Times New Roman"/>
                <w:spacing w:val="5"/>
                <w:sz w:val="24"/>
                <w:szCs w:val="24"/>
                <w:lang w:val="en-US" w:eastAsia="zh-CN"/>
              </w:rPr>
              <w:t>、</w:t>
            </w:r>
          </w:p>
          <w:p w14:paraId="6B75D9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发改委</w:t>
            </w:r>
            <w:r>
              <w:rPr>
                <w:rFonts w:hint="eastAsia" w:ascii="Times New Roman" w:hAnsi="Times New Roman" w:eastAsia="仿宋" w:cs="Times New Roman"/>
                <w:spacing w:val="5"/>
                <w:sz w:val="24"/>
                <w:szCs w:val="24"/>
                <w:lang w:val="en-US" w:eastAsia="zh-CN"/>
              </w:rPr>
              <w:t>、</w:t>
            </w:r>
          </w:p>
          <w:p w14:paraId="672C164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工信局</w:t>
            </w:r>
          </w:p>
        </w:tc>
      </w:tr>
      <w:tr w14:paraId="1E9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2" w:type="dxa"/>
            <w:vAlign w:val="center"/>
          </w:tcPr>
          <w:p w14:paraId="6FE1FF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w:t>
            </w:r>
          </w:p>
        </w:tc>
        <w:tc>
          <w:tcPr>
            <w:tcW w:w="1143" w:type="dxa"/>
            <w:vMerge w:val="continue"/>
            <w:vAlign w:val="center"/>
          </w:tcPr>
          <w:p w14:paraId="5AE9ECD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0FA45530">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6AF86A4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开展绿色工厂建设的企业</w:t>
            </w:r>
            <w:r>
              <w:rPr>
                <w:rFonts w:hint="eastAsia" w:ascii="Times New Roman" w:hAnsi="Times New Roman" w:eastAsia="仿宋" w:cs="Times New Roman"/>
                <w:spacing w:val="5"/>
                <w:sz w:val="24"/>
                <w:szCs w:val="24"/>
                <w:lang w:val="en-US" w:eastAsia="zh-CN"/>
              </w:rPr>
              <w:t>个数</w:t>
            </w:r>
          </w:p>
        </w:tc>
        <w:tc>
          <w:tcPr>
            <w:tcW w:w="1870" w:type="dxa"/>
            <w:vAlign w:val="center"/>
          </w:tcPr>
          <w:p w14:paraId="5DA050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0</w:t>
            </w:r>
          </w:p>
        </w:tc>
        <w:tc>
          <w:tcPr>
            <w:tcW w:w="2200" w:type="dxa"/>
            <w:vAlign w:val="center"/>
          </w:tcPr>
          <w:p w14:paraId="104F43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w:t>
            </w:r>
          </w:p>
        </w:tc>
        <w:tc>
          <w:tcPr>
            <w:tcW w:w="2260" w:type="dxa"/>
            <w:vAlign w:val="center"/>
          </w:tcPr>
          <w:p w14:paraId="510A49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师市工信局</w:t>
            </w:r>
            <w:r>
              <w:rPr>
                <w:rFonts w:hint="eastAsia" w:ascii="Times New Roman" w:hAnsi="Times New Roman" w:eastAsia="仿宋" w:cs="Times New Roman"/>
                <w:spacing w:val="5"/>
                <w:sz w:val="24"/>
                <w:szCs w:val="24"/>
                <w:lang w:val="en-US" w:eastAsia="zh-CN"/>
              </w:rPr>
              <w:t>、</w:t>
            </w:r>
          </w:p>
        </w:tc>
      </w:tr>
      <w:tr w14:paraId="7D78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92" w:type="dxa"/>
            <w:vAlign w:val="center"/>
          </w:tcPr>
          <w:p w14:paraId="07F5B0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5</w:t>
            </w:r>
          </w:p>
        </w:tc>
        <w:tc>
          <w:tcPr>
            <w:tcW w:w="1143" w:type="dxa"/>
            <w:vMerge w:val="continue"/>
            <w:vAlign w:val="center"/>
          </w:tcPr>
          <w:p w14:paraId="1B6E8D3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7C1A1A8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76A706B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开展循环化改造工业园区</w:t>
            </w:r>
            <w:r>
              <w:rPr>
                <w:rFonts w:hint="default" w:ascii="Times New Roman" w:hAnsi="Times New Roman" w:eastAsia="仿宋" w:cs="Times New Roman"/>
                <w:spacing w:val="5"/>
                <w:sz w:val="24"/>
                <w:szCs w:val="24"/>
                <w:lang w:val="en-US" w:eastAsia="zh-CN"/>
              </w:rPr>
              <w:t>个数</w:t>
            </w:r>
          </w:p>
        </w:tc>
        <w:tc>
          <w:tcPr>
            <w:tcW w:w="1870" w:type="dxa"/>
            <w:vAlign w:val="center"/>
          </w:tcPr>
          <w:p w14:paraId="7DAABF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0</w:t>
            </w:r>
          </w:p>
        </w:tc>
        <w:tc>
          <w:tcPr>
            <w:tcW w:w="2200" w:type="dxa"/>
            <w:vAlign w:val="center"/>
          </w:tcPr>
          <w:p w14:paraId="6CD794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w:t>
            </w:r>
          </w:p>
        </w:tc>
        <w:tc>
          <w:tcPr>
            <w:tcW w:w="2260" w:type="dxa"/>
            <w:vAlign w:val="center"/>
          </w:tcPr>
          <w:p w14:paraId="33D1521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w:t>
            </w:r>
            <w:r>
              <w:rPr>
                <w:rFonts w:hint="default" w:ascii="Times New Roman" w:hAnsi="Times New Roman" w:eastAsia="仿宋" w:cs="Times New Roman"/>
                <w:spacing w:val="5"/>
                <w:sz w:val="24"/>
                <w:szCs w:val="24"/>
                <w:lang w:val="en-US" w:eastAsia="en-US"/>
              </w:rPr>
              <w:t>生态环境局</w:t>
            </w:r>
            <w:r>
              <w:rPr>
                <w:rFonts w:hint="eastAsia" w:ascii="Times New Roman" w:hAnsi="Times New Roman" w:eastAsia="仿宋" w:cs="Times New Roman"/>
                <w:spacing w:val="5"/>
                <w:sz w:val="24"/>
                <w:szCs w:val="24"/>
                <w:lang w:val="en-US" w:eastAsia="zh-CN"/>
              </w:rPr>
              <w:t>、</w:t>
            </w:r>
          </w:p>
          <w:p w14:paraId="5B7903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发改委</w:t>
            </w:r>
            <w:r>
              <w:rPr>
                <w:rFonts w:hint="eastAsia" w:ascii="Times New Roman" w:hAnsi="Times New Roman" w:eastAsia="仿宋" w:cs="Times New Roman"/>
                <w:spacing w:val="5"/>
                <w:sz w:val="24"/>
                <w:szCs w:val="24"/>
                <w:lang w:val="en-US" w:eastAsia="zh-CN"/>
              </w:rPr>
              <w:t>、</w:t>
            </w:r>
          </w:p>
          <w:p w14:paraId="1C7F95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工信局</w:t>
            </w:r>
            <w:r>
              <w:rPr>
                <w:rFonts w:hint="eastAsia" w:ascii="Times New Roman" w:hAnsi="Times New Roman" w:eastAsia="仿宋" w:cs="Times New Roman"/>
                <w:spacing w:val="5"/>
                <w:sz w:val="24"/>
                <w:szCs w:val="24"/>
                <w:lang w:val="en-US" w:eastAsia="zh-CN"/>
              </w:rPr>
              <w:t>、</w:t>
            </w:r>
          </w:p>
          <w:p w14:paraId="78D7FE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双河经开区管委会</w:t>
            </w:r>
          </w:p>
        </w:tc>
      </w:tr>
      <w:tr w14:paraId="459F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vAlign w:val="center"/>
          </w:tcPr>
          <w:p w14:paraId="273322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6</w:t>
            </w:r>
          </w:p>
        </w:tc>
        <w:tc>
          <w:tcPr>
            <w:tcW w:w="1143" w:type="dxa"/>
            <w:vMerge w:val="continue"/>
            <w:vAlign w:val="center"/>
          </w:tcPr>
          <w:p w14:paraId="6B22BD2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6AAB6E5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34A813E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color w:val="0000FF"/>
                <w:spacing w:val="5"/>
                <w:sz w:val="24"/>
                <w:szCs w:val="24"/>
                <w:lang w:val="en-US" w:eastAsia="en-US"/>
              </w:rPr>
            </w:pPr>
            <w:r>
              <w:rPr>
                <w:rFonts w:hint="default" w:ascii="Times New Roman" w:hAnsi="Times New Roman" w:eastAsia="仿宋" w:cs="Times New Roman"/>
                <w:spacing w:val="5"/>
                <w:sz w:val="24"/>
                <w:szCs w:val="24"/>
                <w:lang w:val="en-US" w:eastAsia="en-US"/>
              </w:rPr>
              <w:t>绿色矿山建成率★</w:t>
            </w:r>
          </w:p>
        </w:tc>
        <w:tc>
          <w:tcPr>
            <w:tcW w:w="1870" w:type="dxa"/>
            <w:vAlign w:val="center"/>
          </w:tcPr>
          <w:p w14:paraId="1ED808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5A66C12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pacing w:val="5"/>
                <w:sz w:val="24"/>
                <w:szCs w:val="24"/>
                <w:lang w:val="en-US" w:eastAsia="zh-CN"/>
              </w:rPr>
              <w:t>按照兵团要求推进</w:t>
            </w:r>
          </w:p>
        </w:tc>
        <w:tc>
          <w:tcPr>
            <w:tcW w:w="2260" w:type="dxa"/>
            <w:vAlign w:val="center"/>
          </w:tcPr>
          <w:p w14:paraId="4BB6D77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师市自然资源</w:t>
            </w:r>
          </w:p>
          <w:p w14:paraId="1098DFA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和规划局</w:t>
            </w:r>
          </w:p>
        </w:tc>
      </w:tr>
      <w:tr w14:paraId="2039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92" w:type="dxa"/>
            <w:vAlign w:val="center"/>
          </w:tcPr>
          <w:p w14:paraId="1B83DB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7</w:t>
            </w:r>
          </w:p>
        </w:tc>
        <w:tc>
          <w:tcPr>
            <w:tcW w:w="1143" w:type="dxa"/>
            <w:vMerge w:val="continue"/>
            <w:vAlign w:val="center"/>
          </w:tcPr>
          <w:p w14:paraId="24EB4ED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5823FEE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45E6055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城市重点行业工业企业碳排放强度降低幅度</w:t>
            </w:r>
          </w:p>
        </w:tc>
        <w:tc>
          <w:tcPr>
            <w:tcW w:w="1870" w:type="dxa"/>
            <w:vAlign w:val="center"/>
          </w:tcPr>
          <w:p w14:paraId="3DD7C5F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1264419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控制在兵团下达指标内</w:t>
            </w:r>
          </w:p>
        </w:tc>
        <w:tc>
          <w:tcPr>
            <w:tcW w:w="2260" w:type="dxa"/>
            <w:vAlign w:val="center"/>
          </w:tcPr>
          <w:p w14:paraId="095F780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2923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63C700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8</w:t>
            </w:r>
          </w:p>
        </w:tc>
        <w:tc>
          <w:tcPr>
            <w:tcW w:w="1143" w:type="dxa"/>
            <w:vMerge w:val="continue"/>
            <w:vAlign w:val="center"/>
          </w:tcPr>
          <w:p w14:paraId="60F43C7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Align w:val="center"/>
          </w:tcPr>
          <w:p w14:paraId="4D4E1B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建筑业源头减量</w:t>
            </w:r>
          </w:p>
        </w:tc>
        <w:tc>
          <w:tcPr>
            <w:tcW w:w="4739" w:type="dxa"/>
            <w:shd w:val="clear" w:color="auto" w:fill="auto"/>
            <w:vAlign w:val="center"/>
          </w:tcPr>
          <w:p w14:paraId="558772D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绿色建筑占新建建筑的比率★</w:t>
            </w:r>
          </w:p>
        </w:tc>
        <w:tc>
          <w:tcPr>
            <w:tcW w:w="1870" w:type="dxa"/>
            <w:vAlign w:val="center"/>
          </w:tcPr>
          <w:p w14:paraId="4E27A0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34C3C0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4C79E0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61C9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417395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9</w:t>
            </w:r>
          </w:p>
        </w:tc>
        <w:tc>
          <w:tcPr>
            <w:tcW w:w="1143" w:type="dxa"/>
            <w:vMerge w:val="continue"/>
            <w:vAlign w:val="center"/>
          </w:tcPr>
          <w:p w14:paraId="0CED0E5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restart"/>
            <w:vAlign w:val="center"/>
          </w:tcPr>
          <w:p w14:paraId="0BF5A41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生活领域源头减量</w:t>
            </w:r>
          </w:p>
        </w:tc>
        <w:tc>
          <w:tcPr>
            <w:tcW w:w="4739" w:type="dxa"/>
            <w:shd w:val="clear" w:color="auto" w:fill="auto"/>
            <w:vAlign w:val="center"/>
          </w:tcPr>
          <w:p w14:paraId="077AFC1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生活垃圾清运量★</w:t>
            </w:r>
          </w:p>
        </w:tc>
        <w:tc>
          <w:tcPr>
            <w:tcW w:w="1870" w:type="dxa"/>
            <w:vAlign w:val="center"/>
          </w:tcPr>
          <w:p w14:paraId="58853A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2.36万吨</w:t>
            </w:r>
          </w:p>
        </w:tc>
        <w:tc>
          <w:tcPr>
            <w:tcW w:w="2200" w:type="dxa"/>
            <w:vAlign w:val="center"/>
          </w:tcPr>
          <w:p w14:paraId="6E6EEB3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全清运</w:t>
            </w:r>
          </w:p>
        </w:tc>
        <w:tc>
          <w:tcPr>
            <w:tcW w:w="2260" w:type="dxa"/>
            <w:vAlign w:val="center"/>
          </w:tcPr>
          <w:p w14:paraId="26B9BC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5CD4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146D5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10</w:t>
            </w:r>
          </w:p>
        </w:tc>
        <w:tc>
          <w:tcPr>
            <w:tcW w:w="1143" w:type="dxa"/>
            <w:vMerge w:val="continue"/>
            <w:vAlign w:val="center"/>
          </w:tcPr>
          <w:p w14:paraId="23CC11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277DDD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p>
        </w:tc>
        <w:tc>
          <w:tcPr>
            <w:tcW w:w="4739" w:type="dxa"/>
            <w:shd w:val="clear" w:color="auto" w:fill="auto"/>
            <w:vAlign w:val="center"/>
          </w:tcPr>
          <w:p w14:paraId="01EB0A9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城市居民小区生活垃圾分类覆盖率</w:t>
            </w:r>
          </w:p>
        </w:tc>
        <w:tc>
          <w:tcPr>
            <w:tcW w:w="1870" w:type="dxa"/>
            <w:vAlign w:val="center"/>
          </w:tcPr>
          <w:p w14:paraId="4E5C6E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00" w:type="dxa"/>
            <w:vAlign w:val="center"/>
          </w:tcPr>
          <w:p w14:paraId="54BF90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7EFFEE0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师市住建局</w:t>
            </w:r>
          </w:p>
        </w:tc>
      </w:tr>
      <w:tr w14:paraId="27B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6553D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11</w:t>
            </w:r>
          </w:p>
        </w:tc>
        <w:tc>
          <w:tcPr>
            <w:tcW w:w="1143" w:type="dxa"/>
            <w:vMerge w:val="continue"/>
            <w:vAlign w:val="center"/>
          </w:tcPr>
          <w:p w14:paraId="7E7A561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62B355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2A33D96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快递绿色包装使用率</w:t>
            </w:r>
          </w:p>
        </w:tc>
        <w:tc>
          <w:tcPr>
            <w:tcW w:w="1870" w:type="dxa"/>
            <w:vAlign w:val="center"/>
          </w:tcPr>
          <w:p w14:paraId="31A8B49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97%</w:t>
            </w:r>
          </w:p>
        </w:tc>
        <w:tc>
          <w:tcPr>
            <w:tcW w:w="2200" w:type="dxa"/>
            <w:vAlign w:val="center"/>
          </w:tcPr>
          <w:p w14:paraId="3BC5A9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7733188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双河邮政分公司</w:t>
            </w:r>
          </w:p>
        </w:tc>
      </w:tr>
      <w:tr w14:paraId="7487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2CDCB8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12</w:t>
            </w:r>
          </w:p>
        </w:tc>
        <w:tc>
          <w:tcPr>
            <w:tcW w:w="1143" w:type="dxa"/>
            <w:vMerge w:val="restart"/>
            <w:vAlign w:val="center"/>
          </w:tcPr>
          <w:p w14:paraId="0E811832">
            <w:pPr>
              <w:spacing w:before="42" w:line="228" w:lineRule="auto"/>
              <w:ind w:right="2"/>
              <w:jc w:val="left"/>
              <w:rPr>
                <w:rFonts w:hint="default" w:ascii="Times New Roman" w:hAnsi="Times New Roman" w:eastAsia="仿宋" w:cs="Times New Roman"/>
                <w:spacing w:val="5"/>
                <w:sz w:val="30"/>
                <w:szCs w:val="30"/>
              </w:rPr>
            </w:pPr>
          </w:p>
          <w:p w14:paraId="1F3A95BB">
            <w:pPr>
              <w:spacing w:before="42" w:line="228" w:lineRule="auto"/>
              <w:ind w:right="2"/>
              <w:jc w:val="left"/>
              <w:rPr>
                <w:rFonts w:hint="default" w:ascii="Times New Roman" w:hAnsi="Times New Roman" w:eastAsia="仿宋" w:cs="Times New Roman"/>
                <w:spacing w:val="5"/>
                <w:sz w:val="30"/>
                <w:szCs w:val="30"/>
              </w:rPr>
            </w:pPr>
          </w:p>
          <w:p w14:paraId="12CF8B88">
            <w:pPr>
              <w:spacing w:before="42" w:line="228" w:lineRule="auto"/>
              <w:ind w:right="2"/>
              <w:jc w:val="left"/>
              <w:rPr>
                <w:rFonts w:hint="default" w:ascii="Times New Roman" w:hAnsi="Times New Roman" w:eastAsia="仿宋" w:cs="Times New Roman"/>
                <w:spacing w:val="5"/>
                <w:sz w:val="30"/>
                <w:szCs w:val="30"/>
              </w:rPr>
            </w:pPr>
          </w:p>
          <w:p w14:paraId="1C445718">
            <w:pPr>
              <w:spacing w:before="42" w:line="228" w:lineRule="auto"/>
              <w:ind w:right="2"/>
              <w:jc w:val="left"/>
              <w:rPr>
                <w:rFonts w:hint="default" w:ascii="Times New Roman" w:hAnsi="Times New Roman" w:eastAsia="仿宋" w:cs="Times New Roman"/>
                <w:spacing w:val="5"/>
                <w:sz w:val="30"/>
                <w:szCs w:val="30"/>
              </w:rPr>
            </w:pPr>
          </w:p>
          <w:p w14:paraId="59211F5F">
            <w:pPr>
              <w:spacing w:before="42" w:line="228" w:lineRule="auto"/>
              <w:ind w:right="2"/>
              <w:jc w:val="left"/>
              <w:rPr>
                <w:rFonts w:hint="default" w:ascii="Times New Roman" w:hAnsi="Times New Roman" w:eastAsia="仿宋" w:cs="Times New Roman"/>
                <w:spacing w:val="5"/>
                <w:sz w:val="30"/>
                <w:szCs w:val="30"/>
              </w:rPr>
            </w:pPr>
          </w:p>
          <w:p w14:paraId="0FFA91C4">
            <w:pPr>
              <w:spacing w:before="42" w:line="228" w:lineRule="auto"/>
              <w:ind w:right="2"/>
              <w:jc w:val="left"/>
              <w:rPr>
                <w:rFonts w:hint="default" w:ascii="Times New Roman" w:hAnsi="Times New Roman" w:eastAsia="仿宋" w:cs="Times New Roman"/>
                <w:spacing w:val="5"/>
                <w:sz w:val="30"/>
                <w:szCs w:val="30"/>
              </w:rPr>
            </w:pPr>
          </w:p>
          <w:p w14:paraId="63212E95">
            <w:pPr>
              <w:spacing w:before="42" w:line="228" w:lineRule="auto"/>
              <w:ind w:right="2"/>
              <w:jc w:val="left"/>
              <w:rPr>
                <w:rFonts w:hint="default" w:ascii="Times New Roman" w:hAnsi="Times New Roman" w:eastAsia="仿宋" w:cs="Times New Roman"/>
                <w:spacing w:val="5"/>
                <w:sz w:val="30"/>
                <w:szCs w:val="30"/>
              </w:rPr>
            </w:pPr>
          </w:p>
          <w:p w14:paraId="61264B8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lang w:eastAsia="zh-CN"/>
              </w:rPr>
            </w:pPr>
            <w:r>
              <w:rPr>
                <w:rFonts w:hint="default" w:ascii="Times New Roman" w:hAnsi="Times New Roman" w:eastAsia="仿宋" w:cs="Times New Roman"/>
                <w:spacing w:val="5"/>
                <w:sz w:val="24"/>
                <w:szCs w:val="24"/>
                <w:lang w:val="en-US" w:eastAsia="zh-CN"/>
              </w:rPr>
              <w:t>固体废物资源化利用</w:t>
            </w:r>
          </w:p>
        </w:tc>
        <w:tc>
          <w:tcPr>
            <w:tcW w:w="1401" w:type="dxa"/>
            <w:vMerge w:val="restart"/>
            <w:shd w:val="clear" w:color="auto" w:fill="auto"/>
            <w:vAlign w:val="center"/>
          </w:tcPr>
          <w:p w14:paraId="161154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工业固体废物资源化利用</w:t>
            </w:r>
          </w:p>
        </w:tc>
        <w:tc>
          <w:tcPr>
            <w:tcW w:w="4739" w:type="dxa"/>
            <w:shd w:val="clear" w:color="auto" w:fill="auto"/>
            <w:vAlign w:val="center"/>
          </w:tcPr>
          <w:p w14:paraId="2FF4E69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一般工业固体废物综合</w:t>
            </w:r>
            <w:r>
              <w:rPr>
                <w:rFonts w:hint="eastAsia" w:ascii="Times New Roman" w:hAnsi="Times New Roman" w:eastAsia="仿宋" w:cs="Times New Roman"/>
                <w:spacing w:val="5"/>
                <w:sz w:val="24"/>
                <w:szCs w:val="24"/>
                <w:lang w:val="en-US" w:eastAsia="zh-CN"/>
              </w:rPr>
              <w:t>处置</w:t>
            </w:r>
            <w:r>
              <w:rPr>
                <w:rFonts w:hint="default" w:ascii="Times New Roman" w:hAnsi="Times New Roman" w:eastAsia="仿宋" w:cs="Times New Roman"/>
                <w:spacing w:val="5"/>
                <w:sz w:val="24"/>
                <w:szCs w:val="24"/>
                <w:lang w:val="en-US" w:eastAsia="en-US"/>
              </w:rPr>
              <w:t>利用率★</w:t>
            </w:r>
          </w:p>
        </w:tc>
        <w:tc>
          <w:tcPr>
            <w:tcW w:w="1870" w:type="dxa"/>
            <w:vAlign w:val="center"/>
          </w:tcPr>
          <w:p w14:paraId="03AB29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9</w:t>
            </w:r>
            <w:r>
              <w:rPr>
                <w:rFonts w:hint="eastAsia" w:ascii="Times New Roman" w:hAnsi="Times New Roman" w:eastAsia="仿宋" w:cs="Times New Roman"/>
                <w:spacing w:val="5"/>
                <w:sz w:val="24"/>
                <w:szCs w:val="24"/>
                <w:lang w:val="en-US" w:eastAsia="zh-CN"/>
              </w:rPr>
              <w:t>5</w:t>
            </w:r>
            <w:r>
              <w:rPr>
                <w:rFonts w:hint="default" w:ascii="Times New Roman" w:hAnsi="Times New Roman" w:eastAsia="仿宋" w:cs="Times New Roman"/>
                <w:spacing w:val="5"/>
                <w:sz w:val="24"/>
                <w:szCs w:val="24"/>
                <w:lang w:val="en-US" w:eastAsia="en-US"/>
              </w:rPr>
              <w:t>.8%</w:t>
            </w:r>
          </w:p>
        </w:tc>
        <w:tc>
          <w:tcPr>
            <w:tcW w:w="2200" w:type="dxa"/>
            <w:vAlign w:val="center"/>
          </w:tcPr>
          <w:p w14:paraId="26D583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97%</w:t>
            </w:r>
          </w:p>
        </w:tc>
        <w:tc>
          <w:tcPr>
            <w:tcW w:w="2260" w:type="dxa"/>
            <w:vAlign w:val="center"/>
          </w:tcPr>
          <w:p w14:paraId="00F63C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41A8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4A08C0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13</w:t>
            </w:r>
          </w:p>
        </w:tc>
        <w:tc>
          <w:tcPr>
            <w:tcW w:w="1143" w:type="dxa"/>
            <w:vMerge w:val="continue"/>
            <w:vAlign w:val="center"/>
          </w:tcPr>
          <w:p w14:paraId="4A01BEC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1867653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p>
        </w:tc>
        <w:tc>
          <w:tcPr>
            <w:tcW w:w="4739" w:type="dxa"/>
            <w:shd w:val="clear" w:color="auto" w:fill="auto"/>
            <w:vAlign w:val="center"/>
          </w:tcPr>
          <w:p w14:paraId="38E2E0F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工业危险废物综合</w:t>
            </w:r>
            <w:r>
              <w:rPr>
                <w:rFonts w:hint="eastAsia" w:ascii="Times New Roman" w:hAnsi="Times New Roman" w:eastAsia="仿宋" w:cs="Times New Roman"/>
                <w:spacing w:val="5"/>
                <w:sz w:val="24"/>
                <w:szCs w:val="24"/>
                <w:lang w:val="en-US" w:eastAsia="zh-CN"/>
              </w:rPr>
              <w:t>处置</w:t>
            </w:r>
            <w:r>
              <w:rPr>
                <w:rFonts w:hint="default" w:ascii="Times New Roman" w:hAnsi="Times New Roman" w:eastAsia="仿宋" w:cs="Times New Roman"/>
                <w:spacing w:val="5"/>
                <w:sz w:val="24"/>
                <w:szCs w:val="24"/>
                <w:lang w:val="en-US" w:eastAsia="en-US"/>
              </w:rPr>
              <w:t>利用率★</w:t>
            </w:r>
          </w:p>
        </w:tc>
        <w:tc>
          <w:tcPr>
            <w:tcW w:w="1870" w:type="dxa"/>
            <w:vAlign w:val="center"/>
          </w:tcPr>
          <w:p w14:paraId="583939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6</w:t>
            </w:r>
            <w:r>
              <w:rPr>
                <w:rFonts w:hint="eastAsia" w:ascii="Times New Roman" w:hAnsi="Times New Roman" w:eastAsia="仿宋" w:cs="Times New Roman"/>
                <w:spacing w:val="5"/>
                <w:sz w:val="24"/>
                <w:szCs w:val="24"/>
                <w:lang w:val="en-US" w:eastAsia="zh-CN"/>
              </w:rPr>
              <w:t>5</w:t>
            </w:r>
            <w:r>
              <w:rPr>
                <w:rFonts w:hint="default" w:ascii="Times New Roman" w:hAnsi="Times New Roman" w:eastAsia="仿宋" w:cs="Times New Roman"/>
                <w:spacing w:val="5"/>
                <w:sz w:val="24"/>
                <w:szCs w:val="24"/>
                <w:lang w:val="en-US" w:eastAsia="zh-CN"/>
              </w:rPr>
              <w:t>.04%</w:t>
            </w:r>
          </w:p>
        </w:tc>
        <w:tc>
          <w:tcPr>
            <w:tcW w:w="2200" w:type="dxa"/>
            <w:vAlign w:val="center"/>
          </w:tcPr>
          <w:p w14:paraId="5D137C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70%</w:t>
            </w:r>
          </w:p>
        </w:tc>
        <w:tc>
          <w:tcPr>
            <w:tcW w:w="2260" w:type="dxa"/>
            <w:vAlign w:val="center"/>
          </w:tcPr>
          <w:p w14:paraId="0109E01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23F8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92" w:type="dxa"/>
            <w:vAlign w:val="center"/>
          </w:tcPr>
          <w:p w14:paraId="24EC8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14</w:t>
            </w:r>
          </w:p>
        </w:tc>
        <w:tc>
          <w:tcPr>
            <w:tcW w:w="1143" w:type="dxa"/>
            <w:vMerge w:val="continue"/>
            <w:vAlign w:val="center"/>
          </w:tcPr>
          <w:p w14:paraId="4440EE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restart"/>
            <w:vAlign w:val="center"/>
          </w:tcPr>
          <w:p w14:paraId="40C2FE6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635CDC6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65B0F7A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5FE933F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8A5D37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4A65E1A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农业废弃物资源化利用</w:t>
            </w:r>
          </w:p>
        </w:tc>
        <w:tc>
          <w:tcPr>
            <w:tcW w:w="4739" w:type="dxa"/>
            <w:shd w:val="clear" w:color="auto" w:fill="auto"/>
            <w:vAlign w:val="center"/>
          </w:tcPr>
          <w:p w14:paraId="7F8441C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秸秆收储运体系覆盖率</w:t>
            </w:r>
          </w:p>
        </w:tc>
        <w:tc>
          <w:tcPr>
            <w:tcW w:w="1870" w:type="dxa"/>
            <w:shd w:val="clear" w:color="auto" w:fill="auto"/>
            <w:vAlign w:val="center"/>
          </w:tcPr>
          <w:p w14:paraId="0794DC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00" w:type="dxa"/>
            <w:shd w:val="clear" w:color="auto" w:fill="auto"/>
            <w:vAlign w:val="center"/>
          </w:tcPr>
          <w:p w14:paraId="4BA2B35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60" w:type="dxa"/>
            <w:vAlign w:val="center"/>
          </w:tcPr>
          <w:p w14:paraId="10A0C02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师市农业农村局</w:t>
            </w:r>
          </w:p>
        </w:tc>
      </w:tr>
      <w:tr w14:paraId="27C2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2" w:type="dxa"/>
            <w:vAlign w:val="center"/>
          </w:tcPr>
          <w:p w14:paraId="6BCAD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15</w:t>
            </w:r>
          </w:p>
        </w:tc>
        <w:tc>
          <w:tcPr>
            <w:tcW w:w="1143" w:type="dxa"/>
            <w:vMerge w:val="continue"/>
            <w:vAlign w:val="center"/>
          </w:tcPr>
          <w:p w14:paraId="007A96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4553A3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76929AF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畜禽粪污收储体系覆盖率</w:t>
            </w:r>
          </w:p>
        </w:tc>
        <w:tc>
          <w:tcPr>
            <w:tcW w:w="1870" w:type="dxa"/>
            <w:shd w:val="clear" w:color="auto" w:fill="auto"/>
            <w:vAlign w:val="center"/>
          </w:tcPr>
          <w:p w14:paraId="5172BA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00" w:type="dxa"/>
            <w:shd w:val="clear" w:color="auto" w:fill="auto"/>
            <w:vAlign w:val="center"/>
          </w:tcPr>
          <w:p w14:paraId="59F29C3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60" w:type="dxa"/>
            <w:vAlign w:val="center"/>
          </w:tcPr>
          <w:p w14:paraId="1B54E7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师市农业农村局</w:t>
            </w:r>
          </w:p>
        </w:tc>
      </w:tr>
      <w:tr w14:paraId="210B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2" w:type="dxa"/>
            <w:vAlign w:val="center"/>
          </w:tcPr>
          <w:p w14:paraId="54C48B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16</w:t>
            </w:r>
          </w:p>
        </w:tc>
        <w:tc>
          <w:tcPr>
            <w:tcW w:w="1143" w:type="dxa"/>
            <w:vMerge w:val="continue"/>
            <w:vAlign w:val="center"/>
          </w:tcPr>
          <w:p w14:paraId="4206C1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454211D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1F2ED19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秸秆综合利用率★</w:t>
            </w:r>
          </w:p>
        </w:tc>
        <w:tc>
          <w:tcPr>
            <w:tcW w:w="1870" w:type="dxa"/>
            <w:shd w:val="clear" w:color="auto" w:fill="auto"/>
            <w:vAlign w:val="center"/>
          </w:tcPr>
          <w:p w14:paraId="6F8ED3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93.14%</w:t>
            </w:r>
          </w:p>
        </w:tc>
        <w:tc>
          <w:tcPr>
            <w:tcW w:w="2200" w:type="dxa"/>
            <w:shd w:val="clear" w:color="auto" w:fill="auto"/>
            <w:vAlign w:val="center"/>
          </w:tcPr>
          <w:p w14:paraId="1B78E5D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95%以上</w:t>
            </w:r>
          </w:p>
        </w:tc>
        <w:tc>
          <w:tcPr>
            <w:tcW w:w="2260" w:type="dxa"/>
            <w:vAlign w:val="center"/>
          </w:tcPr>
          <w:p w14:paraId="189F602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1068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2" w:type="dxa"/>
            <w:vAlign w:val="center"/>
          </w:tcPr>
          <w:p w14:paraId="3CDBB5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17</w:t>
            </w:r>
          </w:p>
        </w:tc>
        <w:tc>
          <w:tcPr>
            <w:tcW w:w="1143" w:type="dxa"/>
            <w:vMerge w:val="continue"/>
            <w:vAlign w:val="center"/>
          </w:tcPr>
          <w:p w14:paraId="4CC03C4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052FE6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4389A66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畜禽粪污综合利用率★</w:t>
            </w:r>
          </w:p>
        </w:tc>
        <w:tc>
          <w:tcPr>
            <w:tcW w:w="1870" w:type="dxa"/>
            <w:shd w:val="clear" w:color="auto" w:fill="auto"/>
            <w:vAlign w:val="center"/>
          </w:tcPr>
          <w:p w14:paraId="54C68E9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92.95%</w:t>
            </w:r>
          </w:p>
        </w:tc>
        <w:tc>
          <w:tcPr>
            <w:tcW w:w="2200" w:type="dxa"/>
            <w:shd w:val="clear" w:color="auto" w:fill="auto"/>
            <w:vAlign w:val="center"/>
          </w:tcPr>
          <w:p w14:paraId="094E79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93%以上</w:t>
            </w:r>
          </w:p>
        </w:tc>
        <w:tc>
          <w:tcPr>
            <w:tcW w:w="2260" w:type="dxa"/>
            <w:vAlign w:val="center"/>
          </w:tcPr>
          <w:p w14:paraId="3B9E0A0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2EF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92" w:type="dxa"/>
            <w:vAlign w:val="center"/>
          </w:tcPr>
          <w:p w14:paraId="6A803B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18</w:t>
            </w:r>
          </w:p>
        </w:tc>
        <w:tc>
          <w:tcPr>
            <w:tcW w:w="1143" w:type="dxa"/>
            <w:vMerge w:val="continue"/>
            <w:vAlign w:val="center"/>
          </w:tcPr>
          <w:p w14:paraId="71B1C7C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692270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59E5930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农膜回收率★</w:t>
            </w:r>
          </w:p>
        </w:tc>
        <w:tc>
          <w:tcPr>
            <w:tcW w:w="1870" w:type="dxa"/>
            <w:shd w:val="clear" w:color="auto" w:fill="auto"/>
            <w:vAlign w:val="center"/>
          </w:tcPr>
          <w:p w14:paraId="3AAE45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90%</w:t>
            </w:r>
          </w:p>
        </w:tc>
        <w:tc>
          <w:tcPr>
            <w:tcW w:w="2200" w:type="dxa"/>
            <w:shd w:val="clear" w:color="auto" w:fill="auto"/>
            <w:vAlign w:val="center"/>
          </w:tcPr>
          <w:p w14:paraId="35A7A6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90%以上</w:t>
            </w:r>
          </w:p>
        </w:tc>
        <w:tc>
          <w:tcPr>
            <w:tcW w:w="2260" w:type="dxa"/>
            <w:vAlign w:val="center"/>
          </w:tcPr>
          <w:p w14:paraId="4B9C12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1DCA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92" w:type="dxa"/>
            <w:vAlign w:val="center"/>
          </w:tcPr>
          <w:p w14:paraId="2FAA68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19</w:t>
            </w:r>
          </w:p>
        </w:tc>
        <w:tc>
          <w:tcPr>
            <w:tcW w:w="1143" w:type="dxa"/>
            <w:vMerge w:val="continue"/>
            <w:vAlign w:val="center"/>
          </w:tcPr>
          <w:p w14:paraId="006F23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D2E51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30B837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农药包装废弃物回收率</w:t>
            </w:r>
          </w:p>
        </w:tc>
        <w:tc>
          <w:tcPr>
            <w:tcW w:w="1870" w:type="dxa"/>
            <w:shd w:val="clear" w:color="auto" w:fill="auto"/>
            <w:vAlign w:val="center"/>
          </w:tcPr>
          <w:p w14:paraId="4139910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90%</w:t>
            </w:r>
          </w:p>
        </w:tc>
        <w:tc>
          <w:tcPr>
            <w:tcW w:w="2200" w:type="dxa"/>
            <w:shd w:val="clear" w:color="auto" w:fill="auto"/>
            <w:vAlign w:val="center"/>
          </w:tcPr>
          <w:p w14:paraId="5C57DD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90%以上</w:t>
            </w:r>
          </w:p>
        </w:tc>
        <w:tc>
          <w:tcPr>
            <w:tcW w:w="2260" w:type="dxa"/>
            <w:vAlign w:val="center"/>
          </w:tcPr>
          <w:p w14:paraId="540575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534B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2" w:type="dxa"/>
            <w:vAlign w:val="center"/>
          </w:tcPr>
          <w:p w14:paraId="108859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20</w:t>
            </w:r>
          </w:p>
        </w:tc>
        <w:tc>
          <w:tcPr>
            <w:tcW w:w="1143" w:type="dxa"/>
            <w:vMerge w:val="continue"/>
            <w:vAlign w:val="center"/>
          </w:tcPr>
          <w:p w14:paraId="748872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40088D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62377D3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化学农药施用量亩均下降幅度</w:t>
            </w:r>
          </w:p>
        </w:tc>
        <w:tc>
          <w:tcPr>
            <w:tcW w:w="1870" w:type="dxa"/>
            <w:shd w:val="clear" w:color="auto" w:fill="auto"/>
            <w:vAlign w:val="center"/>
          </w:tcPr>
          <w:p w14:paraId="2CEDDF2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3%</w:t>
            </w:r>
          </w:p>
        </w:tc>
        <w:tc>
          <w:tcPr>
            <w:tcW w:w="2200" w:type="dxa"/>
            <w:shd w:val="clear" w:color="auto" w:fill="auto"/>
            <w:vAlign w:val="center"/>
          </w:tcPr>
          <w:p w14:paraId="26B79A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zh-CN" w:bidi="ar-SA"/>
              </w:rPr>
            </w:pPr>
            <w:r>
              <w:rPr>
                <w:rFonts w:hint="default" w:ascii="Times New Roman" w:hAnsi="Times New Roman" w:eastAsia="仿宋" w:cs="Times New Roman"/>
                <w:spacing w:val="5"/>
                <w:kern w:val="2"/>
                <w:sz w:val="22"/>
                <w:szCs w:val="22"/>
                <w:lang w:val="en-US" w:eastAsia="zh-CN" w:bidi="ar-SA"/>
              </w:rPr>
              <w:t>亩均施用量负增长</w:t>
            </w:r>
          </w:p>
        </w:tc>
        <w:tc>
          <w:tcPr>
            <w:tcW w:w="2260" w:type="dxa"/>
            <w:vAlign w:val="center"/>
          </w:tcPr>
          <w:p w14:paraId="523615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b/>
                <w:bCs/>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1092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92" w:type="dxa"/>
            <w:vAlign w:val="center"/>
          </w:tcPr>
          <w:p w14:paraId="5F05B0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21</w:t>
            </w:r>
          </w:p>
        </w:tc>
        <w:tc>
          <w:tcPr>
            <w:tcW w:w="1143" w:type="dxa"/>
            <w:vMerge w:val="continue"/>
            <w:vAlign w:val="center"/>
          </w:tcPr>
          <w:p w14:paraId="6F5393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1C58BA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3DAB371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化学肥料施用量亩均下降幅度</w:t>
            </w:r>
          </w:p>
        </w:tc>
        <w:tc>
          <w:tcPr>
            <w:tcW w:w="1870" w:type="dxa"/>
            <w:shd w:val="clear" w:color="auto" w:fill="auto"/>
            <w:vAlign w:val="center"/>
          </w:tcPr>
          <w:p w14:paraId="31E6C8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2%</w:t>
            </w:r>
          </w:p>
        </w:tc>
        <w:tc>
          <w:tcPr>
            <w:tcW w:w="2200" w:type="dxa"/>
            <w:shd w:val="clear" w:color="auto" w:fill="auto"/>
            <w:vAlign w:val="center"/>
          </w:tcPr>
          <w:p w14:paraId="7F7AD5B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kern w:val="2"/>
                <w:sz w:val="22"/>
                <w:szCs w:val="22"/>
                <w:lang w:val="en-US" w:eastAsia="zh-CN" w:bidi="ar-SA"/>
              </w:rPr>
              <w:t>亩均施用量负增长</w:t>
            </w:r>
          </w:p>
        </w:tc>
        <w:tc>
          <w:tcPr>
            <w:tcW w:w="2260" w:type="dxa"/>
            <w:vAlign w:val="center"/>
          </w:tcPr>
          <w:p w14:paraId="14B788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师市农业农村局</w:t>
            </w:r>
          </w:p>
        </w:tc>
      </w:tr>
      <w:tr w14:paraId="089F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60DED3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22</w:t>
            </w:r>
          </w:p>
        </w:tc>
        <w:tc>
          <w:tcPr>
            <w:tcW w:w="1143" w:type="dxa"/>
            <w:vMerge w:val="continue"/>
            <w:vAlign w:val="center"/>
          </w:tcPr>
          <w:p w14:paraId="2EA8A18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Align w:val="center"/>
          </w:tcPr>
          <w:p w14:paraId="59688DA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建筑垃圾资源化</w:t>
            </w:r>
          </w:p>
          <w:p w14:paraId="5AE3845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利用</w:t>
            </w:r>
          </w:p>
        </w:tc>
        <w:tc>
          <w:tcPr>
            <w:tcW w:w="4739" w:type="dxa"/>
            <w:vAlign w:val="center"/>
          </w:tcPr>
          <w:p w14:paraId="4971DC8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建筑垃圾资源化利用率★</w:t>
            </w:r>
          </w:p>
        </w:tc>
        <w:tc>
          <w:tcPr>
            <w:tcW w:w="1870" w:type="dxa"/>
            <w:vAlign w:val="center"/>
          </w:tcPr>
          <w:p w14:paraId="60F156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307CB1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50%</w:t>
            </w:r>
          </w:p>
        </w:tc>
        <w:tc>
          <w:tcPr>
            <w:tcW w:w="2260" w:type="dxa"/>
            <w:vAlign w:val="center"/>
          </w:tcPr>
          <w:p w14:paraId="1D04CA3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3EA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2" w:type="dxa"/>
            <w:vAlign w:val="center"/>
          </w:tcPr>
          <w:p w14:paraId="4B91D4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23</w:t>
            </w:r>
          </w:p>
        </w:tc>
        <w:tc>
          <w:tcPr>
            <w:tcW w:w="1143" w:type="dxa"/>
            <w:vMerge w:val="continue"/>
            <w:vAlign w:val="center"/>
          </w:tcPr>
          <w:p w14:paraId="5B7C4E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restart"/>
            <w:vAlign w:val="center"/>
          </w:tcPr>
          <w:p w14:paraId="2066BAE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生活领域固体废物资源化</w:t>
            </w:r>
          </w:p>
          <w:p w14:paraId="1903881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利用</w:t>
            </w:r>
          </w:p>
        </w:tc>
        <w:tc>
          <w:tcPr>
            <w:tcW w:w="4739" w:type="dxa"/>
            <w:shd w:val="clear" w:color="auto" w:fill="auto"/>
            <w:vAlign w:val="center"/>
          </w:tcPr>
          <w:p w14:paraId="3866115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生活垃圾回收利用率★</w:t>
            </w:r>
          </w:p>
        </w:tc>
        <w:tc>
          <w:tcPr>
            <w:tcW w:w="1870" w:type="dxa"/>
            <w:shd w:val="clear" w:color="auto" w:fill="auto"/>
            <w:vAlign w:val="center"/>
          </w:tcPr>
          <w:p w14:paraId="4E75F40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40%</w:t>
            </w:r>
          </w:p>
        </w:tc>
        <w:tc>
          <w:tcPr>
            <w:tcW w:w="2200" w:type="dxa"/>
            <w:shd w:val="clear" w:color="auto" w:fill="auto"/>
            <w:vAlign w:val="center"/>
          </w:tcPr>
          <w:p w14:paraId="1EE7E4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50%</w:t>
            </w:r>
          </w:p>
        </w:tc>
        <w:tc>
          <w:tcPr>
            <w:tcW w:w="2260" w:type="dxa"/>
            <w:vAlign w:val="center"/>
          </w:tcPr>
          <w:p w14:paraId="22C2C4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43D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92" w:type="dxa"/>
            <w:vAlign w:val="center"/>
          </w:tcPr>
          <w:p w14:paraId="6B167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24</w:t>
            </w:r>
          </w:p>
        </w:tc>
        <w:tc>
          <w:tcPr>
            <w:tcW w:w="1143" w:type="dxa"/>
            <w:vMerge w:val="continue"/>
            <w:vAlign w:val="center"/>
          </w:tcPr>
          <w:p w14:paraId="5D6FE8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7DD1A5B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7B6DDBE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再生资源回收量增长率</w:t>
            </w:r>
          </w:p>
        </w:tc>
        <w:tc>
          <w:tcPr>
            <w:tcW w:w="1870" w:type="dxa"/>
            <w:vAlign w:val="center"/>
          </w:tcPr>
          <w:p w14:paraId="298BBF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90%</w:t>
            </w:r>
          </w:p>
        </w:tc>
        <w:tc>
          <w:tcPr>
            <w:tcW w:w="2200" w:type="dxa"/>
            <w:vAlign w:val="center"/>
          </w:tcPr>
          <w:p w14:paraId="15B98A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90%以上</w:t>
            </w:r>
          </w:p>
        </w:tc>
        <w:tc>
          <w:tcPr>
            <w:tcW w:w="2260" w:type="dxa"/>
            <w:vAlign w:val="center"/>
          </w:tcPr>
          <w:p w14:paraId="2CED4E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师市商务局</w:t>
            </w:r>
          </w:p>
        </w:tc>
      </w:tr>
      <w:tr w14:paraId="2F4F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92" w:type="dxa"/>
            <w:vAlign w:val="center"/>
          </w:tcPr>
          <w:p w14:paraId="65378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25</w:t>
            </w:r>
          </w:p>
        </w:tc>
        <w:tc>
          <w:tcPr>
            <w:tcW w:w="1143" w:type="dxa"/>
            <w:vMerge w:val="continue"/>
            <w:vAlign w:val="center"/>
          </w:tcPr>
          <w:p w14:paraId="7167F1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009E2F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5119AF1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医疗卫生机构可回收物回收率★</w:t>
            </w:r>
          </w:p>
        </w:tc>
        <w:tc>
          <w:tcPr>
            <w:tcW w:w="1870" w:type="dxa"/>
            <w:vAlign w:val="center"/>
          </w:tcPr>
          <w:p w14:paraId="6023953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98%</w:t>
            </w:r>
          </w:p>
        </w:tc>
        <w:tc>
          <w:tcPr>
            <w:tcW w:w="2200" w:type="dxa"/>
            <w:vAlign w:val="center"/>
          </w:tcPr>
          <w:p w14:paraId="7369E8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2A39218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师市卫健委</w:t>
            </w:r>
          </w:p>
        </w:tc>
      </w:tr>
      <w:tr w14:paraId="1C4A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30ECB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26</w:t>
            </w:r>
          </w:p>
        </w:tc>
        <w:tc>
          <w:tcPr>
            <w:tcW w:w="1143" w:type="dxa"/>
            <w:vMerge w:val="restart"/>
            <w:vAlign w:val="center"/>
          </w:tcPr>
          <w:p w14:paraId="2DF2628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EBF40F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D63814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3E684D7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3456156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572DD8A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D1DEB6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08372E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固体废物最终处置</w:t>
            </w:r>
          </w:p>
        </w:tc>
        <w:tc>
          <w:tcPr>
            <w:tcW w:w="1401" w:type="dxa"/>
            <w:vMerge w:val="restart"/>
            <w:vAlign w:val="center"/>
          </w:tcPr>
          <w:p w14:paraId="16CA1FD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危险废物</w:t>
            </w:r>
          </w:p>
          <w:p w14:paraId="2B87843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安全处置</w:t>
            </w:r>
          </w:p>
        </w:tc>
        <w:tc>
          <w:tcPr>
            <w:tcW w:w="4739" w:type="dxa"/>
            <w:shd w:val="clear" w:color="auto" w:fill="auto"/>
            <w:vAlign w:val="center"/>
          </w:tcPr>
          <w:p w14:paraId="7531263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工业危险废物填埋处置量下降幅度★</w:t>
            </w:r>
          </w:p>
        </w:tc>
        <w:tc>
          <w:tcPr>
            <w:tcW w:w="1870" w:type="dxa"/>
            <w:vAlign w:val="center"/>
          </w:tcPr>
          <w:p w14:paraId="23FA88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349204B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保持</w:t>
            </w:r>
            <w:r>
              <w:rPr>
                <w:rFonts w:hint="eastAsia" w:ascii="Times New Roman" w:hAnsi="Times New Roman" w:eastAsia="仿宋" w:cs="Times New Roman"/>
                <w:spacing w:val="5"/>
                <w:sz w:val="24"/>
                <w:szCs w:val="24"/>
                <w:lang w:val="en-US" w:eastAsia="zh-CN"/>
              </w:rPr>
              <w:t>“</w:t>
            </w:r>
            <w:r>
              <w:rPr>
                <w:rFonts w:hint="default" w:ascii="Times New Roman" w:hAnsi="Times New Roman" w:eastAsia="仿宋" w:cs="Times New Roman"/>
                <w:spacing w:val="5"/>
                <w:sz w:val="24"/>
                <w:szCs w:val="24"/>
                <w:lang w:val="en-US" w:eastAsia="zh-CN"/>
              </w:rPr>
              <w:t>零增长</w:t>
            </w:r>
            <w:r>
              <w:rPr>
                <w:rFonts w:hint="eastAsia" w:ascii="Times New Roman" w:hAnsi="Times New Roman" w:eastAsia="仿宋" w:cs="Times New Roman"/>
                <w:spacing w:val="5"/>
                <w:sz w:val="24"/>
                <w:szCs w:val="24"/>
                <w:lang w:val="en-US" w:eastAsia="zh-CN"/>
              </w:rPr>
              <w:t>”</w:t>
            </w:r>
          </w:p>
        </w:tc>
        <w:tc>
          <w:tcPr>
            <w:tcW w:w="2260" w:type="dxa"/>
            <w:vAlign w:val="center"/>
          </w:tcPr>
          <w:p w14:paraId="1AF901C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4EA9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92" w:type="dxa"/>
            <w:vAlign w:val="center"/>
          </w:tcPr>
          <w:p w14:paraId="5ADDD9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27</w:t>
            </w:r>
          </w:p>
        </w:tc>
        <w:tc>
          <w:tcPr>
            <w:tcW w:w="1143" w:type="dxa"/>
            <w:vMerge w:val="continue"/>
            <w:vAlign w:val="center"/>
          </w:tcPr>
          <w:p w14:paraId="6FF200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763079C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09D4CF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医疗废物收集处置体系覆盖率★</w:t>
            </w:r>
          </w:p>
        </w:tc>
        <w:tc>
          <w:tcPr>
            <w:tcW w:w="1870" w:type="dxa"/>
            <w:shd w:val="clear" w:color="auto" w:fill="auto"/>
            <w:vAlign w:val="center"/>
          </w:tcPr>
          <w:p w14:paraId="0DCE0AE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00" w:type="dxa"/>
            <w:shd w:val="clear" w:color="auto" w:fill="auto"/>
            <w:vAlign w:val="center"/>
          </w:tcPr>
          <w:p w14:paraId="08F3FF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60" w:type="dxa"/>
            <w:vAlign w:val="center"/>
          </w:tcPr>
          <w:p w14:paraId="63503B3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师市卫健委、住建局</w:t>
            </w:r>
          </w:p>
        </w:tc>
      </w:tr>
      <w:tr w14:paraId="4057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7257B7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28</w:t>
            </w:r>
          </w:p>
        </w:tc>
        <w:tc>
          <w:tcPr>
            <w:tcW w:w="1143" w:type="dxa"/>
            <w:vMerge w:val="continue"/>
            <w:vAlign w:val="center"/>
          </w:tcPr>
          <w:p w14:paraId="7EF759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D7537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vAlign w:val="center"/>
          </w:tcPr>
          <w:p w14:paraId="532CFAF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社会源危险废物收运体系</w:t>
            </w:r>
          </w:p>
        </w:tc>
        <w:tc>
          <w:tcPr>
            <w:tcW w:w="1870" w:type="dxa"/>
            <w:vAlign w:val="center"/>
          </w:tcPr>
          <w:p w14:paraId="6078B0C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786E32B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建立社会源危险废物收运</w:t>
            </w:r>
            <w:r>
              <w:rPr>
                <w:rFonts w:hint="eastAsia" w:ascii="Times New Roman" w:hAnsi="Times New Roman" w:eastAsia="仿宋" w:cs="Times New Roman"/>
                <w:spacing w:val="5"/>
                <w:sz w:val="24"/>
                <w:szCs w:val="24"/>
                <w:lang w:val="en-US" w:eastAsia="zh-CN"/>
              </w:rPr>
              <w:t>模式</w:t>
            </w:r>
          </w:p>
          <w:p w14:paraId="16CF19F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体系</w:t>
            </w:r>
          </w:p>
        </w:tc>
        <w:tc>
          <w:tcPr>
            <w:tcW w:w="2260" w:type="dxa"/>
            <w:vAlign w:val="center"/>
          </w:tcPr>
          <w:p w14:paraId="5E755DA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师市生态环境局、各产废单位行业</w:t>
            </w:r>
          </w:p>
          <w:p w14:paraId="43C9ADD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主管部门</w:t>
            </w:r>
          </w:p>
        </w:tc>
      </w:tr>
      <w:tr w14:paraId="5355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747869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29</w:t>
            </w:r>
          </w:p>
        </w:tc>
        <w:tc>
          <w:tcPr>
            <w:tcW w:w="1143" w:type="dxa"/>
            <w:vMerge w:val="continue"/>
            <w:vAlign w:val="center"/>
          </w:tcPr>
          <w:p w14:paraId="2007C4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shd w:val="clear" w:color="auto" w:fill="auto"/>
            <w:vAlign w:val="top"/>
          </w:tcPr>
          <w:p w14:paraId="3411CE6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一般工业固体废物贮存处置</w:t>
            </w:r>
          </w:p>
        </w:tc>
        <w:tc>
          <w:tcPr>
            <w:tcW w:w="4739" w:type="dxa"/>
            <w:shd w:val="clear" w:color="auto" w:fill="auto"/>
            <w:vAlign w:val="center"/>
          </w:tcPr>
          <w:p w14:paraId="7345926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一般工业固体废物贮存处置量下降幅度★</w:t>
            </w:r>
          </w:p>
        </w:tc>
        <w:tc>
          <w:tcPr>
            <w:tcW w:w="1870" w:type="dxa"/>
            <w:shd w:val="clear" w:color="auto" w:fill="auto"/>
            <w:vAlign w:val="center"/>
          </w:tcPr>
          <w:p w14:paraId="3260627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w:t>
            </w:r>
          </w:p>
        </w:tc>
        <w:tc>
          <w:tcPr>
            <w:tcW w:w="2200" w:type="dxa"/>
            <w:shd w:val="clear" w:color="auto" w:fill="auto"/>
            <w:vAlign w:val="center"/>
          </w:tcPr>
          <w:p w14:paraId="374EE46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保持</w:t>
            </w:r>
            <w:r>
              <w:rPr>
                <w:rFonts w:hint="eastAsia" w:ascii="Times New Roman" w:hAnsi="Times New Roman" w:eastAsia="仿宋" w:cs="Times New Roman"/>
                <w:spacing w:val="5"/>
                <w:sz w:val="24"/>
                <w:szCs w:val="24"/>
                <w:lang w:val="en-US" w:eastAsia="zh-CN"/>
              </w:rPr>
              <w:t>“</w:t>
            </w:r>
            <w:r>
              <w:rPr>
                <w:rFonts w:hint="default" w:ascii="Times New Roman" w:hAnsi="Times New Roman" w:eastAsia="仿宋" w:cs="Times New Roman"/>
                <w:spacing w:val="5"/>
                <w:sz w:val="24"/>
                <w:szCs w:val="24"/>
                <w:lang w:val="en-US" w:eastAsia="zh-CN"/>
              </w:rPr>
              <w:t>零增长</w:t>
            </w:r>
            <w:r>
              <w:rPr>
                <w:rFonts w:hint="eastAsia" w:ascii="Times New Roman" w:hAnsi="Times New Roman" w:eastAsia="仿宋" w:cs="Times New Roman"/>
                <w:spacing w:val="5"/>
                <w:sz w:val="24"/>
                <w:szCs w:val="24"/>
                <w:lang w:val="en-US" w:eastAsia="zh-CN"/>
              </w:rPr>
              <w:t>”</w:t>
            </w:r>
          </w:p>
        </w:tc>
        <w:tc>
          <w:tcPr>
            <w:tcW w:w="2260" w:type="dxa"/>
            <w:vAlign w:val="center"/>
          </w:tcPr>
          <w:p w14:paraId="43A472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1677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035443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30</w:t>
            </w:r>
          </w:p>
        </w:tc>
        <w:tc>
          <w:tcPr>
            <w:tcW w:w="1143" w:type="dxa"/>
            <w:vMerge w:val="continue"/>
            <w:vAlign w:val="center"/>
          </w:tcPr>
          <w:p w14:paraId="6E98AA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shd w:val="clear" w:color="auto" w:fill="auto"/>
            <w:vAlign w:val="top"/>
          </w:tcPr>
          <w:p w14:paraId="184DEA4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农业固体</w:t>
            </w:r>
          </w:p>
          <w:p w14:paraId="743E7117">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废物处置</w:t>
            </w:r>
          </w:p>
        </w:tc>
        <w:tc>
          <w:tcPr>
            <w:tcW w:w="4739" w:type="dxa"/>
            <w:shd w:val="clear" w:color="auto" w:fill="auto"/>
            <w:vAlign w:val="center"/>
          </w:tcPr>
          <w:p w14:paraId="50AFEED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病死畜禽集中无害化处理率</w:t>
            </w:r>
          </w:p>
        </w:tc>
        <w:tc>
          <w:tcPr>
            <w:tcW w:w="1870" w:type="dxa"/>
            <w:shd w:val="clear" w:color="auto" w:fill="auto"/>
            <w:vAlign w:val="center"/>
          </w:tcPr>
          <w:p w14:paraId="3D98F5D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00" w:type="dxa"/>
            <w:shd w:val="clear" w:color="auto" w:fill="auto"/>
            <w:vAlign w:val="center"/>
          </w:tcPr>
          <w:p w14:paraId="77D8AA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60" w:type="dxa"/>
            <w:vAlign w:val="center"/>
          </w:tcPr>
          <w:p w14:paraId="791724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师市农业农村局</w:t>
            </w:r>
          </w:p>
        </w:tc>
      </w:tr>
      <w:tr w14:paraId="6FEA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33D7F2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31</w:t>
            </w:r>
          </w:p>
        </w:tc>
        <w:tc>
          <w:tcPr>
            <w:tcW w:w="1143" w:type="dxa"/>
            <w:vMerge w:val="continue"/>
            <w:vAlign w:val="center"/>
          </w:tcPr>
          <w:p w14:paraId="0BCDA3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restart"/>
            <w:vAlign w:val="center"/>
          </w:tcPr>
          <w:p w14:paraId="27B564E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zh-CN"/>
              </w:rPr>
              <w:t>生活领域固体废物处置</w:t>
            </w:r>
          </w:p>
        </w:tc>
        <w:tc>
          <w:tcPr>
            <w:tcW w:w="4739" w:type="dxa"/>
            <w:shd w:val="clear" w:color="auto" w:fill="auto"/>
            <w:vAlign w:val="center"/>
          </w:tcPr>
          <w:p w14:paraId="63C9CE3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生活垃圾焚烧处理能力占比★</w:t>
            </w:r>
          </w:p>
        </w:tc>
        <w:tc>
          <w:tcPr>
            <w:tcW w:w="1870" w:type="dxa"/>
            <w:shd w:val="clear" w:color="auto" w:fill="auto"/>
            <w:vAlign w:val="center"/>
          </w:tcPr>
          <w:p w14:paraId="4EF2D1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80%</w:t>
            </w:r>
          </w:p>
        </w:tc>
        <w:tc>
          <w:tcPr>
            <w:tcW w:w="2200" w:type="dxa"/>
            <w:shd w:val="clear" w:color="auto" w:fill="auto"/>
            <w:vAlign w:val="center"/>
          </w:tcPr>
          <w:p w14:paraId="54DB3D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90%</w:t>
            </w:r>
          </w:p>
        </w:tc>
        <w:tc>
          <w:tcPr>
            <w:tcW w:w="2260" w:type="dxa"/>
            <w:vAlign w:val="center"/>
          </w:tcPr>
          <w:p w14:paraId="2AF3191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26A9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5BC477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32</w:t>
            </w:r>
          </w:p>
        </w:tc>
        <w:tc>
          <w:tcPr>
            <w:tcW w:w="1143" w:type="dxa"/>
            <w:vMerge w:val="continue"/>
            <w:vAlign w:val="center"/>
          </w:tcPr>
          <w:p w14:paraId="4F3C2B9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434C1C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2D6106C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城镇污水污泥无害化处置率★</w:t>
            </w:r>
          </w:p>
        </w:tc>
        <w:tc>
          <w:tcPr>
            <w:tcW w:w="1870" w:type="dxa"/>
            <w:shd w:val="clear" w:color="auto" w:fill="auto"/>
            <w:vAlign w:val="center"/>
          </w:tcPr>
          <w:p w14:paraId="647A30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92%</w:t>
            </w:r>
          </w:p>
        </w:tc>
        <w:tc>
          <w:tcPr>
            <w:tcW w:w="2200" w:type="dxa"/>
            <w:shd w:val="clear" w:color="auto" w:fill="auto"/>
            <w:vAlign w:val="center"/>
          </w:tcPr>
          <w:p w14:paraId="7098EA9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kern w:val="2"/>
                <w:sz w:val="24"/>
                <w:szCs w:val="24"/>
                <w:lang w:val="en-US" w:eastAsia="en-US" w:bidi="ar-SA"/>
              </w:rPr>
            </w:pPr>
            <w:r>
              <w:rPr>
                <w:rFonts w:hint="default" w:ascii="Times New Roman" w:hAnsi="Times New Roman" w:eastAsia="仿宋" w:cs="Times New Roman"/>
                <w:spacing w:val="5"/>
                <w:sz w:val="24"/>
                <w:szCs w:val="24"/>
                <w:lang w:val="en-US" w:eastAsia="zh-CN"/>
              </w:rPr>
              <w:t>100%</w:t>
            </w:r>
          </w:p>
        </w:tc>
        <w:tc>
          <w:tcPr>
            <w:tcW w:w="2260" w:type="dxa"/>
            <w:vAlign w:val="center"/>
          </w:tcPr>
          <w:p w14:paraId="4FFBD8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师市住建局</w:t>
            </w:r>
          </w:p>
        </w:tc>
      </w:tr>
      <w:tr w14:paraId="78E2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20D5B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33</w:t>
            </w:r>
          </w:p>
        </w:tc>
        <w:tc>
          <w:tcPr>
            <w:tcW w:w="1143" w:type="dxa"/>
            <w:vMerge w:val="restart"/>
            <w:vAlign w:val="center"/>
          </w:tcPr>
          <w:p w14:paraId="2001FE0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8B8657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2F3CE6B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17CA21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2FFFE11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478565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F96786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43ACE25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DBC225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1896DF6A">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46393DD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7230324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0E78749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p w14:paraId="40CA1DB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保障</w:t>
            </w:r>
          </w:p>
          <w:p w14:paraId="7CBE865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能力</w:t>
            </w:r>
          </w:p>
        </w:tc>
        <w:tc>
          <w:tcPr>
            <w:tcW w:w="1401" w:type="dxa"/>
            <w:vMerge w:val="restart"/>
            <w:vAlign w:val="center"/>
          </w:tcPr>
          <w:p w14:paraId="3BE7435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制度体系建设</w:t>
            </w:r>
          </w:p>
        </w:tc>
        <w:tc>
          <w:tcPr>
            <w:tcW w:w="4739" w:type="dxa"/>
            <w:shd w:val="clear" w:color="auto" w:fill="auto"/>
            <w:vAlign w:val="center"/>
          </w:tcPr>
          <w:p w14:paraId="43287E5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“无废城市”建设地方性法规、政策性文件及有关规划制定★</w:t>
            </w:r>
          </w:p>
        </w:tc>
        <w:tc>
          <w:tcPr>
            <w:tcW w:w="1870" w:type="dxa"/>
            <w:vAlign w:val="center"/>
          </w:tcPr>
          <w:p w14:paraId="32E684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02E3620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逐步完善</w:t>
            </w:r>
          </w:p>
        </w:tc>
        <w:tc>
          <w:tcPr>
            <w:tcW w:w="2260" w:type="dxa"/>
            <w:vAlign w:val="center"/>
          </w:tcPr>
          <w:p w14:paraId="6E9EA3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各相关部门</w:t>
            </w:r>
          </w:p>
        </w:tc>
      </w:tr>
      <w:tr w14:paraId="677B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0E33D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34</w:t>
            </w:r>
          </w:p>
        </w:tc>
        <w:tc>
          <w:tcPr>
            <w:tcW w:w="1143" w:type="dxa"/>
            <w:vMerge w:val="continue"/>
            <w:vAlign w:val="center"/>
          </w:tcPr>
          <w:p w14:paraId="1E4C88B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7AED034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shd w:val="clear" w:color="auto" w:fill="auto"/>
            <w:vAlign w:val="center"/>
          </w:tcPr>
          <w:p w14:paraId="289ED32D">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“无废城市”建设协调机制★</w:t>
            </w:r>
          </w:p>
        </w:tc>
        <w:tc>
          <w:tcPr>
            <w:tcW w:w="1870" w:type="dxa"/>
            <w:vAlign w:val="center"/>
          </w:tcPr>
          <w:p w14:paraId="0590A4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4DC0BF1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构建协调机制</w:t>
            </w:r>
          </w:p>
        </w:tc>
        <w:tc>
          <w:tcPr>
            <w:tcW w:w="2260" w:type="dxa"/>
            <w:vAlign w:val="center"/>
          </w:tcPr>
          <w:p w14:paraId="12900D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zh-CN"/>
              </w:rPr>
              <w:t>各相关部门</w:t>
            </w:r>
          </w:p>
        </w:tc>
      </w:tr>
      <w:tr w14:paraId="2FE3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92" w:type="dxa"/>
            <w:vAlign w:val="center"/>
          </w:tcPr>
          <w:p w14:paraId="2C4974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35</w:t>
            </w:r>
          </w:p>
        </w:tc>
        <w:tc>
          <w:tcPr>
            <w:tcW w:w="1143" w:type="dxa"/>
            <w:vMerge w:val="continue"/>
            <w:vAlign w:val="center"/>
          </w:tcPr>
          <w:p w14:paraId="63EE3B5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2723114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shd w:val="clear" w:color="auto" w:fill="auto"/>
            <w:vAlign w:val="center"/>
          </w:tcPr>
          <w:p w14:paraId="7240E0A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“无废城市”建设成效纳入考核情况</w:t>
            </w:r>
          </w:p>
        </w:tc>
        <w:tc>
          <w:tcPr>
            <w:tcW w:w="1870" w:type="dxa"/>
            <w:vAlign w:val="center"/>
          </w:tcPr>
          <w:p w14:paraId="287318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51168F3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建设情况纳入</w:t>
            </w:r>
          </w:p>
          <w:p w14:paraId="4B6EE1B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考核</w:t>
            </w:r>
          </w:p>
        </w:tc>
        <w:tc>
          <w:tcPr>
            <w:tcW w:w="2260" w:type="dxa"/>
            <w:vAlign w:val="center"/>
          </w:tcPr>
          <w:p w14:paraId="2E42434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各相关部门</w:t>
            </w:r>
          </w:p>
        </w:tc>
      </w:tr>
      <w:tr w14:paraId="0357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2D4E35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36</w:t>
            </w:r>
          </w:p>
        </w:tc>
        <w:tc>
          <w:tcPr>
            <w:tcW w:w="1143" w:type="dxa"/>
            <w:vMerge w:val="continue"/>
            <w:vAlign w:val="center"/>
          </w:tcPr>
          <w:p w14:paraId="2A85DBD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7756EAC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shd w:val="clear" w:color="auto" w:fill="auto"/>
            <w:vAlign w:val="center"/>
          </w:tcPr>
          <w:p w14:paraId="3702EFA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开展“无废城市细胞”建设的单位数量（机关、企事业单位、饭店、商场、集贸市场、社区）</w:t>
            </w:r>
          </w:p>
        </w:tc>
        <w:tc>
          <w:tcPr>
            <w:tcW w:w="1870" w:type="dxa"/>
            <w:vAlign w:val="center"/>
          </w:tcPr>
          <w:p w14:paraId="42261F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2780B14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15</w:t>
            </w:r>
            <w:r>
              <w:rPr>
                <w:rFonts w:hint="eastAsia" w:ascii="Times New Roman" w:hAnsi="Times New Roman" w:eastAsia="仿宋" w:cs="Times New Roman"/>
                <w:spacing w:val="5"/>
                <w:sz w:val="24"/>
                <w:szCs w:val="24"/>
                <w:lang w:val="en-US" w:eastAsia="zh-CN"/>
              </w:rPr>
              <w:t>个</w:t>
            </w:r>
          </w:p>
        </w:tc>
        <w:tc>
          <w:tcPr>
            <w:tcW w:w="2260" w:type="dxa"/>
            <w:vAlign w:val="center"/>
          </w:tcPr>
          <w:p w14:paraId="70450E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各团场，各相关</w:t>
            </w:r>
          </w:p>
          <w:p w14:paraId="4F454D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部门</w:t>
            </w:r>
          </w:p>
        </w:tc>
      </w:tr>
      <w:tr w14:paraId="1B6A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2" w:type="dxa"/>
            <w:vAlign w:val="center"/>
          </w:tcPr>
          <w:p w14:paraId="0651EF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37</w:t>
            </w:r>
          </w:p>
        </w:tc>
        <w:tc>
          <w:tcPr>
            <w:tcW w:w="1143" w:type="dxa"/>
            <w:vMerge w:val="continue"/>
            <w:vAlign w:val="center"/>
          </w:tcPr>
          <w:p w14:paraId="30694E3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restart"/>
            <w:vAlign w:val="center"/>
          </w:tcPr>
          <w:p w14:paraId="311855B6">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市场体系建设</w:t>
            </w:r>
          </w:p>
        </w:tc>
        <w:tc>
          <w:tcPr>
            <w:tcW w:w="4739" w:type="dxa"/>
            <w:shd w:val="clear" w:color="auto" w:fill="auto"/>
            <w:vAlign w:val="center"/>
          </w:tcPr>
          <w:p w14:paraId="4A22849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“无废城市”建设项目投资总额★</w:t>
            </w:r>
          </w:p>
        </w:tc>
        <w:tc>
          <w:tcPr>
            <w:tcW w:w="1870" w:type="dxa"/>
            <w:vAlign w:val="center"/>
          </w:tcPr>
          <w:p w14:paraId="2A1E7FD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25E4D67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稳步提升</w:t>
            </w:r>
          </w:p>
        </w:tc>
        <w:tc>
          <w:tcPr>
            <w:tcW w:w="2260" w:type="dxa"/>
            <w:vAlign w:val="center"/>
          </w:tcPr>
          <w:p w14:paraId="16BA457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各相关部门</w:t>
            </w:r>
          </w:p>
        </w:tc>
      </w:tr>
      <w:tr w14:paraId="1AD5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21B558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38</w:t>
            </w:r>
          </w:p>
        </w:tc>
        <w:tc>
          <w:tcPr>
            <w:tcW w:w="1143" w:type="dxa"/>
            <w:vMerge w:val="continue"/>
            <w:vAlign w:val="center"/>
          </w:tcPr>
          <w:p w14:paraId="2589608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3012583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shd w:val="clear" w:color="auto" w:fill="auto"/>
            <w:vAlign w:val="center"/>
          </w:tcPr>
          <w:p w14:paraId="6E43E53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纳入企业环境信用评价范围的固体废物相关企业数量占比</w:t>
            </w:r>
          </w:p>
        </w:tc>
        <w:tc>
          <w:tcPr>
            <w:tcW w:w="1870" w:type="dxa"/>
            <w:vAlign w:val="center"/>
          </w:tcPr>
          <w:p w14:paraId="2BEC2EF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6BE8FB2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环境重点监管单位全覆盖</w:t>
            </w:r>
          </w:p>
        </w:tc>
        <w:tc>
          <w:tcPr>
            <w:tcW w:w="2260" w:type="dxa"/>
            <w:vAlign w:val="center"/>
          </w:tcPr>
          <w:p w14:paraId="3E4A175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46BC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92" w:type="dxa"/>
            <w:vAlign w:val="center"/>
          </w:tcPr>
          <w:p w14:paraId="3E046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39</w:t>
            </w:r>
          </w:p>
        </w:tc>
        <w:tc>
          <w:tcPr>
            <w:tcW w:w="1143" w:type="dxa"/>
            <w:vMerge w:val="continue"/>
            <w:vAlign w:val="center"/>
          </w:tcPr>
          <w:p w14:paraId="4B3720C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1401" w:type="dxa"/>
            <w:vMerge w:val="continue"/>
            <w:vAlign w:val="center"/>
          </w:tcPr>
          <w:p w14:paraId="45A4A13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zh-CN"/>
              </w:rPr>
            </w:pPr>
          </w:p>
        </w:tc>
        <w:tc>
          <w:tcPr>
            <w:tcW w:w="4739" w:type="dxa"/>
            <w:vAlign w:val="center"/>
          </w:tcPr>
          <w:p w14:paraId="70B102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“无废城市”绿色信贷、绿色债券</w:t>
            </w:r>
          </w:p>
        </w:tc>
        <w:tc>
          <w:tcPr>
            <w:tcW w:w="1870" w:type="dxa"/>
            <w:vAlign w:val="center"/>
          </w:tcPr>
          <w:p w14:paraId="321523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384721D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en-US"/>
              </w:rPr>
              <w:t>探索扩大绿色信贷、绿色贷款等金融工具用于绿色项目，充分发挥金融对节能降碳作用的支持作用</w:t>
            </w:r>
          </w:p>
        </w:tc>
        <w:tc>
          <w:tcPr>
            <w:tcW w:w="2260" w:type="dxa"/>
            <w:vAlign w:val="center"/>
          </w:tcPr>
          <w:p w14:paraId="466B95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师市财政局</w:t>
            </w:r>
          </w:p>
        </w:tc>
      </w:tr>
      <w:tr w14:paraId="6068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992" w:type="dxa"/>
            <w:vAlign w:val="center"/>
          </w:tcPr>
          <w:p w14:paraId="024B66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40</w:t>
            </w:r>
          </w:p>
        </w:tc>
        <w:tc>
          <w:tcPr>
            <w:tcW w:w="1143" w:type="dxa"/>
            <w:vMerge w:val="continue"/>
            <w:vAlign w:val="center"/>
          </w:tcPr>
          <w:p w14:paraId="5943A44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restart"/>
            <w:vAlign w:val="center"/>
          </w:tcPr>
          <w:p w14:paraId="6A40E1E9">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_GB2312" w:cs="Times New Roman"/>
                <w:sz w:val="30"/>
                <w:szCs w:val="30"/>
                <w:vertAlign w:val="baseline"/>
              </w:rPr>
            </w:pPr>
            <w:r>
              <w:rPr>
                <w:rFonts w:hint="default" w:ascii="Times New Roman" w:hAnsi="Times New Roman" w:eastAsia="仿宋" w:cs="Times New Roman"/>
                <w:spacing w:val="5"/>
                <w:sz w:val="24"/>
                <w:szCs w:val="24"/>
                <w:lang w:val="en-US" w:eastAsia="en-US"/>
              </w:rPr>
              <w:t>监管体系建设</w:t>
            </w:r>
          </w:p>
        </w:tc>
        <w:tc>
          <w:tcPr>
            <w:tcW w:w="4739" w:type="dxa"/>
            <w:shd w:val="clear" w:color="auto" w:fill="auto"/>
            <w:vAlign w:val="center"/>
          </w:tcPr>
          <w:p w14:paraId="75780818">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固体废物管理信息化监管情况★</w:t>
            </w:r>
          </w:p>
        </w:tc>
        <w:tc>
          <w:tcPr>
            <w:tcW w:w="1870" w:type="dxa"/>
            <w:vAlign w:val="center"/>
          </w:tcPr>
          <w:p w14:paraId="3A5500F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455EACFB">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探索建立各类固体废物数据共享平台</w:t>
            </w:r>
          </w:p>
        </w:tc>
        <w:tc>
          <w:tcPr>
            <w:tcW w:w="2260" w:type="dxa"/>
            <w:vAlign w:val="center"/>
          </w:tcPr>
          <w:p w14:paraId="1EFCA4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各相关部门</w:t>
            </w:r>
          </w:p>
        </w:tc>
      </w:tr>
      <w:tr w14:paraId="4941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92" w:type="dxa"/>
            <w:vAlign w:val="center"/>
          </w:tcPr>
          <w:p w14:paraId="5FD10E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41</w:t>
            </w:r>
          </w:p>
        </w:tc>
        <w:tc>
          <w:tcPr>
            <w:tcW w:w="1143" w:type="dxa"/>
            <w:vMerge w:val="continue"/>
            <w:vAlign w:val="center"/>
          </w:tcPr>
          <w:p w14:paraId="490CFA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491314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79D2B16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危险废物规范化管理抽查合格率</w:t>
            </w:r>
          </w:p>
        </w:tc>
        <w:tc>
          <w:tcPr>
            <w:tcW w:w="1870" w:type="dxa"/>
            <w:vAlign w:val="center"/>
          </w:tcPr>
          <w:p w14:paraId="0BC313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00" w:type="dxa"/>
            <w:vAlign w:val="center"/>
          </w:tcPr>
          <w:p w14:paraId="24F49D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0F8B880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0479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 w:type="dxa"/>
            <w:vAlign w:val="center"/>
          </w:tcPr>
          <w:p w14:paraId="6BD333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42</w:t>
            </w:r>
          </w:p>
        </w:tc>
        <w:tc>
          <w:tcPr>
            <w:tcW w:w="1143" w:type="dxa"/>
            <w:vMerge w:val="continue"/>
            <w:vAlign w:val="center"/>
          </w:tcPr>
          <w:p w14:paraId="42F7B5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7C78F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187BA47B">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发现、处置、侦破固体废物环境污染刑事案件立案率★</w:t>
            </w:r>
          </w:p>
        </w:tc>
        <w:tc>
          <w:tcPr>
            <w:tcW w:w="1870" w:type="dxa"/>
            <w:vAlign w:val="center"/>
          </w:tcPr>
          <w:p w14:paraId="3AAA202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6543BC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4565133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师市公安局、生态环境局</w:t>
            </w:r>
          </w:p>
        </w:tc>
      </w:tr>
      <w:tr w14:paraId="5C77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92" w:type="dxa"/>
            <w:vAlign w:val="center"/>
          </w:tcPr>
          <w:p w14:paraId="25BAF4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43</w:t>
            </w:r>
          </w:p>
        </w:tc>
        <w:tc>
          <w:tcPr>
            <w:tcW w:w="1143" w:type="dxa"/>
            <w:vMerge w:val="continue"/>
            <w:vAlign w:val="center"/>
          </w:tcPr>
          <w:p w14:paraId="3CD3F53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76C2B1D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37AC45A5">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涉固体废物信访、投诉、举报案件办结率</w:t>
            </w:r>
          </w:p>
        </w:tc>
        <w:tc>
          <w:tcPr>
            <w:tcW w:w="1870" w:type="dxa"/>
            <w:vAlign w:val="center"/>
          </w:tcPr>
          <w:p w14:paraId="1F4A619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49BA7C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11F440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333E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92" w:type="dxa"/>
            <w:vAlign w:val="center"/>
          </w:tcPr>
          <w:p w14:paraId="404DC0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44</w:t>
            </w:r>
          </w:p>
        </w:tc>
        <w:tc>
          <w:tcPr>
            <w:tcW w:w="1143" w:type="dxa"/>
            <w:vMerge w:val="continue"/>
            <w:vAlign w:val="center"/>
          </w:tcPr>
          <w:p w14:paraId="73A3A7D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715C29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shd w:val="clear" w:color="auto" w:fill="auto"/>
            <w:vAlign w:val="center"/>
          </w:tcPr>
          <w:p w14:paraId="6C5B36A1">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固体废物环境污染案件开展生态环境损害赔偿工作的覆盖率</w:t>
            </w:r>
          </w:p>
        </w:tc>
        <w:tc>
          <w:tcPr>
            <w:tcW w:w="1870" w:type="dxa"/>
            <w:vAlign w:val="center"/>
          </w:tcPr>
          <w:p w14:paraId="02BEBD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5D15BA8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100%</w:t>
            </w:r>
          </w:p>
        </w:tc>
        <w:tc>
          <w:tcPr>
            <w:tcW w:w="2260" w:type="dxa"/>
            <w:vAlign w:val="center"/>
          </w:tcPr>
          <w:p w14:paraId="10DBBF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师市生态环境局</w:t>
            </w:r>
          </w:p>
        </w:tc>
      </w:tr>
      <w:tr w14:paraId="21BC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92" w:type="dxa"/>
            <w:vAlign w:val="center"/>
          </w:tcPr>
          <w:p w14:paraId="7FBDF4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45</w:t>
            </w:r>
          </w:p>
        </w:tc>
        <w:tc>
          <w:tcPr>
            <w:tcW w:w="1143" w:type="dxa"/>
            <w:vMerge w:val="continue"/>
            <w:vAlign w:val="center"/>
          </w:tcPr>
          <w:p w14:paraId="6CF3B53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1401" w:type="dxa"/>
            <w:vMerge w:val="continue"/>
            <w:vAlign w:val="center"/>
          </w:tcPr>
          <w:p w14:paraId="3F1D37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0"/>
                <w:szCs w:val="30"/>
                <w:vertAlign w:val="baseline"/>
              </w:rPr>
            </w:pPr>
          </w:p>
        </w:tc>
        <w:tc>
          <w:tcPr>
            <w:tcW w:w="4739" w:type="dxa"/>
            <w:vAlign w:val="center"/>
          </w:tcPr>
          <w:p w14:paraId="46F3D2D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Times New Roman" w:hAnsi="Times New Roman" w:eastAsia="仿宋" w:cs="Times New Roman"/>
                <w:spacing w:val="5"/>
                <w:sz w:val="24"/>
                <w:szCs w:val="24"/>
                <w:lang w:val="en-US" w:eastAsia="en-US"/>
              </w:rPr>
            </w:pPr>
            <w:r>
              <w:rPr>
                <w:rFonts w:hint="default" w:ascii="Times New Roman" w:hAnsi="Times New Roman" w:eastAsia="仿宋" w:cs="Times New Roman"/>
                <w:spacing w:val="5"/>
                <w:sz w:val="24"/>
                <w:szCs w:val="24"/>
                <w:lang w:val="en-US" w:eastAsia="en-US"/>
              </w:rPr>
              <w:t>公众对“无废城市”建设成效的满意程度★</w:t>
            </w:r>
          </w:p>
        </w:tc>
        <w:tc>
          <w:tcPr>
            <w:tcW w:w="1870" w:type="dxa"/>
            <w:vAlign w:val="center"/>
          </w:tcPr>
          <w:p w14:paraId="17DDFE1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w:t>
            </w:r>
          </w:p>
        </w:tc>
        <w:tc>
          <w:tcPr>
            <w:tcW w:w="2200" w:type="dxa"/>
            <w:vAlign w:val="center"/>
          </w:tcPr>
          <w:p w14:paraId="5E53AEC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pacing w:val="5"/>
                <w:sz w:val="24"/>
                <w:szCs w:val="24"/>
                <w:lang w:val="en-US" w:eastAsia="zh-CN"/>
              </w:rPr>
              <w:t>90</w:t>
            </w:r>
            <w:r>
              <w:rPr>
                <w:rFonts w:hint="default" w:ascii="Times New Roman" w:hAnsi="Times New Roman" w:eastAsia="仿宋" w:cs="Times New Roman"/>
                <w:spacing w:val="5"/>
                <w:sz w:val="24"/>
                <w:szCs w:val="24"/>
                <w:lang w:val="en-US" w:eastAsia="zh-CN"/>
              </w:rPr>
              <w:t>%</w:t>
            </w:r>
          </w:p>
        </w:tc>
        <w:tc>
          <w:tcPr>
            <w:tcW w:w="2260" w:type="dxa"/>
            <w:vAlign w:val="center"/>
          </w:tcPr>
          <w:p w14:paraId="5BF414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仿宋" w:cs="Times New Roman"/>
                <w:spacing w:val="5"/>
                <w:sz w:val="24"/>
                <w:szCs w:val="24"/>
                <w:lang w:val="en-US" w:eastAsia="zh-CN"/>
              </w:rPr>
            </w:pPr>
            <w:r>
              <w:rPr>
                <w:rFonts w:hint="default" w:ascii="Times New Roman" w:hAnsi="Times New Roman" w:eastAsia="仿宋" w:cs="Times New Roman"/>
                <w:spacing w:val="5"/>
                <w:sz w:val="24"/>
                <w:szCs w:val="24"/>
                <w:lang w:val="en-US" w:eastAsia="zh-CN"/>
              </w:rPr>
              <w:t>各相关部门</w:t>
            </w:r>
          </w:p>
        </w:tc>
      </w:tr>
    </w:tbl>
    <w:p w14:paraId="38649D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C29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6047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76047F">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F1822"/>
    <w:rsid w:val="001C66E0"/>
    <w:rsid w:val="07B7306B"/>
    <w:rsid w:val="0A9270F6"/>
    <w:rsid w:val="0C0A1AE2"/>
    <w:rsid w:val="0D0B5B12"/>
    <w:rsid w:val="0D0F6ADF"/>
    <w:rsid w:val="100625C1"/>
    <w:rsid w:val="104B4477"/>
    <w:rsid w:val="11845080"/>
    <w:rsid w:val="12E82B38"/>
    <w:rsid w:val="136C1583"/>
    <w:rsid w:val="179E3A27"/>
    <w:rsid w:val="17D9680D"/>
    <w:rsid w:val="1A607A23"/>
    <w:rsid w:val="1BB12B8C"/>
    <w:rsid w:val="1CD91B80"/>
    <w:rsid w:val="207871DA"/>
    <w:rsid w:val="210B4EF7"/>
    <w:rsid w:val="21A175BF"/>
    <w:rsid w:val="23DB203F"/>
    <w:rsid w:val="254E3613"/>
    <w:rsid w:val="26170B56"/>
    <w:rsid w:val="266331A8"/>
    <w:rsid w:val="27504C27"/>
    <w:rsid w:val="27940252"/>
    <w:rsid w:val="28EE1022"/>
    <w:rsid w:val="299216C0"/>
    <w:rsid w:val="2A5315EC"/>
    <w:rsid w:val="2AFB5C85"/>
    <w:rsid w:val="2B0B2E2B"/>
    <w:rsid w:val="2BFE7798"/>
    <w:rsid w:val="2E0A211F"/>
    <w:rsid w:val="31F42231"/>
    <w:rsid w:val="32973627"/>
    <w:rsid w:val="32FA2231"/>
    <w:rsid w:val="3372595F"/>
    <w:rsid w:val="338F1D24"/>
    <w:rsid w:val="35474A13"/>
    <w:rsid w:val="357E1731"/>
    <w:rsid w:val="35E3586E"/>
    <w:rsid w:val="374E5DFB"/>
    <w:rsid w:val="378E5E74"/>
    <w:rsid w:val="39D85ACC"/>
    <w:rsid w:val="39DF5542"/>
    <w:rsid w:val="3A2C3C3B"/>
    <w:rsid w:val="3A7750AD"/>
    <w:rsid w:val="3FE61DE6"/>
    <w:rsid w:val="40EB267C"/>
    <w:rsid w:val="410B53D9"/>
    <w:rsid w:val="43753EB5"/>
    <w:rsid w:val="44F03DBE"/>
    <w:rsid w:val="452B56B7"/>
    <w:rsid w:val="470F61B7"/>
    <w:rsid w:val="4A0D0544"/>
    <w:rsid w:val="4AB34B18"/>
    <w:rsid w:val="4C341C88"/>
    <w:rsid w:val="4F054525"/>
    <w:rsid w:val="4FDD3AF9"/>
    <w:rsid w:val="50217828"/>
    <w:rsid w:val="50A062B2"/>
    <w:rsid w:val="514A7C73"/>
    <w:rsid w:val="51F50BD0"/>
    <w:rsid w:val="52467FEA"/>
    <w:rsid w:val="525013E5"/>
    <w:rsid w:val="53D803E2"/>
    <w:rsid w:val="54F46A15"/>
    <w:rsid w:val="56236C6E"/>
    <w:rsid w:val="565764EA"/>
    <w:rsid w:val="58562EBA"/>
    <w:rsid w:val="5B8804C9"/>
    <w:rsid w:val="5DA930B5"/>
    <w:rsid w:val="5E9B5B0D"/>
    <w:rsid w:val="5F180F96"/>
    <w:rsid w:val="603E0689"/>
    <w:rsid w:val="623D233E"/>
    <w:rsid w:val="65981F36"/>
    <w:rsid w:val="68C07BF8"/>
    <w:rsid w:val="68CD4B9F"/>
    <w:rsid w:val="6A152CA1"/>
    <w:rsid w:val="6C011626"/>
    <w:rsid w:val="6D393649"/>
    <w:rsid w:val="6FE231D2"/>
    <w:rsid w:val="6FFC27B2"/>
    <w:rsid w:val="72231757"/>
    <w:rsid w:val="742179DC"/>
    <w:rsid w:val="75142AA5"/>
    <w:rsid w:val="76597570"/>
    <w:rsid w:val="780E6DE7"/>
    <w:rsid w:val="79E7440B"/>
    <w:rsid w:val="7B4056A4"/>
    <w:rsid w:val="7CBD034D"/>
    <w:rsid w:val="7CF3649E"/>
    <w:rsid w:val="7D1F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内容"/>
    <w:qFormat/>
    <w:uiPriority w:val="0"/>
    <w:rPr>
      <w:rFonts w:ascii="Times New Roman" w:hAnsi="Times New Roman" w:eastAsia="宋体" w:cstheme="minorBidi"/>
      <w:kern w:val="2"/>
      <w:sz w:val="21"/>
      <w:szCs w:val="22"/>
      <w:lang w:val="en-US" w:eastAsia="zh-CN" w:bidi="ar-SA"/>
      <w14:ligatures w14:val="standardContextual"/>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2536</Words>
  <Characters>2721</Characters>
  <Lines>0</Lines>
  <Paragraphs>0</Paragraphs>
  <TotalTime>9</TotalTime>
  <ScaleCrop>false</ScaleCrop>
  <LinksUpToDate>false</LinksUpToDate>
  <CharactersWithSpaces>2721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2025-07-10T09:00:00Z</dcterms:created>
  <dc:creator>杨健</dc:creator>
  <cp:lastModifiedBy>杨健</cp:lastModifiedBy>
  <cp:lastPrinted>2025-10-17T09:53:00Z</cp:lastPrinted>
  <dcterms:modified xsi:type="dcterms:W3CDTF">2025-12-19T02:31:08Z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05C968835D4242CF9513AE1271EA5AB7_13</vt:lpwstr>
  </property>
  <property fmtid="{D5CDD505-2E9C-101B-9397-08002B2CF9AE}" pid="4" name="KSOTemplateDocerSaveRecord">
    <vt:lpwstr>eyJoZGlkIjoiMWNhZGFmNjVhOTExOGZiOTUxMjVjYTQyMjEzNzZiMTEiLCJ1c2VySWQiOiI5NjI4MjQwOTEifQ==</vt:lpwstr>
  </property>
</Properties>
</file>