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E86FB">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center"/>
        <w:textAlignment w:val="auto"/>
        <w:rPr>
          <w:rFonts w:hint="default" w:ascii="Times New Roman" w:hAnsi="Times New Roman" w:eastAsia="黑体" w:cs="Times New Roman"/>
          <w:b w:val="0"/>
          <w:bCs w:val="0"/>
          <w:color w:val="auto"/>
          <w:sz w:val="36"/>
          <w:szCs w:val="36"/>
          <w:highlight w:val="none"/>
        </w:rPr>
      </w:pPr>
    </w:p>
    <w:p w14:paraId="1EE694B6">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0" w:firstLineChars="0"/>
        <w:jc w:val="center"/>
        <w:textAlignment w:val="auto"/>
        <w:rPr>
          <w:rFonts w:hint="eastAsia" w:ascii="Times New Roman" w:hAnsi="Times New Roman" w:eastAsia="黑体" w:cs="Times New Roman"/>
          <w:b w:val="0"/>
          <w:bCs w:val="0"/>
          <w:color w:val="auto"/>
          <w:sz w:val="44"/>
          <w:szCs w:val="44"/>
          <w:highlight w:val="none"/>
          <w:lang w:val="en-US" w:eastAsia="zh-CN"/>
        </w:rPr>
      </w:pPr>
    </w:p>
    <w:p w14:paraId="0B65CAA1">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0" w:firstLineChars="0"/>
        <w:jc w:val="center"/>
        <w:textAlignment w:val="auto"/>
        <w:rPr>
          <w:rFonts w:hint="eastAsia" w:ascii="Times New Roman" w:hAnsi="Times New Roman" w:eastAsia="黑体" w:cs="Times New Roman"/>
          <w:b w:val="0"/>
          <w:bCs w:val="0"/>
          <w:color w:val="auto"/>
          <w:sz w:val="44"/>
          <w:szCs w:val="44"/>
          <w:highlight w:val="none"/>
          <w:lang w:val="en-US" w:eastAsia="zh-CN"/>
        </w:rPr>
      </w:pPr>
    </w:p>
    <w:p w14:paraId="77341282">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0" w:firstLineChars="0"/>
        <w:jc w:val="center"/>
        <w:textAlignment w:val="auto"/>
        <w:rPr>
          <w:rFonts w:hint="eastAsia" w:ascii="Times New Roman" w:hAnsi="Times New Roman" w:eastAsia="黑体" w:cs="Times New Roman"/>
          <w:b w:val="0"/>
          <w:bCs w:val="0"/>
          <w:color w:val="auto"/>
          <w:sz w:val="44"/>
          <w:szCs w:val="44"/>
          <w:highlight w:val="none"/>
          <w:lang w:val="en-US" w:eastAsia="zh-CN"/>
        </w:rPr>
      </w:pPr>
      <w:r>
        <w:rPr>
          <w:rFonts w:hint="eastAsia" w:ascii="Times New Roman" w:hAnsi="Times New Roman" w:eastAsia="黑体" w:cs="Times New Roman"/>
          <w:b w:val="0"/>
          <w:bCs w:val="0"/>
          <w:color w:val="auto"/>
          <w:sz w:val="44"/>
          <w:szCs w:val="44"/>
          <w:highlight w:val="none"/>
          <w:lang w:val="en-US" w:eastAsia="zh-CN"/>
        </w:rPr>
        <w:t>第五师双河市“十五五”农业农村发展规划</w:t>
      </w:r>
    </w:p>
    <w:p w14:paraId="48868382">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0" w:firstLineChars="0"/>
        <w:jc w:val="center"/>
        <w:textAlignment w:val="auto"/>
        <w:rPr>
          <w:rFonts w:hint="default" w:ascii="Times New Roman" w:hAnsi="Times New Roman" w:eastAsia="黑体" w:cs="Times New Roman"/>
          <w:b w:val="0"/>
          <w:bCs w:val="0"/>
          <w:color w:val="auto"/>
          <w:sz w:val="44"/>
          <w:szCs w:val="44"/>
          <w:highlight w:val="none"/>
          <w:lang w:val="en-US" w:eastAsia="zh-CN"/>
        </w:rPr>
      </w:pPr>
      <w:r>
        <w:rPr>
          <w:rFonts w:hint="eastAsia" w:ascii="Times New Roman" w:hAnsi="Times New Roman" w:eastAsia="黑体" w:cs="Times New Roman"/>
          <w:b w:val="0"/>
          <w:bCs w:val="0"/>
          <w:color w:val="auto"/>
          <w:sz w:val="44"/>
          <w:szCs w:val="44"/>
          <w:highlight w:val="none"/>
          <w:lang w:val="en-US" w:eastAsia="zh-CN"/>
        </w:rPr>
        <w:t>（面向社会征求意见稿）</w:t>
      </w:r>
    </w:p>
    <w:p w14:paraId="27C69BBF">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center"/>
        <w:textAlignment w:val="auto"/>
        <w:rPr>
          <w:rFonts w:hint="default" w:ascii="Times New Roman" w:hAnsi="Times New Roman" w:eastAsia="黑体" w:cs="Times New Roman"/>
          <w:b w:val="0"/>
          <w:bCs w:val="0"/>
          <w:color w:val="auto"/>
          <w:sz w:val="36"/>
          <w:szCs w:val="36"/>
          <w:highlight w:val="none"/>
        </w:rPr>
      </w:pPr>
    </w:p>
    <w:p w14:paraId="6303FB2A">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center"/>
        <w:textAlignment w:val="auto"/>
        <w:rPr>
          <w:rFonts w:hint="default" w:ascii="Times New Roman" w:hAnsi="Times New Roman" w:eastAsia="黑体" w:cs="Times New Roman"/>
          <w:b w:val="0"/>
          <w:bCs w:val="0"/>
          <w:color w:val="auto"/>
          <w:sz w:val="36"/>
          <w:szCs w:val="36"/>
          <w:highlight w:val="none"/>
        </w:rPr>
      </w:pPr>
    </w:p>
    <w:p w14:paraId="58F4BD1E">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both"/>
        <w:textAlignment w:val="auto"/>
        <w:rPr>
          <w:rFonts w:hint="default" w:ascii="Times New Roman" w:hAnsi="Times New Roman" w:eastAsia="黑体" w:cs="Times New Roman"/>
          <w:b w:val="0"/>
          <w:bCs w:val="0"/>
          <w:color w:val="auto"/>
          <w:sz w:val="36"/>
          <w:szCs w:val="36"/>
          <w:highlight w:val="none"/>
        </w:rPr>
      </w:pPr>
    </w:p>
    <w:p w14:paraId="35571B27">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center"/>
        <w:textAlignment w:val="auto"/>
        <w:rPr>
          <w:rFonts w:hint="default" w:ascii="Times New Roman" w:hAnsi="Times New Roman" w:eastAsia="黑体" w:cs="Times New Roman"/>
          <w:b w:val="0"/>
          <w:bCs w:val="0"/>
          <w:color w:val="auto"/>
          <w:sz w:val="36"/>
          <w:szCs w:val="36"/>
          <w:highlight w:val="none"/>
        </w:rPr>
      </w:pPr>
    </w:p>
    <w:p w14:paraId="70505939">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both"/>
        <w:textAlignment w:val="auto"/>
        <w:rPr>
          <w:rFonts w:hint="default" w:ascii="Times New Roman" w:hAnsi="Times New Roman" w:eastAsia="黑体" w:cs="Times New Roman"/>
          <w:b w:val="0"/>
          <w:bCs w:val="0"/>
          <w:color w:val="auto"/>
          <w:sz w:val="36"/>
          <w:szCs w:val="36"/>
          <w:highlight w:val="none"/>
        </w:rPr>
      </w:pPr>
    </w:p>
    <w:p w14:paraId="6975F415">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both"/>
        <w:textAlignment w:val="auto"/>
        <w:rPr>
          <w:rFonts w:hint="default" w:ascii="Times New Roman" w:hAnsi="Times New Roman" w:eastAsia="黑体" w:cs="Times New Roman"/>
          <w:b w:val="0"/>
          <w:bCs w:val="0"/>
          <w:color w:val="auto"/>
          <w:sz w:val="36"/>
          <w:szCs w:val="36"/>
          <w:highlight w:val="none"/>
        </w:rPr>
      </w:pPr>
    </w:p>
    <w:p w14:paraId="604A0708">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both"/>
        <w:textAlignment w:val="auto"/>
        <w:rPr>
          <w:rFonts w:hint="default" w:ascii="Times New Roman" w:hAnsi="Times New Roman" w:eastAsia="黑体" w:cs="Times New Roman"/>
          <w:b w:val="0"/>
          <w:bCs w:val="0"/>
          <w:color w:val="auto"/>
          <w:sz w:val="36"/>
          <w:szCs w:val="36"/>
          <w:highlight w:val="none"/>
        </w:rPr>
      </w:pPr>
    </w:p>
    <w:p w14:paraId="554AB043">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both"/>
        <w:textAlignment w:val="auto"/>
        <w:rPr>
          <w:rFonts w:hint="default" w:ascii="Times New Roman" w:hAnsi="Times New Roman" w:eastAsia="黑体" w:cs="Times New Roman"/>
          <w:b w:val="0"/>
          <w:bCs w:val="0"/>
          <w:color w:val="auto"/>
          <w:sz w:val="36"/>
          <w:szCs w:val="36"/>
          <w:highlight w:val="none"/>
        </w:rPr>
      </w:pPr>
    </w:p>
    <w:p w14:paraId="0678D770">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both"/>
        <w:textAlignment w:val="auto"/>
        <w:rPr>
          <w:rFonts w:hint="default" w:ascii="Times New Roman" w:hAnsi="Times New Roman" w:eastAsia="黑体" w:cs="Times New Roman"/>
          <w:b w:val="0"/>
          <w:bCs w:val="0"/>
          <w:color w:val="auto"/>
          <w:sz w:val="36"/>
          <w:szCs w:val="36"/>
          <w:highlight w:val="none"/>
        </w:rPr>
      </w:pPr>
    </w:p>
    <w:p w14:paraId="73D43A1D">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center"/>
        <w:textAlignment w:val="auto"/>
        <w:rPr>
          <w:rFonts w:hint="eastAsia" w:ascii="Times New Roman" w:hAnsi="Times New Roman" w:eastAsia="黑体" w:cs="Times New Roman"/>
          <w:b w:val="0"/>
          <w:bCs w:val="0"/>
          <w:color w:val="auto"/>
          <w:sz w:val="36"/>
          <w:szCs w:val="36"/>
          <w:highlight w:val="none"/>
          <w:lang w:val="en-US" w:eastAsia="zh-CN"/>
        </w:rPr>
      </w:pPr>
      <w:r>
        <w:rPr>
          <w:rFonts w:hint="eastAsia" w:ascii="Times New Roman" w:hAnsi="Times New Roman" w:eastAsia="黑体" w:cs="Times New Roman"/>
          <w:b w:val="0"/>
          <w:bCs w:val="0"/>
          <w:color w:val="auto"/>
          <w:sz w:val="36"/>
          <w:szCs w:val="36"/>
          <w:highlight w:val="none"/>
          <w:lang w:val="en-US" w:eastAsia="zh-CN"/>
        </w:rPr>
        <w:t>第五师双河市农业农村局</w:t>
      </w:r>
    </w:p>
    <w:p w14:paraId="7C3F5157">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center"/>
        <w:textAlignment w:val="auto"/>
        <w:rPr>
          <w:rFonts w:hint="eastAsia" w:ascii="Times New Roman" w:hAnsi="Times New Roman" w:eastAsia="黑体" w:cs="Times New Roman"/>
          <w:b w:val="0"/>
          <w:bCs w:val="0"/>
          <w:color w:val="auto"/>
          <w:sz w:val="36"/>
          <w:szCs w:val="36"/>
          <w:highlight w:val="none"/>
          <w:lang w:val="en-US" w:eastAsia="zh-CN"/>
        </w:rPr>
      </w:pPr>
      <w:r>
        <w:rPr>
          <w:rFonts w:hint="eastAsia" w:ascii="Times New Roman" w:hAnsi="Times New Roman" w:eastAsia="黑体" w:cs="Times New Roman"/>
          <w:b w:val="0"/>
          <w:bCs w:val="0"/>
          <w:color w:val="auto"/>
          <w:sz w:val="36"/>
          <w:szCs w:val="36"/>
          <w:highlight w:val="none"/>
          <w:lang w:val="en-US" w:eastAsia="zh-CN"/>
        </w:rPr>
        <w:t>2026年4月</w:t>
      </w:r>
    </w:p>
    <w:p w14:paraId="0136CD87">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center"/>
        <w:textAlignment w:val="auto"/>
        <w:rPr>
          <w:rFonts w:hint="eastAsia" w:ascii="Times New Roman" w:hAnsi="Times New Roman" w:eastAsia="黑体" w:cs="Times New Roman"/>
          <w:b w:val="0"/>
          <w:bCs w:val="0"/>
          <w:color w:val="auto"/>
          <w:sz w:val="36"/>
          <w:szCs w:val="36"/>
          <w:highlight w:val="none"/>
          <w:lang w:val="en-US" w:eastAsia="zh-CN"/>
        </w:rPr>
      </w:pPr>
    </w:p>
    <w:p w14:paraId="641CD53A">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center"/>
        <w:textAlignment w:val="auto"/>
        <w:rPr>
          <w:rFonts w:hint="eastAsia" w:ascii="Times New Roman" w:hAnsi="Times New Roman" w:eastAsia="黑体" w:cs="Times New Roman"/>
          <w:b w:val="0"/>
          <w:bCs w:val="0"/>
          <w:color w:val="auto"/>
          <w:sz w:val="36"/>
          <w:szCs w:val="36"/>
          <w:highlight w:val="none"/>
          <w:lang w:val="en-US" w:eastAsia="zh-CN"/>
        </w:rPr>
        <w:sectPr>
          <w:headerReference r:id="rId3" w:type="default"/>
          <w:footerReference r:id="rId4" w:type="default"/>
          <w:pgSz w:w="11905" w:h="16838"/>
          <w:pgMar w:top="1440" w:right="1531" w:bottom="1440" w:left="1531" w:header="850" w:footer="992" w:gutter="0"/>
          <w:pgBorders>
            <w:top w:val="none" w:sz="0" w:space="0"/>
            <w:left w:val="none" w:sz="0" w:space="0"/>
            <w:bottom w:val="none" w:sz="0" w:space="0"/>
            <w:right w:val="none" w:sz="0" w:space="0"/>
          </w:pgBorders>
          <w:pgNumType w:fmt="upperRoman" w:start="1"/>
          <w:cols w:space="0" w:num="1"/>
          <w:rtlGutter w:val="0"/>
          <w:docGrid w:type="lines" w:linePitch="317" w:charSpace="0"/>
        </w:sectPr>
      </w:pPr>
    </w:p>
    <w:p w14:paraId="01F8EFA1">
      <w:pPr>
        <w:keepNext w:val="0"/>
        <w:keepLines w:val="0"/>
        <w:pageBreakBefore w:val="0"/>
        <w:widowControl/>
        <w:kinsoku/>
        <w:wordWrap/>
        <w:overflowPunct/>
        <w:topLinePunct w:val="0"/>
        <w:autoSpaceDE/>
        <w:autoSpaceDN/>
        <w:bidi w:val="0"/>
        <w:adjustRightInd/>
        <w:snapToGrid/>
        <w:spacing w:before="156" w:beforeLines="50" w:after="156" w:afterLines="50" w:line="560" w:lineRule="exact"/>
        <w:ind w:firstLine="0" w:firstLineChars="0"/>
        <w:jc w:val="center"/>
        <w:textAlignment w:val="auto"/>
        <w:rPr>
          <w:rFonts w:hint="default" w:ascii="Times New Roman" w:hAnsi="Times New Roman" w:eastAsia="黑体" w:cs="Times New Roman"/>
          <w:b w:val="0"/>
          <w:bCs w:val="0"/>
          <w:color w:val="auto"/>
          <w:sz w:val="36"/>
          <w:szCs w:val="36"/>
          <w:highlight w:val="none"/>
        </w:rPr>
      </w:pPr>
      <w:r>
        <w:rPr>
          <w:rFonts w:hint="default" w:ascii="Times New Roman" w:hAnsi="Times New Roman" w:eastAsia="黑体" w:cs="Times New Roman"/>
          <w:b w:val="0"/>
          <w:bCs w:val="0"/>
          <w:color w:val="auto"/>
          <w:sz w:val="36"/>
          <w:szCs w:val="36"/>
          <w:highlight w:val="none"/>
        </w:rPr>
        <w:t>目  录</w:t>
      </w:r>
    </w:p>
    <w:p w14:paraId="75144397">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
          <w:bCs/>
          <w:color w:val="auto"/>
          <w:sz w:val="30"/>
          <w:szCs w:val="30"/>
          <w:highlight w:val="none"/>
        </w:rPr>
        <w:fldChar w:fldCharType="begin"/>
      </w:r>
      <w:r>
        <w:rPr>
          <w:rFonts w:hint="default" w:ascii="Times New Roman" w:hAnsi="Times New Roman" w:cs="Times New Roman" w:eastAsiaTheme="minorEastAsia"/>
          <w:b/>
          <w:bCs/>
          <w:color w:val="auto"/>
          <w:sz w:val="30"/>
          <w:szCs w:val="30"/>
          <w:highlight w:val="none"/>
        </w:rPr>
        <w:instrText xml:space="preserve"> TOC \o "1-2" \h \z \u </w:instrText>
      </w:r>
      <w:r>
        <w:rPr>
          <w:rFonts w:hint="default" w:ascii="Times New Roman" w:hAnsi="Times New Roman" w:cs="Times New Roman" w:eastAsiaTheme="minorEastAsia"/>
          <w:b/>
          <w:bCs/>
          <w:color w:val="auto"/>
          <w:sz w:val="30"/>
          <w:szCs w:val="30"/>
          <w:highlight w:val="none"/>
        </w:rPr>
        <w:fldChar w:fldCharType="separate"/>
      </w: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_Toc2609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highlight w:val="none"/>
          <w:lang w:val="en-US" w:eastAsia="zh-CN"/>
        </w:rPr>
        <w:t>前言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_Toc2609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02E7DB7D">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_Toc4527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cs="Times New Roman"/>
          <w:bCs/>
          <w:szCs w:val="36"/>
          <w:lang w:eastAsia="zh-CN"/>
        </w:rPr>
        <w:t xml:space="preserve">第一章 </w:t>
      </w:r>
      <w:r>
        <w:rPr>
          <w:rFonts w:hint="default" w:ascii="Times New Roman" w:hAnsi="Times New Roman" w:cs="Times New Roman"/>
          <w:bCs/>
          <w:szCs w:val="36"/>
          <w:lang w:val="en-US"/>
        </w:rPr>
        <w:t xml:space="preserve"> “</w:t>
      </w:r>
      <w:r>
        <w:rPr>
          <w:rFonts w:hint="default" w:ascii="Times New Roman" w:hAnsi="Times New Roman" w:cs="Times New Roman"/>
          <w:bCs/>
          <w:szCs w:val="36"/>
          <w:lang w:eastAsia="zh-CN"/>
        </w:rPr>
        <w:t>十五五</w:t>
      </w:r>
      <w:r>
        <w:rPr>
          <w:rFonts w:hint="default" w:ascii="Times New Roman" w:hAnsi="Times New Roman" w:cs="Times New Roman"/>
          <w:bCs/>
          <w:szCs w:val="36"/>
          <w:lang w:val="en-US"/>
        </w:rPr>
        <w:t>”</w:t>
      </w:r>
      <w:r>
        <w:rPr>
          <w:rFonts w:hint="default" w:ascii="Times New Roman" w:hAnsi="Times New Roman" w:cs="Times New Roman"/>
          <w:bCs/>
          <w:szCs w:val="36"/>
          <w:lang w:eastAsia="zh-CN"/>
        </w:rPr>
        <w:t>时期农业农村发展基础与环境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_Toc4527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721C981A">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_Toc1365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eastAsia="zh-CN"/>
        </w:rPr>
        <w:t>第一节 发展基础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_Toc1365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4B02004">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_Toc17836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eastAsia="zh-CN"/>
        </w:rPr>
        <w:t>第二节 发展环境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_Toc17836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B36B45E">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_Toc17857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highlight w:val="none"/>
          <w:lang w:val="en-US" w:eastAsia="zh-CN"/>
        </w:rPr>
        <w:t>第二章  总体要求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_Toc17857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6AB160C">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_Toc2410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highlight w:val="none"/>
          <w:lang w:val="en-US" w:eastAsia="zh-CN"/>
        </w:rPr>
        <w:t>第一节 指导思想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_Toc2410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796948F0">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_Toc7462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highlight w:val="none"/>
          <w:lang w:val="en-US" w:eastAsia="zh-CN"/>
        </w:rPr>
        <w:t>第二节 基本原则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_Toc7462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49ACD105">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_Toc1658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highlight w:val="none"/>
          <w:lang w:val="en-US" w:eastAsia="zh-CN"/>
        </w:rPr>
        <w:t>第三节 空间布局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_Toc1658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249825EF">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_Toc23258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highlight w:val="none"/>
          <w:lang w:val="en-US" w:eastAsia="zh-CN"/>
        </w:rPr>
        <w:t>第四节 发展目标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_Toc23258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3F3231D2">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_Toc29398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第三章 </w:t>
      </w:r>
      <w:r>
        <w:rPr>
          <w:rFonts w:hint="default" w:ascii="Times New Roman" w:hAnsi="Times New Roman" w:eastAsia="黑体" w:cs="Times New Roman"/>
          <w:bCs/>
          <w:szCs w:val="36"/>
          <w:highlight w:val="none"/>
          <w:lang w:val="en-US" w:eastAsia="zh-CN"/>
        </w:rPr>
        <w:t>建设粮食高产示范基地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_Toc29398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4E02054C">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_Toc22779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第一节 科学布局示范基地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_Toc22779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08A6F840">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_Toc5103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第二节 强化基础设施建设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_Toc5103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512B9BD3">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_Toc29663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第三节 强化科技创新赋能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_Toc29663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3F4DB259">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_Toc22235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第四节 健全经营管理体系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_Toc22235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3EF6D06">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_Toc17901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第四章 </w:t>
      </w:r>
      <w:r>
        <w:rPr>
          <w:rFonts w:hint="default" w:ascii="Times New Roman" w:hAnsi="Times New Roman" w:eastAsia="黑体" w:cs="Times New Roman"/>
          <w:bCs/>
          <w:szCs w:val="36"/>
          <w:highlight w:val="none"/>
          <w:lang w:val="en-US" w:eastAsia="zh-CN"/>
        </w:rPr>
        <w:t>建设世界一流棉花品质标杆示范基地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_Toc17901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3A1DA2E9">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_Toc3920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第一节 建设标准化示范基地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_Toc3920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3E68774B">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_Toc4944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第二节 落实棉花种植关键技术措施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_Toc4944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BA57539">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_Toc15114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第三节 提高棉花加工质量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_Toc15114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2A123D17">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_Toc27678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第四节 打造棉花质量提升利益共同体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_Toc27678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5BFEEDE">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_Toc21965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第五章 </w:t>
      </w:r>
      <w:r>
        <w:rPr>
          <w:rFonts w:hint="default" w:ascii="Times New Roman" w:hAnsi="Times New Roman" w:eastAsia="黑体" w:cs="Times New Roman"/>
          <w:bCs/>
          <w:szCs w:val="36"/>
          <w:highlight w:val="none"/>
          <w:lang w:val="en-US" w:eastAsia="zh-CN"/>
        </w:rPr>
        <w:t>建设优质林果供给基地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_Toc21965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1EDB991">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_Toc238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第一节 科学布局林果供给基地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09407AA">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_Toc27181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第二节 强化林果标准化管护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_Toc27181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BE5EF7B">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_Toc17655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第三节 推进精深加工与品牌建设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_Toc17655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E4BAE97">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_Toc11700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第六章 </w:t>
      </w:r>
      <w:r>
        <w:rPr>
          <w:rFonts w:hint="default" w:ascii="Times New Roman" w:hAnsi="Times New Roman" w:eastAsia="黑体" w:cs="Times New Roman"/>
          <w:bCs/>
          <w:szCs w:val="36"/>
          <w:highlight w:val="none"/>
          <w:lang w:val="en-US" w:eastAsia="zh-CN"/>
        </w:rPr>
        <w:t>建设优质畜牧水产供给基地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_Toc11700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38C107E">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_Toc4640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第一节 打造标准化养殖集群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_Toc4640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52F4B65E">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_Toc11043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第二节 优化生态水产布局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_Toc11043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25D370A8">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_Toc26292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第三节 强化防控与加工升级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_Toc26292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599BE873">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_Toc21477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第七章 </w:t>
      </w:r>
      <w:r>
        <w:rPr>
          <w:rFonts w:hint="default" w:ascii="Times New Roman" w:hAnsi="Times New Roman" w:eastAsia="黑体" w:cs="Times New Roman"/>
          <w:bCs/>
          <w:szCs w:val="36"/>
          <w:highlight w:val="none"/>
          <w:lang w:val="en-US" w:eastAsia="zh-CN"/>
        </w:rPr>
        <w:t>建设现代设施农业</w:t>
      </w:r>
      <w:r>
        <w:rPr>
          <w:rFonts w:hint="default" w:ascii="Times New Roman" w:hAnsi="Times New Roman" w:cs="Times New Roman"/>
          <w:bCs/>
          <w:szCs w:val="36"/>
          <w:highlight w:val="none"/>
          <w:lang w:val="en-US" w:eastAsia="zh-CN"/>
        </w:rPr>
        <w:t>高端农产品</w:t>
      </w:r>
      <w:r>
        <w:rPr>
          <w:rFonts w:hint="default" w:ascii="Times New Roman" w:hAnsi="Times New Roman" w:eastAsia="黑体" w:cs="Times New Roman"/>
          <w:bCs/>
          <w:szCs w:val="36"/>
          <w:highlight w:val="none"/>
          <w:lang w:val="en-US" w:eastAsia="zh-CN"/>
        </w:rPr>
        <w:t>供给基地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_Toc21477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70E23575">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_Toc20886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 xml:space="preserve">第一节 </w:t>
      </w:r>
      <w:r>
        <w:rPr>
          <w:rFonts w:hint="default" w:ascii="Times New Roman" w:hAnsi="Times New Roman" w:eastAsia="仿宋_GB2312" w:cs="Times New Roman"/>
          <w:szCs w:val="32"/>
        </w:rPr>
        <w:t>打造高端农产品供给基地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_Toc20886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0DF35541">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_Toc23019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 xml:space="preserve">第二节 </w:t>
      </w:r>
      <w:r>
        <w:rPr>
          <w:rFonts w:hint="default" w:ascii="Times New Roman" w:hAnsi="Times New Roman" w:eastAsia="仿宋_GB2312" w:cs="Times New Roman"/>
          <w:szCs w:val="32"/>
          <w:lang w:eastAsia="zh-CN"/>
        </w:rPr>
        <w:t>优化设施</w:t>
      </w:r>
      <w:r>
        <w:rPr>
          <w:rFonts w:hint="default" w:ascii="Times New Roman" w:hAnsi="Times New Roman" w:eastAsia="仿宋_GB2312" w:cs="Times New Roman"/>
          <w:szCs w:val="32"/>
          <w:lang w:val="en-US" w:eastAsia="zh-CN"/>
        </w:rPr>
        <w:t>果蔬</w:t>
      </w:r>
      <w:r>
        <w:rPr>
          <w:rFonts w:hint="default" w:ascii="Times New Roman" w:hAnsi="Times New Roman" w:eastAsia="仿宋_GB2312" w:cs="Times New Roman"/>
          <w:szCs w:val="32"/>
          <w:lang w:eastAsia="zh-CN"/>
        </w:rPr>
        <w:t>种植结构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_Toc23019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B371AE5">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_Toc2339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 xml:space="preserve">第三节 </w:t>
      </w:r>
      <w:r>
        <w:rPr>
          <w:rFonts w:hint="default" w:ascii="Times New Roman" w:hAnsi="Times New Roman" w:eastAsia="仿宋_GB2312" w:cs="Times New Roman"/>
          <w:szCs w:val="32"/>
          <w:lang w:val="en-US" w:eastAsia="zh-CN"/>
        </w:rPr>
        <w:t>打造农旅融合观光样板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_Toc2339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84E89DF">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_Toc32134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 xml:space="preserve">第四节 </w:t>
      </w:r>
      <w:r>
        <w:rPr>
          <w:rFonts w:hint="default" w:ascii="Times New Roman" w:hAnsi="Times New Roman" w:eastAsia="仿宋_GB2312" w:cs="Times New Roman"/>
          <w:szCs w:val="32"/>
          <w:lang w:val="en-US" w:eastAsia="zh-CN"/>
        </w:rPr>
        <w:t>强化基础设施提升改造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_Toc32134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367BE8FB">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_Toc18988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第八章 </w:t>
      </w:r>
      <w:r>
        <w:rPr>
          <w:rFonts w:hint="default" w:ascii="Times New Roman" w:hAnsi="Times New Roman" w:eastAsia="黑体" w:cs="Times New Roman"/>
          <w:bCs/>
          <w:szCs w:val="36"/>
          <w:highlight w:val="none"/>
          <w:lang w:val="en-US" w:eastAsia="zh-CN"/>
        </w:rPr>
        <w:t>推进绿色循环优质农业示范基地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_Toc18988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27FEB652">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_Toc5886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第一节 构建绿色生产体系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_Toc5886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4D88DBF1">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_Toc18344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第二节 构建循环利用体系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_Toc18344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80A71CB">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_Toc30993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w:t>
      </w:r>
      <w:r>
        <w:rPr>
          <w:rFonts w:hint="eastAsia" w:ascii="Times New Roman" w:hAnsi="Times New Roman" w:eastAsia="仿宋_GB2312" w:cs="Times New Roman"/>
          <w:lang w:val="en-US" w:eastAsia="zh-CN"/>
        </w:rPr>
        <w:t>三</w:t>
      </w:r>
      <w:r>
        <w:rPr>
          <w:rFonts w:hint="default" w:ascii="Times New Roman" w:hAnsi="Times New Roman" w:eastAsia="仿宋_GB2312" w:cs="Times New Roman"/>
          <w:lang w:val="en-US" w:eastAsia="zh-CN"/>
        </w:rPr>
        <w:t>节 打造绿色循环农业产业链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_Toc30993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E2E3492">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_Toc226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第九章 </w:t>
      </w:r>
      <w:r>
        <w:rPr>
          <w:rFonts w:hint="default" w:ascii="Times New Roman" w:hAnsi="Times New Roman" w:eastAsia="黑体" w:cs="Times New Roman"/>
          <w:bCs/>
          <w:szCs w:val="36"/>
          <w:highlight w:val="none"/>
          <w:lang w:val="en-US" w:eastAsia="zh-CN"/>
        </w:rPr>
        <w:t>推进优质特色农产品产业升级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73A71015">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_Toc17541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第一节 空间布局与产业定位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_Toc17541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0D248AA1">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_Toc8456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第二节 全产业链延链补链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_Toc8456 \h </w:instrText>
      </w:r>
      <w:r>
        <w:rPr>
          <w:rFonts w:hint="default" w:ascii="Times New Roman" w:hAnsi="Times New Roman" w:cs="Times New Roman"/>
        </w:rPr>
        <w:fldChar w:fldCharType="separate"/>
      </w:r>
      <w:r>
        <w:rPr>
          <w:rFonts w:hint="default" w:ascii="Times New Roman" w:hAnsi="Times New Roman" w:cs="Times New Roman"/>
        </w:rPr>
        <w:t>37</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7BCD9A0">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_Toc11048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第十章 </w:t>
      </w:r>
      <w:r>
        <w:rPr>
          <w:rFonts w:hint="default" w:ascii="Times New Roman" w:hAnsi="Times New Roman" w:eastAsia="黑体" w:cs="Times New Roman"/>
          <w:bCs/>
          <w:szCs w:val="36"/>
          <w:highlight w:val="none"/>
          <w:lang w:val="en-US" w:eastAsia="zh-CN"/>
        </w:rPr>
        <w:t>提升农业机械化智能化水平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_Toc11048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338A3AC6">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_Toc11260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第一节 优化农机装备与配套建设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_Toc11260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59854F42">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_Toc4440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第二节 强化农机标准化作业与智能化升级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_Toc4440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09E5D66">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_Toc6506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第三节 健全农机社会化服务体系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_Toc6506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55D82433">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_Toc18862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第四节 推进农机重点项目建设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_Toc18862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0C39EC3D">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_Toc19622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第十一章 </w:t>
      </w:r>
      <w:r>
        <w:rPr>
          <w:rFonts w:hint="default" w:ascii="Times New Roman" w:hAnsi="Times New Roman" w:eastAsia="黑体" w:cs="Times New Roman"/>
          <w:bCs/>
          <w:szCs w:val="36"/>
          <w:highlight w:val="none"/>
          <w:lang w:val="en-US" w:eastAsia="zh-CN"/>
        </w:rPr>
        <w:t>建设宜居宜业和美连队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_Toc19622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6420037">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_Toc229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第一节 增强连队规划建设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_Toc229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4272FFA4">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_Toc868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第二节 完善连队公共服务与环境整治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_Toc868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21986F93">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_Toc23070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第三节 加强数字乡村建设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_Toc23070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771EC5B3">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_Toc18305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第十二章 </w:t>
      </w:r>
      <w:r>
        <w:rPr>
          <w:rFonts w:hint="default" w:ascii="Times New Roman" w:hAnsi="Times New Roman" w:eastAsia="黑体" w:cs="Times New Roman"/>
          <w:bCs/>
          <w:szCs w:val="36"/>
          <w:highlight w:val="none"/>
          <w:lang w:val="en-US" w:eastAsia="zh-CN"/>
        </w:rPr>
        <w:t>加强改进乡村治理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_Toc18305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1615085">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_Toc17942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第一节 全面提升乡村治理效能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_Toc17942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332A9E75">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_Toc25543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第二节 加强精神文明建设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_Toc25543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169627D">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_Toc13649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第三节 持续推进连队移风易俗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_Toc13649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5BD0662D">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_Toc7180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第四节 强化治理管控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_Toc7180 \h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36730A89">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_Toc1088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第十三章 </w:t>
      </w:r>
      <w:r>
        <w:rPr>
          <w:rFonts w:hint="default" w:ascii="Times New Roman" w:hAnsi="Times New Roman" w:eastAsia="黑体" w:cs="Times New Roman"/>
          <w:bCs/>
          <w:szCs w:val="36"/>
          <w:highlight w:val="none"/>
          <w:lang w:val="en-US" w:eastAsia="zh-CN"/>
        </w:rPr>
        <w:t>深化改革与融合发展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_Toc1088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8C302D0">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_Toc11044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eastAsia="zh-CN"/>
        </w:rPr>
        <w:t>第一节 完善经营与服务体系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_Toc11044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618642C5">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_Toc14826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eastAsia="zh-CN"/>
        </w:rPr>
        <w:t>第二节 强化政策支持与连队经济发展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_Toc14826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21BFF305">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_Toc23926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eastAsia="zh-CN"/>
        </w:rPr>
        <w:t>第三节 持续巩固拓展脱贫攻坚成果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_Toc23926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783EE7A6">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_Toc13480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highlight w:val="none"/>
          <w:lang w:eastAsia="zh-CN"/>
        </w:rPr>
        <w:t>第四节 深化一二三产业融合发展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_Toc13480 \h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57AA6ADC">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_Toc5436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eastAsia="zh-CN"/>
        </w:rPr>
        <w:t>第五节 促进城乡融合发展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_Toc5436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8F4B387">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_Toc32241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eastAsia="zh-CN"/>
        </w:rPr>
        <w:t>第六节 深化兵地融合发展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_Toc32241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75F74CA1">
      <w:pPr>
        <w:pStyle w:val="10"/>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_Toc11697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黑体" w:cs="Times New Roman"/>
          <w:bCs/>
          <w:szCs w:val="36"/>
          <w:lang w:val="en-US" w:eastAsia="zh-CN"/>
        </w:rPr>
        <w:t xml:space="preserve">第十四章 </w:t>
      </w:r>
      <w:r>
        <w:rPr>
          <w:rFonts w:hint="default" w:ascii="Times New Roman" w:hAnsi="Times New Roman" w:eastAsia="黑体" w:cs="Times New Roman"/>
          <w:bCs/>
          <w:szCs w:val="36"/>
          <w:highlight w:val="none"/>
          <w:lang w:val="en-US" w:eastAsia="zh-CN"/>
        </w:rPr>
        <w:t>加强党的领导，确保规划实施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_Toc11697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1D1CEA8D">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_Toc1350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第一节 坚持党的全面领导</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_Toc1350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46F60A30">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_Toc7352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第二节 强化政策、资金与人才保障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_Toc7352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56C07E7B">
      <w:pPr>
        <w:pStyle w:val="12"/>
        <w:keepNext w:val="0"/>
        <w:keepLines w:val="0"/>
        <w:pageBreakBefore w:val="0"/>
        <w:tabs>
          <w:tab w:val="right" w:leader="dot" w:pos="8843"/>
        </w:tabs>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eastAsiaTheme="minorEastAsia"/>
          <w:bCs/>
          <w:color w:val="auto"/>
          <w:szCs w:val="30"/>
          <w:highlight w:val="none"/>
        </w:rPr>
        <w:fldChar w:fldCharType="begin"/>
      </w:r>
      <w:r>
        <w:rPr>
          <w:rFonts w:hint="default" w:ascii="Times New Roman" w:hAnsi="Times New Roman" w:cs="Times New Roman" w:eastAsiaTheme="minorEastAsia"/>
          <w:bCs/>
          <w:szCs w:val="30"/>
          <w:highlight w:val="none"/>
        </w:rPr>
        <w:instrText xml:space="preserve"> HYPERLINK \l _Toc17342 </w:instrText>
      </w:r>
      <w:r>
        <w:rPr>
          <w:rFonts w:hint="default" w:ascii="Times New Roman" w:hAnsi="Times New Roman" w:cs="Times New Roman" w:eastAsiaTheme="minorEastAsia"/>
          <w:bCs/>
          <w:szCs w:val="30"/>
          <w:highlight w:val="none"/>
        </w:rPr>
        <w:fldChar w:fldCharType="separate"/>
      </w:r>
      <w:r>
        <w:rPr>
          <w:rFonts w:hint="default" w:ascii="Times New Roman" w:hAnsi="Times New Roman" w:eastAsia="仿宋_GB2312" w:cs="Times New Roman"/>
          <w:lang w:val="en-US" w:eastAsia="zh-CN"/>
        </w:rPr>
        <w:t>第三节 抓好规划衔接与监测评估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_Toc17342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eastAsiaTheme="minorEastAsia"/>
          <w:bCs/>
          <w:color w:val="auto"/>
          <w:szCs w:val="30"/>
          <w:highlight w:val="none"/>
        </w:rPr>
        <w:fldChar w:fldCharType="end"/>
      </w:r>
    </w:p>
    <w:p w14:paraId="293F4A69">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inorEastAsia"/>
          <w:bCs/>
          <w:color w:val="auto"/>
          <w:szCs w:val="28"/>
          <w:highlight w:val="none"/>
        </w:rPr>
      </w:pPr>
      <w:r>
        <w:rPr>
          <w:rFonts w:hint="default" w:ascii="Times New Roman" w:hAnsi="Times New Roman" w:cs="Times New Roman" w:eastAsiaTheme="minorEastAsia"/>
          <w:bCs/>
          <w:color w:val="auto"/>
          <w:szCs w:val="30"/>
          <w:highlight w:val="none"/>
        </w:rPr>
        <w:fldChar w:fldCharType="end"/>
      </w:r>
    </w:p>
    <w:p w14:paraId="03A569EA">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Cs/>
          <w:color w:val="auto"/>
          <w:szCs w:val="28"/>
          <w:highlight w:val="none"/>
        </w:rPr>
      </w:pPr>
    </w:p>
    <w:p w14:paraId="49070D8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Cs/>
          <w:color w:val="auto"/>
          <w:szCs w:val="28"/>
          <w:highlight w:val="none"/>
        </w:rPr>
      </w:pPr>
    </w:p>
    <w:p w14:paraId="60A7ADC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Cs/>
          <w:color w:val="auto"/>
          <w:szCs w:val="28"/>
          <w:highlight w:val="none"/>
        </w:rPr>
      </w:pPr>
    </w:p>
    <w:p w14:paraId="50C305C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Cs/>
          <w:color w:val="auto"/>
          <w:szCs w:val="28"/>
          <w:highlight w:val="none"/>
        </w:rPr>
      </w:pPr>
    </w:p>
    <w:p w14:paraId="2AA8526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Cs/>
          <w:color w:val="auto"/>
          <w:szCs w:val="28"/>
          <w:highlight w:val="none"/>
        </w:rPr>
      </w:pPr>
    </w:p>
    <w:p w14:paraId="3BD4E11E">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Cs/>
          <w:color w:val="auto"/>
          <w:szCs w:val="28"/>
          <w:highlight w:val="none"/>
        </w:rPr>
      </w:pPr>
    </w:p>
    <w:p w14:paraId="65A1089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Cs/>
          <w:color w:val="auto"/>
          <w:szCs w:val="28"/>
          <w:highlight w:val="none"/>
        </w:rPr>
      </w:pPr>
    </w:p>
    <w:p w14:paraId="1D725955">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Cs/>
          <w:color w:val="auto"/>
          <w:szCs w:val="28"/>
          <w:highlight w:val="none"/>
        </w:rPr>
      </w:pPr>
    </w:p>
    <w:p w14:paraId="6FA5895F">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Cs/>
          <w:color w:val="auto"/>
          <w:szCs w:val="28"/>
          <w:highlight w:val="none"/>
        </w:rPr>
        <w:sectPr>
          <w:pgSz w:w="11905" w:h="16838"/>
          <w:pgMar w:top="1440" w:right="1531" w:bottom="1440" w:left="1531" w:header="850" w:footer="992" w:gutter="0"/>
          <w:pgBorders>
            <w:top w:val="none" w:sz="0" w:space="0"/>
            <w:left w:val="none" w:sz="0" w:space="0"/>
            <w:bottom w:val="none" w:sz="0" w:space="0"/>
            <w:right w:val="none" w:sz="0" w:space="0"/>
          </w:pgBorders>
          <w:pgNumType w:fmt="upperRoman" w:start="1"/>
          <w:cols w:space="0" w:num="1"/>
          <w:rtlGutter w:val="0"/>
          <w:docGrid w:type="lines" w:linePitch="317" w:charSpace="0"/>
        </w:sectPr>
      </w:pPr>
    </w:p>
    <w:p w14:paraId="7B1EEF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Cs/>
          <w:color w:val="auto"/>
          <w:sz w:val="32"/>
          <w:szCs w:val="32"/>
          <w:highlight w:val="none"/>
          <w:lang w:bidi="en-US"/>
        </w:rPr>
      </w:pPr>
    </w:p>
    <w:p w14:paraId="22CFD119">
      <w:pPr>
        <w:pStyle w:val="16"/>
        <w:rPr>
          <w:rFonts w:hint="default" w:ascii="Times New Roman" w:hAnsi="Times New Roman" w:cs="Times New Roman" w:eastAsiaTheme="minorEastAsia"/>
          <w:bCs/>
          <w:color w:val="auto"/>
          <w:kern w:val="2"/>
          <w:sz w:val="28"/>
          <w:szCs w:val="28"/>
          <w:highlight w:val="none"/>
          <w:lang w:val="en-US" w:eastAsia="zh-CN" w:bidi="en-US"/>
        </w:rPr>
      </w:pPr>
    </w:p>
    <w:p w14:paraId="1BA72891">
      <w:pPr>
        <w:rPr>
          <w:rFonts w:hint="default" w:ascii="Times New Roman" w:hAnsi="Times New Roman" w:cs="Times New Roman"/>
          <w:highlight w:val="none"/>
          <w:lang w:val="en-US" w:eastAsia="zh-CN"/>
        </w:rPr>
        <w:sectPr>
          <w:headerReference r:id="rId5" w:type="default"/>
          <w:footerReference r:id="rId6" w:type="default"/>
          <w:pgSz w:w="11905" w:h="16838"/>
          <w:pgMar w:top="1440" w:right="1531" w:bottom="1440" w:left="1531"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736DD9C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bookmarkStart w:id="0" w:name="_Toc4527"/>
      <w:r>
        <w:rPr>
          <w:rFonts w:hint="default" w:ascii="Times New Roman" w:hAnsi="Times New Roman" w:eastAsia="黑体" w:cs="Times New Roman"/>
          <w:b w:val="0"/>
          <w:bCs/>
          <w:color w:val="auto"/>
          <w:sz w:val="36"/>
          <w:szCs w:val="36"/>
          <w:highlight w:val="none"/>
          <w:lang w:val="en-US" w:eastAsia="zh-CN"/>
        </w:rPr>
        <w:t>第一章  “十五五”时期农业农村发展基础与环境</w:t>
      </w:r>
      <w:bookmarkEnd w:id="0"/>
    </w:p>
    <w:p w14:paraId="27B0DCC0">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1" w:name="_Toc1365"/>
      <w:r>
        <w:rPr>
          <w:rFonts w:hint="default" w:ascii="Times New Roman" w:hAnsi="Times New Roman" w:eastAsia="仿宋_GB2312" w:cs="Times New Roman"/>
          <w:lang w:val="en-US" w:eastAsia="zh-CN"/>
        </w:rPr>
        <w:t>第一节 发展基础</w:t>
      </w:r>
      <w:bookmarkEnd w:id="1"/>
    </w:p>
    <w:p w14:paraId="321EE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bidi="en-US"/>
        </w:rPr>
      </w:pPr>
      <w:r>
        <w:rPr>
          <w:rFonts w:hint="eastAsia" w:ascii="Times New Roman" w:hAnsi="Times New Roman" w:eastAsia="仿宋_GB2312" w:cs="Times New Roman"/>
          <w:bCs/>
          <w:color w:val="auto"/>
          <w:sz w:val="32"/>
          <w:szCs w:val="32"/>
          <w:highlight w:val="none"/>
          <w:lang w:val="en-US" w:eastAsia="zh-CN" w:bidi="en-US"/>
        </w:rPr>
        <w:t>不展示</w:t>
      </w:r>
    </w:p>
    <w:p w14:paraId="0378FDAD">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bCs/>
          <w:color w:val="auto"/>
          <w:kern w:val="2"/>
          <w:sz w:val="32"/>
          <w:szCs w:val="32"/>
          <w:highlight w:val="none"/>
          <w:lang w:val="en-US" w:eastAsia="zh-CN" w:bidi="en-US"/>
        </w:rPr>
      </w:pPr>
      <w:bookmarkStart w:id="2" w:name="_Toc17836"/>
      <w:r>
        <w:rPr>
          <w:rFonts w:hint="eastAsia" w:ascii="Times New Roman" w:hAnsi="Times New Roman" w:eastAsia="仿宋_GB2312" w:cs="Times New Roman"/>
          <w:lang w:val="en-US" w:eastAsia="zh-CN"/>
        </w:rPr>
        <w:t xml:space="preserve">第二节 </w:t>
      </w:r>
      <w:r>
        <w:rPr>
          <w:rFonts w:hint="default" w:ascii="Times New Roman" w:hAnsi="Times New Roman" w:eastAsia="仿宋_GB2312" w:cs="Times New Roman"/>
          <w:lang w:val="en-US" w:eastAsia="zh-CN"/>
        </w:rPr>
        <w:t>发展环境</w:t>
      </w:r>
      <w:bookmarkEnd w:id="2"/>
    </w:p>
    <w:p w14:paraId="3EC9D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bidi="en-US"/>
        </w:rPr>
      </w:pPr>
      <w:r>
        <w:rPr>
          <w:rFonts w:hint="eastAsia" w:ascii="Times New Roman" w:hAnsi="Times New Roman" w:eastAsia="仿宋_GB2312" w:cs="Times New Roman"/>
          <w:bCs/>
          <w:color w:val="auto"/>
          <w:sz w:val="32"/>
          <w:szCs w:val="32"/>
          <w:highlight w:val="none"/>
          <w:lang w:val="en-US" w:eastAsia="zh-CN" w:bidi="en-US"/>
        </w:rPr>
        <w:t>不展示</w:t>
      </w:r>
    </w:p>
    <w:p w14:paraId="36687277">
      <w:pPr>
        <w:pStyle w:val="2"/>
        <w:keepNext w:val="0"/>
        <w:keepLines w:val="0"/>
        <w:pageBreakBefore w:val="0"/>
        <w:widowControl w:val="0"/>
        <w:kinsoku/>
        <w:wordWrap/>
        <w:overflowPunct/>
        <w:topLinePunct w:val="0"/>
        <w:autoSpaceDE/>
        <w:autoSpaceDN/>
        <w:bidi w:val="0"/>
        <w:adjustRightInd w:val="0"/>
        <w:snapToGrid w:val="0"/>
        <w:spacing w:before="313" w:beforeLines="100" w:after="180" w:line="360" w:lineRule="auto"/>
        <w:jc w:val="center"/>
        <w:textAlignment w:val="auto"/>
        <w:rPr>
          <w:rFonts w:hint="default" w:ascii="Times New Roman" w:hAnsi="Times New Roman" w:eastAsia="黑体" w:cs="Times New Roman"/>
          <w:b/>
          <w:bCs w:val="0"/>
          <w:color w:val="auto"/>
          <w:sz w:val="36"/>
          <w:szCs w:val="36"/>
          <w:highlight w:val="none"/>
          <w:lang w:val="en-US" w:eastAsia="zh-CN"/>
        </w:rPr>
        <w:sectPr>
          <w:footerReference r:id="rId7" w:type="default"/>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2A643592">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bookmarkStart w:id="3" w:name="_Toc17857"/>
      <w:r>
        <w:rPr>
          <w:rFonts w:hint="default" w:ascii="Times New Roman" w:hAnsi="Times New Roman" w:eastAsia="黑体" w:cs="Times New Roman"/>
          <w:b w:val="0"/>
          <w:bCs/>
          <w:color w:val="auto"/>
          <w:sz w:val="36"/>
          <w:szCs w:val="36"/>
          <w:highlight w:val="none"/>
          <w:lang w:val="en-US" w:eastAsia="zh-CN"/>
        </w:rPr>
        <w:t>第二章  总体要求</w:t>
      </w:r>
      <w:bookmarkEnd w:id="3"/>
    </w:p>
    <w:p w14:paraId="7260C4F5">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4" w:name="_Toc2410"/>
      <w:r>
        <w:rPr>
          <w:rFonts w:hint="default" w:ascii="Times New Roman" w:hAnsi="Times New Roman" w:eastAsia="仿宋_GB2312" w:cs="Times New Roman"/>
          <w:lang w:val="en-US" w:eastAsia="zh-CN"/>
        </w:rPr>
        <w:t>第一节 指导思想</w:t>
      </w:r>
      <w:bookmarkEnd w:id="4"/>
    </w:p>
    <w:p w14:paraId="17F7A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bidi="en-US"/>
        </w:rPr>
      </w:pPr>
      <w:r>
        <w:rPr>
          <w:rFonts w:hint="default" w:ascii="Times New Roman" w:hAnsi="Times New Roman" w:eastAsia="仿宋_GB2312" w:cs="Times New Roman"/>
          <w:bCs/>
          <w:color w:val="auto"/>
          <w:sz w:val="32"/>
          <w:szCs w:val="32"/>
          <w:highlight w:val="none"/>
          <w:lang w:val="en-US" w:eastAsia="zh-CN" w:bidi="en-US"/>
        </w:rPr>
        <w:t>坚持以习近平新时代中国特色社会主义思想为指导，深入贯彻党的二十大和二十届历次全会精神，认真贯彻落实习近平总书记关于“三农”工作的重要论述，完整准确全面贯彻落实新时代党的治疆方略，坚决落实习近平总书记关于新疆和兵团工作讲话重要指示批示精神，坚持</w:t>
      </w:r>
      <w:r>
        <w:rPr>
          <w:rFonts w:hint="eastAsia" w:ascii="Times New Roman" w:hAnsi="Times New Roman" w:eastAsia="仿宋_GB2312" w:cs="Times New Roman"/>
          <w:bCs/>
          <w:color w:val="auto"/>
          <w:sz w:val="32"/>
          <w:szCs w:val="32"/>
          <w:highlight w:val="none"/>
          <w:lang w:val="en-US" w:eastAsia="zh-CN" w:bidi="en-US"/>
        </w:rPr>
        <w:t>稳中求进</w:t>
      </w:r>
      <w:r>
        <w:rPr>
          <w:rFonts w:hint="default" w:ascii="Times New Roman" w:hAnsi="Times New Roman" w:eastAsia="仿宋_GB2312" w:cs="Times New Roman"/>
          <w:bCs/>
          <w:color w:val="auto"/>
          <w:sz w:val="32"/>
          <w:szCs w:val="32"/>
          <w:highlight w:val="none"/>
          <w:lang w:val="en-US" w:eastAsia="zh-CN" w:bidi="en-US"/>
        </w:rPr>
        <w:t>工作总基调，以高质量发展为主线，统筹发展和安全，深化农业供给侧结构性改革，强化科技赋能与改革驱动，构建现代化农业产业体系、生产体系、经营体系，夯实粮食安全与重要农产品供给基础，促进职工增收与连队繁荣，为第五师发展贡献力量。</w:t>
      </w:r>
    </w:p>
    <w:p w14:paraId="15139236">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5" w:name="_Toc7462"/>
      <w:r>
        <w:rPr>
          <w:rFonts w:hint="default" w:ascii="Times New Roman" w:hAnsi="Times New Roman" w:eastAsia="仿宋_GB2312" w:cs="Times New Roman"/>
          <w:lang w:val="en-US" w:eastAsia="zh-CN"/>
        </w:rPr>
        <w:t>第二节 基本原则</w:t>
      </w:r>
      <w:bookmarkEnd w:id="5"/>
    </w:p>
    <w:p w14:paraId="38491E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z w:val="32"/>
          <w:szCs w:val="32"/>
          <w:highlight w:val="none"/>
          <w:lang w:val="en-US" w:eastAsia="zh-CN" w:bidi="en-US"/>
        </w:rPr>
      </w:pPr>
      <w:r>
        <w:rPr>
          <w:rFonts w:hint="default" w:ascii="Times New Roman" w:hAnsi="Times New Roman" w:eastAsia="仿宋_GB2312" w:cs="Times New Roman"/>
          <w:b/>
          <w:bCs w:val="0"/>
          <w:color w:val="auto"/>
          <w:sz w:val="32"/>
          <w:szCs w:val="32"/>
          <w:highlight w:val="none"/>
          <w:lang w:val="en-US" w:eastAsia="zh-CN" w:bidi="en-US"/>
        </w:rPr>
        <w:t>——坚持党的全面领导。</w:t>
      </w:r>
      <w:r>
        <w:rPr>
          <w:rFonts w:hint="default" w:ascii="Times New Roman" w:hAnsi="Times New Roman" w:eastAsia="仿宋_GB2312" w:cs="Times New Roman"/>
          <w:b w:val="0"/>
          <w:bCs/>
          <w:color w:val="auto"/>
          <w:sz w:val="32"/>
          <w:szCs w:val="32"/>
          <w:highlight w:val="none"/>
          <w:lang w:val="en-US" w:eastAsia="zh-CN" w:bidi="en-US"/>
        </w:rPr>
        <w:t>健全党在农业农村工作的领导体制机制，确保党在农业农村工作中始终总揽全局、协调各方，为推动“三农”工作高质量发展提供坚强政治保障。</w:t>
      </w:r>
    </w:p>
    <w:p w14:paraId="4C8C35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z w:val="32"/>
          <w:szCs w:val="32"/>
          <w:highlight w:val="none"/>
          <w:lang w:val="en-US" w:eastAsia="zh-CN" w:bidi="en-US"/>
        </w:rPr>
      </w:pPr>
      <w:r>
        <w:rPr>
          <w:rFonts w:hint="default" w:ascii="Times New Roman" w:hAnsi="Times New Roman" w:eastAsia="仿宋_GB2312" w:cs="Times New Roman"/>
          <w:b/>
          <w:bCs w:val="0"/>
          <w:color w:val="auto"/>
          <w:sz w:val="32"/>
          <w:szCs w:val="32"/>
          <w:highlight w:val="none"/>
          <w:lang w:val="en-US" w:eastAsia="zh-CN" w:bidi="en-US"/>
        </w:rPr>
        <w:t>——坚持人民至上。</w:t>
      </w:r>
      <w:r>
        <w:rPr>
          <w:rFonts w:hint="default" w:ascii="Times New Roman" w:hAnsi="Times New Roman" w:eastAsia="仿宋_GB2312" w:cs="Times New Roman"/>
          <w:b w:val="0"/>
          <w:bCs/>
          <w:color w:val="auto"/>
          <w:sz w:val="32"/>
          <w:szCs w:val="32"/>
          <w:highlight w:val="none"/>
          <w:lang w:val="en-US" w:eastAsia="zh-CN" w:bidi="en-US"/>
        </w:rPr>
        <w:t>尊重人民主体地位，紧紧依靠人民，维护人民根本利益，强化职工群众增收导向，缩小连队收入差距，推动兴业强团富民一体发展、城乡融合发展，使农业农村现代化发展成果更多更公平惠及各族职工群众。</w:t>
      </w:r>
    </w:p>
    <w:p w14:paraId="157AFA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z w:val="32"/>
          <w:szCs w:val="32"/>
          <w:highlight w:val="none"/>
          <w:lang w:val="en-US" w:eastAsia="zh-CN" w:bidi="en-US"/>
        </w:rPr>
      </w:pPr>
      <w:r>
        <w:rPr>
          <w:rFonts w:hint="default" w:ascii="Times New Roman" w:hAnsi="Times New Roman" w:eastAsia="仿宋_GB2312" w:cs="Times New Roman"/>
          <w:b/>
          <w:bCs w:val="0"/>
          <w:color w:val="auto"/>
          <w:sz w:val="32"/>
          <w:szCs w:val="32"/>
          <w:highlight w:val="none"/>
          <w:lang w:val="en-US" w:eastAsia="zh-CN" w:bidi="en-US"/>
        </w:rPr>
        <w:t>——坚持高质量发展。</w:t>
      </w:r>
      <w:r>
        <w:rPr>
          <w:rFonts w:hint="default" w:ascii="Times New Roman" w:hAnsi="Times New Roman" w:eastAsia="仿宋_GB2312" w:cs="Times New Roman"/>
          <w:b w:val="0"/>
          <w:bCs/>
          <w:color w:val="auto"/>
          <w:sz w:val="32"/>
          <w:szCs w:val="32"/>
          <w:highlight w:val="none"/>
          <w:lang w:val="en-US" w:eastAsia="zh-CN" w:bidi="en-US"/>
        </w:rPr>
        <w:t>以新发展理念引领农业农村发展，因地制宜发展农业新质生产力，服务和融入新发展格局，培育壮大特色优势产业，推动农业全面绿色转型，做优质量、盘活存量，提升农业综合生产能力和质量效益，实现质的有效提升和量的合理增长。</w:t>
      </w:r>
    </w:p>
    <w:p w14:paraId="02167C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z w:val="32"/>
          <w:szCs w:val="32"/>
          <w:highlight w:val="none"/>
          <w:lang w:val="en-US" w:eastAsia="zh-CN" w:bidi="en-US"/>
        </w:rPr>
      </w:pPr>
      <w:r>
        <w:rPr>
          <w:rFonts w:hint="default" w:ascii="Times New Roman" w:hAnsi="Times New Roman" w:eastAsia="仿宋_GB2312" w:cs="Times New Roman"/>
          <w:b/>
          <w:bCs w:val="0"/>
          <w:color w:val="auto"/>
          <w:sz w:val="32"/>
          <w:szCs w:val="32"/>
          <w:highlight w:val="none"/>
          <w:lang w:val="en-US" w:eastAsia="zh-CN" w:bidi="en-US"/>
        </w:rPr>
        <w:t>——坚持统筹协调发展。</w:t>
      </w:r>
      <w:r>
        <w:rPr>
          <w:rFonts w:hint="default" w:ascii="Times New Roman" w:hAnsi="Times New Roman" w:eastAsia="仿宋_GB2312" w:cs="Times New Roman"/>
          <w:b w:val="0"/>
          <w:bCs/>
          <w:color w:val="auto"/>
          <w:sz w:val="32"/>
          <w:szCs w:val="32"/>
          <w:highlight w:val="none"/>
          <w:lang w:val="en-US" w:eastAsia="zh-CN" w:bidi="en-US"/>
        </w:rPr>
        <w:t>将“三农”工作置于现代化建设全局中谋划，统筹重要农产品供给与保障国家粮食安全、有为政府与有效市场、兵团与地方等关系，增强政策的系统性、整体性、协同性。</w:t>
      </w:r>
    </w:p>
    <w:p w14:paraId="033459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z w:val="32"/>
          <w:szCs w:val="32"/>
          <w:highlight w:val="none"/>
          <w:lang w:val="en-US" w:eastAsia="zh-CN" w:bidi="en-US"/>
        </w:rPr>
      </w:pPr>
      <w:r>
        <w:rPr>
          <w:rFonts w:hint="default" w:ascii="Times New Roman" w:hAnsi="Times New Roman" w:eastAsia="仿宋_GB2312" w:cs="Times New Roman"/>
          <w:b/>
          <w:bCs w:val="0"/>
          <w:color w:val="auto"/>
          <w:sz w:val="32"/>
          <w:szCs w:val="32"/>
          <w:highlight w:val="none"/>
          <w:lang w:val="en-US" w:eastAsia="zh-CN" w:bidi="en-US"/>
        </w:rPr>
        <w:t>——坚持分层分类施策。</w:t>
      </w:r>
      <w:r>
        <w:rPr>
          <w:rFonts w:hint="default" w:ascii="Times New Roman" w:hAnsi="Times New Roman" w:eastAsia="仿宋_GB2312" w:cs="Times New Roman"/>
          <w:b w:val="0"/>
          <w:bCs/>
          <w:color w:val="auto"/>
          <w:sz w:val="32"/>
          <w:szCs w:val="32"/>
          <w:highlight w:val="none"/>
          <w:lang w:val="en-US" w:eastAsia="zh-CN" w:bidi="en-US"/>
        </w:rPr>
        <w:t>分类有序、片区化推进乡村振兴，连队整团推进、优化布局，逐步提高连队基础设施完备度、公共服务便利度、人居环境舒适度。</w:t>
      </w:r>
    </w:p>
    <w:p w14:paraId="139F3A79">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6" w:name="_Toc1658"/>
      <w:r>
        <w:rPr>
          <w:rFonts w:hint="default" w:ascii="Times New Roman" w:hAnsi="Times New Roman" w:eastAsia="仿宋_GB2312" w:cs="Times New Roman"/>
          <w:lang w:val="en-US" w:eastAsia="zh-CN"/>
        </w:rPr>
        <w:t>第三节 空间布局</w:t>
      </w:r>
      <w:bookmarkEnd w:id="6"/>
    </w:p>
    <w:p w14:paraId="30234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遵循“稳粮、优棉、增果、强畜、重加工、创特色、促增收”的农业发展思路，依托师市及周边棉花、葡萄、玉米、小麦、生猪、肉牛禽蛋等优势农产品资源，科学优化产业空间配置，聚力建设六大农业产业基地，构建区域协同、优势互补、绿色高效、循环联动的农业空间发展格局，全面提升师市农业质量效益与核心竞争力。</w:t>
      </w:r>
    </w:p>
    <w:p w14:paraId="12F286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优质粮食高产基地。</w:t>
      </w:r>
      <w:r>
        <w:rPr>
          <w:rFonts w:hint="default" w:ascii="Times New Roman" w:hAnsi="Times New Roman" w:eastAsia="仿宋_GB2312" w:cs="Times New Roman"/>
          <w:bCs/>
          <w:color w:val="auto"/>
          <w:kern w:val="2"/>
          <w:sz w:val="32"/>
          <w:szCs w:val="32"/>
          <w:highlight w:val="none"/>
          <w:lang w:val="en-US" w:eastAsia="zh-CN" w:bidi="en-US"/>
        </w:rPr>
        <w:t>坚守粮食安全底线，稳定小麦、玉米等粮食种植面积，持续推进高标准农田建设，集成推广良种良法、节水灌溉与全程机械化，打造旱涝保收、高产稳产粮食生产核心区。强化粮食产后烘干、仓储、加工配套，构建“生产+储备+加工”一体化保障体系，筑牢区域粮食安全屏障。粮食种植和产业重点分布在粮食主产区。</w:t>
      </w:r>
    </w:p>
    <w:p w14:paraId="770315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世界一流棉花品质标杆示范基地。</w:t>
      </w:r>
      <w:r>
        <w:rPr>
          <w:rFonts w:hint="default" w:ascii="Times New Roman" w:hAnsi="Times New Roman" w:eastAsia="仿宋_GB2312" w:cs="Times New Roman"/>
          <w:bCs/>
          <w:color w:val="auto"/>
          <w:kern w:val="2"/>
          <w:sz w:val="32"/>
          <w:szCs w:val="32"/>
          <w:highlight w:val="none"/>
          <w:lang w:val="en-US" w:eastAsia="zh-CN" w:bidi="en-US"/>
        </w:rPr>
        <w:t>巩固棉花主产区优势，优化品种结构，推广优质高产高效棉种与绿色轻简化栽培技术，提升棉花品质与单产水平。推进棉田节水、植保、采收全程机械化，完善棉花收购、加工、仓储物流体系，打造优质商品棉供给基地，提升棉花产业市场竞争力。</w:t>
      </w:r>
    </w:p>
    <w:p w14:paraId="60EA63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特色林果供给基地。</w:t>
      </w:r>
      <w:r>
        <w:rPr>
          <w:rFonts w:hint="default" w:ascii="Times New Roman" w:hAnsi="Times New Roman" w:eastAsia="仿宋_GB2312" w:cs="Times New Roman"/>
          <w:bCs/>
          <w:color w:val="auto"/>
          <w:kern w:val="2"/>
          <w:sz w:val="32"/>
          <w:szCs w:val="32"/>
          <w:highlight w:val="none"/>
          <w:lang w:val="en-US" w:eastAsia="zh-CN" w:bidi="en-US"/>
        </w:rPr>
        <w:t>立足光热水土优势，发展葡萄、鲜食果品等特色林果，推进标准化种植、绿色防控与提质增效。建设果品分选、冷链仓储、精深加工设施，培育区域公共品牌，延伸“种植+仓储+加工+销售”产业链，打造特色鲜明、附加值高的林果产业集群。</w:t>
      </w:r>
    </w:p>
    <w:p w14:paraId="0E3984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现代畜牧水产养殖基地。</w:t>
      </w:r>
      <w:r>
        <w:rPr>
          <w:rFonts w:hint="default" w:ascii="Times New Roman" w:hAnsi="Times New Roman" w:eastAsia="仿宋_GB2312" w:cs="Times New Roman"/>
          <w:bCs/>
          <w:color w:val="auto"/>
          <w:kern w:val="2"/>
          <w:sz w:val="32"/>
          <w:szCs w:val="32"/>
          <w:highlight w:val="none"/>
          <w:lang w:val="en-US" w:eastAsia="zh-CN" w:bidi="en-US"/>
        </w:rPr>
        <w:t>坚持“草畜配套、种养循环”，发展生猪、牛羊、家禽标准化规模养殖，推进良种繁育、疫病防控、饲草料保障体系建设。因地制宜发展生态水产养殖，提升绿色健康养殖水平。推动畜禽屠宰、肉制品精深加工，实现“畜头肉尾”全链条增值</w:t>
      </w:r>
      <w:r>
        <w:rPr>
          <w:rFonts w:hint="default" w:ascii="Times New Roman" w:hAnsi="Times New Roman" w:eastAsia="仿宋_GB2312" w:cs="Times New Roman"/>
          <w:b w:val="0"/>
          <w:bCs w:val="0"/>
          <w:color w:val="auto"/>
          <w:kern w:val="0"/>
          <w:sz w:val="32"/>
          <w:szCs w:val="32"/>
          <w:highlight w:val="none"/>
          <w:lang w:val="en-US" w:eastAsia="zh-CN" w:bidi="ar"/>
        </w:rPr>
        <w:t>。</w:t>
      </w:r>
    </w:p>
    <w:p w14:paraId="2F4B28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val="0"/>
          <w:color w:val="auto"/>
          <w:kern w:val="2"/>
          <w:sz w:val="32"/>
          <w:szCs w:val="32"/>
          <w:highlight w:val="none"/>
          <w:lang w:val="en-US" w:eastAsia="zh-CN" w:bidi="en-US"/>
        </w:rPr>
        <w:t>设施农业高端农产品供给基地。</w:t>
      </w:r>
      <w:r>
        <w:rPr>
          <w:rFonts w:hint="default" w:ascii="Times New Roman" w:hAnsi="Times New Roman" w:eastAsia="仿宋_GB2312" w:cs="Times New Roman"/>
          <w:bCs/>
          <w:color w:val="auto"/>
          <w:kern w:val="2"/>
          <w:sz w:val="32"/>
          <w:szCs w:val="32"/>
          <w:highlight w:val="none"/>
          <w:lang w:val="en-US" w:eastAsia="zh-CN" w:bidi="en-US"/>
        </w:rPr>
        <w:t>大力发展智能联栋温室、标准化大棚等现代设施农业，聚焦高端果蔬、特色花卉、食用菌等高附加值产品，推广无土栽培、智慧管控、工厂化生产模式。聚焦高端市场需求，打造绿色安全、品质优良的设施农业高端供给基地，培育农业新质生产力增长点。</w:t>
      </w:r>
    </w:p>
    <w:p w14:paraId="76269E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绿色循环优质农业示范基地。</w:t>
      </w:r>
      <w:r>
        <w:rPr>
          <w:rFonts w:hint="default" w:ascii="Times New Roman" w:hAnsi="Times New Roman" w:eastAsia="仿宋_GB2312" w:cs="Times New Roman"/>
          <w:bCs/>
          <w:color w:val="auto"/>
          <w:kern w:val="2"/>
          <w:sz w:val="32"/>
          <w:szCs w:val="32"/>
          <w:highlight w:val="none"/>
          <w:lang w:val="en-US" w:eastAsia="zh-CN" w:bidi="en-US"/>
        </w:rPr>
        <w:t>以绿色低碳、循环高效为导向，推进秸秆综合利用、畜禽粪污资源化利用、农膜回收与化肥农药减量增效。构建“种养结合、农牧循环”绿色生产模式，建设一批绿色防控、节水节肥、生态循环示范园区，在全师范围内全面提升农产品绿色优质供给能力，引领农业绿色转型。</w:t>
      </w:r>
    </w:p>
    <w:p w14:paraId="105E62A2">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b/>
          <w:bCs/>
          <w:color w:val="auto"/>
          <w:sz w:val="32"/>
          <w:szCs w:val="32"/>
          <w:highlight w:val="none"/>
          <w:lang w:val="en-US" w:eastAsia="zh-CN"/>
        </w:rPr>
      </w:pPr>
      <w:bookmarkStart w:id="7" w:name="_Toc23258"/>
      <w:r>
        <w:rPr>
          <w:rFonts w:hint="default" w:ascii="Times New Roman" w:hAnsi="Times New Roman" w:eastAsia="仿宋_GB2312" w:cs="Times New Roman"/>
          <w:lang w:val="en-US" w:eastAsia="zh-CN"/>
        </w:rPr>
        <w:t>第四节 发展目标</w:t>
      </w:r>
      <w:bookmarkEnd w:id="7"/>
    </w:p>
    <w:p w14:paraId="433F26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着力发展现代农业</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发展现代设施农业，打造全国规模领先、科技领先的联栋温室现代化设施农业基地，建设80万平方米联栋智能温室。建设生猪、肉牛、家禽标准化、集约化设施养殖场和繁育场。大力发展水产养殖，力争实现万亩渔业绿色循环养殖现代渔业发展目标。发展绿色循环农业，依托龙头企业，探索“畜牧养殖-肥料还田-盐碱地改良-粮草种植-畜牧养殖”绿色循环发展模式。发展农副产品精深加工业，培育农业产业化龙头企业，推进重点产业发展，形成产业聚焦效应、规模效应、提高优质农产品附加值和经济效益。</w:t>
      </w:r>
    </w:p>
    <w:p w14:paraId="3574BB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sz w:val="32"/>
          <w:szCs w:val="32"/>
          <w:highlight w:val="none"/>
          <w:lang w:val="en-US" w:eastAsia="zh-CN"/>
        </w:rPr>
        <w:t>构建现代农业生产体系。</w:t>
      </w:r>
      <w:r>
        <w:rPr>
          <w:rFonts w:hint="default" w:ascii="Times New Roman" w:hAnsi="Times New Roman" w:eastAsia="仿宋_GB2312" w:cs="Times New Roman"/>
          <w:color w:val="auto"/>
          <w:sz w:val="32"/>
          <w:szCs w:val="32"/>
          <w:highlight w:val="none"/>
          <w:lang w:val="en-US" w:eastAsia="zh-CN"/>
        </w:rPr>
        <w:t>夯实农业发展基础，</w:t>
      </w:r>
      <w:r>
        <w:rPr>
          <w:rFonts w:hint="default" w:ascii="Times New Roman" w:hAnsi="Times New Roman" w:eastAsia="仿宋_GB2312" w:cs="Times New Roman"/>
          <w:color w:val="auto"/>
          <w:sz w:val="32"/>
          <w:szCs w:val="32"/>
          <w:highlight w:val="none"/>
        </w:rPr>
        <w:t>粮食种植面积稳定在36万亩，产量27万吨；</w:t>
      </w:r>
      <w:r>
        <w:rPr>
          <w:rFonts w:hint="default" w:ascii="Times New Roman" w:hAnsi="Times New Roman" w:eastAsia="仿宋_GB2312" w:cs="Times New Roman"/>
          <w:color w:val="auto"/>
          <w:sz w:val="32"/>
          <w:szCs w:val="32"/>
          <w:highlight w:val="none"/>
          <w:lang w:val="en-US" w:eastAsia="zh-CN"/>
        </w:rPr>
        <w:t>优质棉基地</w:t>
      </w:r>
      <w:r>
        <w:rPr>
          <w:rFonts w:hint="default" w:ascii="Times New Roman" w:hAnsi="Times New Roman" w:eastAsia="仿宋_GB2312" w:cs="Times New Roman"/>
          <w:color w:val="auto"/>
          <w:sz w:val="32"/>
          <w:szCs w:val="32"/>
          <w:highlight w:val="none"/>
        </w:rPr>
        <w:t>稳定在70万亩左右，皮棉总产量稳定在12万吨</w:t>
      </w:r>
      <w:r>
        <w:rPr>
          <w:rFonts w:hint="default" w:ascii="Times New Roman" w:hAnsi="Times New Roman" w:eastAsia="仿宋_GB2312" w:cs="Times New Roman"/>
          <w:b w:val="0"/>
          <w:bCs w:val="0"/>
          <w:color w:val="auto"/>
          <w:kern w:val="0"/>
          <w:sz w:val="32"/>
          <w:szCs w:val="32"/>
          <w:highlight w:val="none"/>
          <w:lang w:val="en-US" w:eastAsia="zh-CN" w:bidi="ar"/>
        </w:rPr>
        <w:t>以上，“双30”A+B及以上比例达到90%以上；林果面积稳定在7.5万亩，年商品果产量15万吨；高标准农田建设面积达到109万亩；作物制种面积稳定在3万亩，总产2万吨左右；生猪总产能100万头、肉牛10万头、蛋鸡300万羽</w:t>
      </w:r>
      <w:r>
        <w:rPr>
          <w:rFonts w:hint="eastAsia" w:ascii="Times New Roman" w:hAnsi="Times New Roman" w:eastAsia="仿宋_GB2312" w:cs="Times New Roman"/>
          <w:b w:val="0"/>
          <w:bCs w:val="0"/>
          <w:color w:val="auto"/>
          <w:kern w:val="0"/>
          <w:sz w:val="32"/>
          <w:szCs w:val="32"/>
          <w:highlight w:val="none"/>
          <w:lang w:val="en-US" w:eastAsia="zh-CN" w:bidi="ar"/>
        </w:rPr>
        <w:t>。</w:t>
      </w:r>
    </w:p>
    <w:p w14:paraId="1A96F5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构建现代农业经营体系。</w:t>
      </w:r>
      <w:r>
        <w:rPr>
          <w:rFonts w:hint="default" w:ascii="Times New Roman" w:hAnsi="Times New Roman" w:eastAsia="仿宋_GB2312" w:cs="Times New Roman"/>
          <w:b w:val="0"/>
          <w:bCs w:val="0"/>
          <w:color w:val="auto"/>
          <w:sz w:val="32"/>
          <w:szCs w:val="32"/>
          <w:highlight w:val="none"/>
          <w:lang w:val="en-US" w:eastAsia="zh-CN"/>
        </w:rPr>
        <w:t>大力培育新型经营主体，力争创建国家级示范社2家及以上；稳妥推进经营地改革，规范身份地承包管理，职工承包期限至退休年限当年种植作物生产季结束；健全农业社会化服务体系，积极引入社会服务力量，提升规范化服务水平。</w:t>
      </w:r>
    </w:p>
    <w:p w14:paraId="7C1A260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sz w:val="32"/>
          <w:szCs w:val="32"/>
          <w:highlight w:val="none"/>
          <w:lang w:val="en-US" w:eastAsia="zh-CN"/>
        </w:rPr>
        <w:t>推进宜居宜业和美连队建设。</w:t>
      </w:r>
      <w:r>
        <w:rPr>
          <w:rFonts w:hint="default" w:ascii="Times New Roman" w:hAnsi="Times New Roman" w:eastAsia="仿宋_GB2312" w:cs="Times New Roman"/>
          <w:b w:val="0"/>
          <w:bCs w:val="0"/>
          <w:color w:val="auto"/>
          <w:kern w:val="0"/>
          <w:sz w:val="32"/>
          <w:szCs w:val="32"/>
          <w:highlight w:val="none"/>
          <w:lang w:val="en-US" w:eastAsia="zh-CN" w:bidi="ar"/>
        </w:rPr>
        <w:t>打造生态宜居连队环境，推进连队供水、排水、道路、垃圾、电网等基础设施建设，连队卫生厕所普及率达到98%左右、</w:t>
      </w:r>
      <w:r>
        <w:rPr>
          <w:rFonts w:hint="default" w:ascii="Times New Roman" w:hAnsi="Times New Roman" w:eastAsia="仿宋_GB2312" w:cs="Times New Roman"/>
          <w:bCs/>
          <w:color w:val="auto"/>
          <w:kern w:val="2"/>
          <w:sz w:val="32"/>
          <w:szCs w:val="32"/>
          <w:highlight w:val="none"/>
          <w:lang w:val="en-US" w:eastAsia="zh-CN" w:bidi="en-US"/>
        </w:rPr>
        <w:t>生活污水治理和有效管护率提升至86%</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 w:val="0"/>
          <w:bCs w:val="0"/>
          <w:color w:val="auto"/>
          <w:kern w:val="0"/>
          <w:sz w:val="32"/>
          <w:szCs w:val="32"/>
          <w:highlight w:val="none"/>
          <w:lang w:val="en-US" w:eastAsia="zh-CN" w:bidi="ar"/>
        </w:rPr>
        <w:t>健全基层公共服务体系，鼓励团场连队优化公共资源布局，将医疗、文化、养老、等更多服务延伸至连队。</w:t>
      </w:r>
    </w:p>
    <w:p w14:paraId="33E4E41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sz w:val="32"/>
          <w:szCs w:val="32"/>
          <w:highlight w:val="none"/>
          <w:lang w:val="en-US" w:eastAsia="zh-CN"/>
        </w:rPr>
        <w:t>提高强农惠农富农政策效能。</w:t>
      </w:r>
      <w:r>
        <w:rPr>
          <w:rFonts w:hint="default" w:ascii="Times New Roman" w:hAnsi="Times New Roman" w:eastAsia="仿宋_GB2312" w:cs="Times New Roman"/>
          <w:b w:val="0"/>
          <w:bCs w:val="0"/>
          <w:color w:val="auto"/>
          <w:kern w:val="0"/>
          <w:sz w:val="32"/>
          <w:szCs w:val="32"/>
          <w:highlight w:val="none"/>
          <w:lang w:val="en-US" w:eastAsia="zh-CN" w:bidi="ar"/>
        </w:rPr>
        <w:t>深化一二三产业融合发展，扶优培强农业产业龙头企业，兵团级以上龙头企业达到17家左右，鼓励连队发展特色经济，打造亿元产值连队40个；持续巩固拓展脱贫攻坚成果，保持过渡期后现有帮扶政策体系和现有工作体系总体稳定，落实常态化防返贫机制，确保不发生规模性返贫，加强惠农资金监管，确保各项惠农政策落到实处，将更多资源向帮扶团场倾斜。</w:t>
      </w:r>
    </w:p>
    <w:p w14:paraId="5685C24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质量安全与品牌影响力提升。</w:t>
      </w:r>
      <w:r>
        <w:rPr>
          <w:rFonts w:hint="default" w:ascii="Times New Roman" w:hAnsi="Times New Roman" w:eastAsia="仿宋_GB2312" w:cs="Times New Roman"/>
          <w:b w:val="0"/>
          <w:bCs w:val="0"/>
          <w:color w:val="auto"/>
          <w:sz w:val="32"/>
          <w:szCs w:val="32"/>
          <w:highlight w:val="none"/>
          <w:lang w:val="en-US" w:eastAsia="zh-CN"/>
        </w:rPr>
        <w:t>农产品质量安全合格率稳定在99.5%以上，“三品一标”产品累计达15个以上，完成“双河葡萄”地理标志认证，“灵峪双河”区域公共品牌影响力显著提升，积极发展棉纺、棉蛋白、富硒黑小麦、NFC果汁、葡萄干、葡萄酒、糯玉米、番茄酱、风干肉、三文鱼等农产品加工业，提高优质农产品附加值和经济效益，优质农产品远销国内高端市场及中亚地区，落实兵团农产品品牌建设要求。</w:t>
      </w:r>
    </w:p>
    <w:p w14:paraId="1F46BD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sz w:val="32"/>
          <w:szCs w:val="32"/>
          <w:highlight w:val="none"/>
        </w:rPr>
        <w:t>支撑保障体系更</w:t>
      </w:r>
      <w:r>
        <w:rPr>
          <w:rFonts w:hint="default" w:ascii="Times New Roman" w:hAnsi="Times New Roman" w:eastAsia="仿宋_GB2312" w:cs="Times New Roman"/>
          <w:b/>
          <w:bCs/>
          <w:color w:val="auto"/>
          <w:kern w:val="0"/>
          <w:sz w:val="32"/>
          <w:szCs w:val="32"/>
          <w:highlight w:val="none"/>
          <w:lang w:val="en-US" w:eastAsia="zh-CN" w:bidi="ar"/>
        </w:rPr>
        <w:t>加完善。</w:t>
      </w:r>
      <w:r>
        <w:rPr>
          <w:rFonts w:hint="default" w:ascii="Times New Roman" w:hAnsi="Times New Roman" w:eastAsia="仿宋_GB2312" w:cs="Times New Roman"/>
          <w:b w:val="0"/>
          <w:bCs w:val="0"/>
          <w:color w:val="auto"/>
          <w:kern w:val="0"/>
          <w:sz w:val="32"/>
          <w:szCs w:val="32"/>
          <w:highlight w:val="none"/>
          <w:lang w:val="en-US" w:eastAsia="zh-CN" w:bidi="ar"/>
        </w:rPr>
        <w:t>智慧农业、冷链物流覆盖主要农产品生产、加工、流通环节；建设6个区域性农机服务中心，农机总动力稳定在44万千瓦左右，主要农作物耕种收综合机械化率达到98%以上；兵地融合、城乡融合发展机制更加健全，连队基础设施、公共服务水平更加完善；规模化养殖场粪污处理设施装备配套率达到100%，畜禽粪污综合利用率达到9</w:t>
      </w:r>
      <w:r>
        <w:rPr>
          <w:rFonts w:hint="eastAsia" w:ascii="Times New Roman" w:hAnsi="Times New Roman" w:eastAsia="仿宋_GB2312" w:cs="Times New Roman"/>
          <w:b w:val="0"/>
          <w:bCs w:val="0"/>
          <w:color w:val="auto"/>
          <w:kern w:val="0"/>
          <w:sz w:val="32"/>
          <w:szCs w:val="32"/>
          <w:highlight w:val="none"/>
          <w:lang w:val="en-US" w:eastAsia="zh-CN" w:bidi="ar"/>
        </w:rPr>
        <w:t>3</w:t>
      </w:r>
      <w:r>
        <w:rPr>
          <w:rFonts w:hint="default" w:ascii="Times New Roman" w:hAnsi="Times New Roman" w:eastAsia="仿宋_GB2312" w:cs="Times New Roman"/>
          <w:b w:val="0"/>
          <w:bCs w:val="0"/>
          <w:color w:val="auto"/>
          <w:kern w:val="0"/>
          <w:sz w:val="32"/>
          <w:szCs w:val="32"/>
          <w:highlight w:val="none"/>
          <w:lang w:val="en-US" w:eastAsia="zh-CN" w:bidi="ar"/>
        </w:rPr>
        <w:t>%以上，当季农田废旧地膜回收率达到95%以上，连队卫生厕所普及率98%以上，连队污水治理率达到86%左右。</w:t>
      </w:r>
    </w:p>
    <w:p w14:paraId="4DEC6FA3">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“十五五”时期农业农村现代化主要指标</w:t>
      </w:r>
    </w:p>
    <w:tbl>
      <w:tblPr>
        <w:tblStyle w:val="17"/>
        <w:tblW w:w="44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96"/>
        <w:gridCol w:w="4038"/>
        <w:gridCol w:w="1486"/>
        <w:gridCol w:w="1252"/>
      </w:tblGrid>
      <w:tr w14:paraId="1C27A2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0" w:type="pct"/>
            <w:tcBorders>
              <w:tl2br w:val="nil"/>
              <w:tr2bl w:val="nil"/>
            </w:tcBorders>
            <w:shd w:val="clear" w:color="auto" w:fill="auto"/>
            <w:vAlign w:val="center"/>
          </w:tcPr>
          <w:p w14:paraId="0694B2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类别</w:t>
            </w:r>
          </w:p>
        </w:tc>
        <w:tc>
          <w:tcPr>
            <w:tcW w:w="2532" w:type="pct"/>
            <w:tcBorders>
              <w:tl2br w:val="nil"/>
              <w:tr2bl w:val="nil"/>
            </w:tcBorders>
            <w:shd w:val="clear" w:color="auto" w:fill="auto"/>
            <w:vAlign w:val="center"/>
          </w:tcPr>
          <w:p w14:paraId="390FCF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指标</w:t>
            </w:r>
          </w:p>
        </w:tc>
        <w:tc>
          <w:tcPr>
            <w:tcW w:w="932" w:type="pct"/>
            <w:tcBorders>
              <w:tl2br w:val="nil"/>
              <w:tr2bl w:val="nil"/>
            </w:tcBorders>
            <w:shd w:val="clear" w:color="auto" w:fill="auto"/>
            <w:vAlign w:val="center"/>
          </w:tcPr>
          <w:p w14:paraId="09178B3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2030年</w:t>
            </w:r>
          </w:p>
        </w:tc>
        <w:tc>
          <w:tcPr>
            <w:tcW w:w="785" w:type="pct"/>
            <w:tcBorders>
              <w:tl2br w:val="nil"/>
              <w:tr2bl w:val="nil"/>
            </w:tcBorders>
            <w:shd w:val="clear" w:color="auto" w:fill="auto"/>
            <w:vAlign w:val="center"/>
          </w:tcPr>
          <w:p w14:paraId="2A2B2C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指标属性</w:t>
            </w:r>
          </w:p>
        </w:tc>
      </w:tr>
      <w:tr w14:paraId="6625C6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750" w:type="pct"/>
            <w:vMerge w:val="restart"/>
            <w:tcBorders>
              <w:tl2br w:val="nil"/>
              <w:tr2bl w:val="nil"/>
            </w:tcBorders>
            <w:shd w:val="clear" w:color="auto" w:fill="auto"/>
            <w:vAlign w:val="center"/>
          </w:tcPr>
          <w:p w14:paraId="47D492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农业现代化</w:t>
            </w:r>
          </w:p>
        </w:tc>
        <w:tc>
          <w:tcPr>
            <w:tcW w:w="2532" w:type="pct"/>
            <w:tcBorders>
              <w:tl2br w:val="nil"/>
              <w:tr2bl w:val="nil"/>
            </w:tcBorders>
            <w:shd w:val="clear" w:color="auto" w:fill="auto"/>
            <w:vAlign w:val="center"/>
          </w:tcPr>
          <w:p w14:paraId="5C7CE71B">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粮食综合生产能力(万吨)</w:t>
            </w:r>
          </w:p>
        </w:tc>
        <w:tc>
          <w:tcPr>
            <w:tcW w:w="932" w:type="pct"/>
            <w:tcBorders>
              <w:tl2br w:val="nil"/>
              <w:tr2bl w:val="nil"/>
            </w:tcBorders>
            <w:shd w:val="clear" w:color="auto" w:fill="auto"/>
            <w:vAlign w:val="center"/>
          </w:tcPr>
          <w:p w14:paraId="7533574B">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27</w:t>
            </w:r>
          </w:p>
        </w:tc>
        <w:tc>
          <w:tcPr>
            <w:tcW w:w="785" w:type="pct"/>
            <w:tcBorders>
              <w:tl2br w:val="nil"/>
              <w:tr2bl w:val="nil"/>
            </w:tcBorders>
            <w:shd w:val="clear" w:color="auto" w:fill="auto"/>
            <w:vAlign w:val="center"/>
          </w:tcPr>
          <w:p w14:paraId="2A712C3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约束性</w:t>
            </w:r>
          </w:p>
        </w:tc>
      </w:tr>
      <w:tr w14:paraId="68CD9E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750" w:type="pct"/>
            <w:vMerge w:val="continue"/>
            <w:tcBorders>
              <w:tl2br w:val="nil"/>
              <w:tr2bl w:val="nil"/>
            </w:tcBorders>
            <w:shd w:val="clear" w:color="auto" w:fill="auto"/>
            <w:vAlign w:val="center"/>
          </w:tcPr>
          <w:p w14:paraId="29803EC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2532" w:type="pct"/>
            <w:tcBorders>
              <w:tl2br w:val="nil"/>
              <w:tr2bl w:val="nil"/>
            </w:tcBorders>
            <w:shd w:val="clear" w:color="auto" w:fill="auto"/>
            <w:vAlign w:val="center"/>
          </w:tcPr>
          <w:p w14:paraId="1311376D">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棉花综合生产能力(万吨)</w:t>
            </w:r>
          </w:p>
        </w:tc>
        <w:tc>
          <w:tcPr>
            <w:tcW w:w="932" w:type="pct"/>
            <w:tcBorders>
              <w:tl2br w:val="nil"/>
              <w:tr2bl w:val="nil"/>
            </w:tcBorders>
            <w:shd w:val="clear" w:color="auto" w:fill="auto"/>
            <w:vAlign w:val="center"/>
          </w:tcPr>
          <w:p w14:paraId="273349E5">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＞12</w:t>
            </w:r>
          </w:p>
        </w:tc>
        <w:tc>
          <w:tcPr>
            <w:tcW w:w="785" w:type="pct"/>
            <w:tcBorders>
              <w:tl2br w:val="nil"/>
              <w:tr2bl w:val="nil"/>
            </w:tcBorders>
            <w:shd w:val="clear" w:color="auto" w:fill="auto"/>
            <w:vAlign w:val="center"/>
          </w:tcPr>
          <w:p w14:paraId="44AB56C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75E075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750" w:type="pct"/>
            <w:vMerge w:val="continue"/>
            <w:tcBorders>
              <w:tl2br w:val="nil"/>
              <w:tr2bl w:val="nil"/>
            </w:tcBorders>
            <w:shd w:val="clear" w:color="auto" w:fill="auto"/>
            <w:vAlign w:val="center"/>
          </w:tcPr>
          <w:p w14:paraId="0BD28DE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2532" w:type="pct"/>
            <w:tcBorders>
              <w:tl2br w:val="nil"/>
              <w:tr2bl w:val="nil"/>
            </w:tcBorders>
            <w:shd w:val="clear" w:color="auto" w:fill="auto"/>
            <w:vAlign w:val="center"/>
          </w:tcPr>
          <w:p w14:paraId="3BADCBA0">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肉类产量(万吨)</w:t>
            </w:r>
          </w:p>
        </w:tc>
        <w:tc>
          <w:tcPr>
            <w:tcW w:w="932" w:type="pct"/>
            <w:tcBorders>
              <w:tl2br w:val="nil"/>
              <w:tr2bl w:val="nil"/>
            </w:tcBorders>
            <w:shd w:val="clear" w:color="auto" w:fill="auto"/>
            <w:vAlign w:val="center"/>
          </w:tcPr>
          <w:p w14:paraId="413EB02E">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5.4</w:t>
            </w:r>
          </w:p>
        </w:tc>
        <w:tc>
          <w:tcPr>
            <w:tcW w:w="785" w:type="pct"/>
            <w:tcBorders>
              <w:tl2br w:val="nil"/>
              <w:tr2bl w:val="nil"/>
            </w:tcBorders>
            <w:shd w:val="clear" w:color="auto" w:fill="auto"/>
            <w:vAlign w:val="center"/>
          </w:tcPr>
          <w:p w14:paraId="1B6337F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310F83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750" w:type="pct"/>
            <w:vMerge w:val="continue"/>
            <w:tcBorders>
              <w:tl2br w:val="nil"/>
              <w:tr2bl w:val="nil"/>
            </w:tcBorders>
            <w:shd w:val="clear" w:color="auto" w:fill="auto"/>
            <w:vAlign w:val="center"/>
          </w:tcPr>
          <w:p w14:paraId="0BC337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737B70AC">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农业总产值(亿元)</w:t>
            </w:r>
          </w:p>
        </w:tc>
        <w:tc>
          <w:tcPr>
            <w:tcW w:w="932" w:type="pct"/>
            <w:tcBorders>
              <w:tl2br w:val="nil"/>
              <w:tr2bl w:val="nil"/>
            </w:tcBorders>
            <w:shd w:val="clear" w:color="auto" w:fill="auto"/>
            <w:vAlign w:val="center"/>
          </w:tcPr>
          <w:p w14:paraId="19BA9EB5">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93.7</w:t>
            </w:r>
          </w:p>
        </w:tc>
        <w:tc>
          <w:tcPr>
            <w:tcW w:w="785" w:type="pct"/>
            <w:tcBorders>
              <w:tl2br w:val="nil"/>
              <w:tr2bl w:val="nil"/>
            </w:tcBorders>
            <w:shd w:val="clear" w:color="auto" w:fill="auto"/>
            <w:vAlign w:val="center"/>
          </w:tcPr>
          <w:p w14:paraId="334D64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1583CB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750" w:type="pct"/>
            <w:vMerge w:val="continue"/>
            <w:tcBorders>
              <w:tl2br w:val="nil"/>
              <w:tr2bl w:val="nil"/>
            </w:tcBorders>
            <w:shd w:val="clear" w:color="auto" w:fill="auto"/>
            <w:vAlign w:val="center"/>
          </w:tcPr>
          <w:p w14:paraId="07F66BCB">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12BAB49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农产品加工产值与农业总产值比</w:t>
            </w:r>
          </w:p>
        </w:tc>
        <w:tc>
          <w:tcPr>
            <w:tcW w:w="932" w:type="pct"/>
            <w:tcBorders>
              <w:tl2br w:val="nil"/>
              <w:tr2bl w:val="nil"/>
            </w:tcBorders>
            <w:shd w:val="clear" w:color="auto" w:fill="auto"/>
            <w:vAlign w:val="center"/>
          </w:tcPr>
          <w:p w14:paraId="4A32D3C1">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3.0:1</w:t>
            </w:r>
          </w:p>
        </w:tc>
        <w:tc>
          <w:tcPr>
            <w:tcW w:w="785" w:type="pct"/>
            <w:tcBorders>
              <w:tl2br w:val="nil"/>
              <w:tr2bl w:val="nil"/>
            </w:tcBorders>
            <w:shd w:val="clear" w:color="auto" w:fill="auto"/>
            <w:vAlign w:val="center"/>
          </w:tcPr>
          <w:p w14:paraId="47807AF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35B082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750" w:type="pct"/>
            <w:vMerge w:val="continue"/>
            <w:tcBorders>
              <w:tl2br w:val="nil"/>
              <w:tr2bl w:val="nil"/>
            </w:tcBorders>
            <w:shd w:val="clear" w:color="auto" w:fill="auto"/>
            <w:vAlign w:val="center"/>
          </w:tcPr>
          <w:p w14:paraId="72D00BCB">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6C27FF86">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畜牧业占农业生产总值的比重(%)</w:t>
            </w:r>
          </w:p>
        </w:tc>
        <w:tc>
          <w:tcPr>
            <w:tcW w:w="932" w:type="pct"/>
            <w:tcBorders>
              <w:tl2br w:val="nil"/>
              <w:tr2bl w:val="nil"/>
            </w:tcBorders>
            <w:shd w:val="clear" w:color="auto" w:fill="auto"/>
            <w:vAlign w:val="center"/>
          </w:tcPr>
          <w:p w14:paraId="7195F854">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22</w:t>
            </w:r>
          </w:p>
        </w:tc>
        <w:tc>
          <w:tcPr>
            <w:tcW w:w="785" w:type="pct"/>
            <w:tcBorders>
              <w:tl2br w:val="nil"/>
              <w:tr2bl w:val="nil"/>
            </w:tcBorders>
            <w:shd w:val="clear" w:color="auto" w:fill="auto"/>
            <w:vAlign w:val="center"/>
          </w:tcPr>
          <w:p w14:paraId="58C263A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70ADF3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5" w:hRule="atLeast"/>
          <w:jc w:val="center"/>
        </w:trPr>
        <w:tc>
          <w:tcPr>
            <w:tcW w:w="750" w:type="pct"/>
            <w:vMerge w:val="continue"/>
            <w:tcBorders>
              <w:tl2br w:val="nil"/>
              <w:tr2bl w:val="nil"/>
            </w:tcBorders>
            <w:shd w:val="clear" w:color="auto" w:fill="auto"/>
            <w:vAlign w:val="center"/>
          </w:tcPr>
          <w:p w14:paraId="5998354E">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427309F1">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永久基本农田占高标准农田占比（%）</w:t>
            </w:r>
          </w:p>
        </w:tc>
        <w:tc>
          <w:tcPr>
            <w:tcW w:w="932" w:type="pct"/>
            <w:tcBorders>
              <w:tl2br w:val="nil"/>
              <w:tr2bl w:val="nil"/>
            </w:tcBorders>
            <w:shd w:val="clear" w:color="auto" w:fill="auto"/>
            <w:vAlign w:val="center"/>
          </w:tcPr>
          <w:p w14:paraId="11AC5F34">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100</w:t>
            </w:r>
          </w:p>
        </w:tc>
        <w:tc>
          <w:tcPr>
            <w:tcW w:w="785" w:type="pct"/>
            <w:tcBorders>
              <w:tl2br w:val="nil"/>
              <w:tr2bl w:val="nil"/>
            </w:tcBorders>
            <w:shd w:val="clear" w:color="auto" w:fill="auto"/>
            <w:vAlign w:val="center"/>
          </w:tcPr>
          <w:p w14:paraId="20F120D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4B5962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750" w:type="pct"/>
            <w:vMerge w:val="continue"/>
            <w:tcBorders>
              <w:tl2br w:val="nil"/>
              <w:tr2bl w:val="nil"/>
            </w:tcBorders>
            <w:shd w:val="clear" w:color="auto" w:fill="auto"/>
            <w:vAlign w:val="center"/>
          </w:tcPr>
          <w:p w14:paraId="3F68700D">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7F633F65">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农田灌溉水有效利用系数</w:t>
            </w:r>
          </w:p>
        </w:tc>
        <w:tc>
          <w:tcPr>
            <w:tcW w:w="932" w:type="pct"/>
            <w:tcBorders>
              <w:tl2br w:val="nil"/>
              <w:tr2bl w:val="nil"/>
            </w:tcBorders>
            <w:shd w:val="clear" w:color="auto" w:fill="auto"/>
            <w:vAlign w:val="center"/>
          </w:tcPr>
          <w:p w14:paraId="7E566A00">
            <w:pP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val="en-US" w:eastAsia="zh-CN"/>
              </w:rPr>
              <w:t>0.635</w:t>
            </w:r>
          </w:p>
        </w:tc>
        <w:tc>
          <w:tcPr>
            <w:tcW w:w="785" w:type="pct"/>
            <w:tcBorders>
              <w:tl2br w:val="nil"/>
              <w:tr2bl w:val="nil"/>
            </w:tcBorders>
            <w:shd w:val="clear" w:color="auto" w:fill="auto"/>
            <w:vAlign w:val="center"/>
          </w:tcPr>
          <w:p w14:paraId="2E15BE7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530EE5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50" w:type="pct"/>
            <w:vMerge w:val="continue"/>
            <w:tcBorders>
              <w:tl2br w:val="nil"/>
              <w:tr2bl w:val="nil"/>
            </w:tcBorders>
            <w:shd w:val="clear" w:color="auto" w:fill="auto"/>
            <w:vAlign w:val="center"/>
          </w:tcPr>
          <w:p w14:paraId="48D6D019">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6095C6C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主要农作物耕种收综合机械化率(%)</w:t>
            </w:r>
          </w:p>
        </w:tc>
        <w:tc>
          <w:tcPr>
            <w:tcW w:w="932" w:type="pct"/>
            <w:tcBorders>
              <w:tl2br w:val="nil"/>
              <w:tr2bl w:val="nil"/>
            </w:tcBorders>
            <w:shd w:val="clear" w:color="auto" w:fill="auto"/>
            <w:vAlign w:val="center"/>
          </w:tcPr>
          <w:p w14:paraId="750CE3DC">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98</w:t>
            </w:r>
          </w:p>
        </w:tc>
        <w:tc>
          <w:tcPr>
            <w:tcW w:w="785" w:type="pct"/>
            <w:tcBorders>
              <w:tl2br w:val="nil"/>
              <w:tr2bl w:val="nil"/>
            </w:tcBorders>
            <w:shd w:val="clear" w:color="auto" w:fill="auto"/>
            <w:vAlign w:val="center"/>
          </w:tcPr>
          <w:p w14:paraId="7C5869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3120DD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jc w:val="center"/>
        </w:trPr>
        <w:tc>
          <w:tcPr>
            <w:tcW w:w="750" w:type="pct"/>
            <w:vMerge w:val="continue"/>
            <w:tcBorders>
              <w:tl2br w:val="nil"/>
              <w:tr2bl w:val="nil"/>
            </w:tcBorders>
            <w:shd w:val="clear" w:color="auto" w:fill="auto"/>
            <w:vAlign w:val="center"/>
          </w:tcPr>
          <w:p w14:paraId="5CBD040C">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3A83AF3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农业科技进步贡献率(%)</w:t>
            </w:r>
          </w:p>
        </w:tc>
        <w:tc>
          <w:tcPr>
            <w:tcW w:w="932" w:type="pct"/>
            <w:tcBorders>
              <w:tl2br w:val="nil"/>
              <w:tr2bl w:val="nil"/>
            </w:tcBorders>
            <w:shd w:val="clear" w:color="auto" w:fill="auto"/>
            <w:vAlign w:val="center"/>
          </w:tcPr>
          <w:p w14:paraId="0C00A9BA">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78</w:t>
            </w:r>
          </w:p>
        </w:tc>
        <w:tc>
          <w:tcPr>
            <w:tcW w:w="785" w:type="pct"/>
            <w:tcBorders>
              <w:tl2br w:val="nil"/>
              <w:tr2bl w:val="nil"/>
            </w:tcBorders>
            <w:shd w:val="clear" w:color="auto" w:fill="auto"/>
            <w:vAlign w:val="center"/>
          </w:tcPr>
          <w:p w14:paraId="50A1879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2E1B56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50" w:type="pct"/>
            <w:vMerge w:val="continue"/>
            <w:tcBorders>
              <w:tl2br w:val="nil"/>
              <w:tr2bl w:val="nil"/>
            </w:tcBorders>
            <w:shd w:val="clear" w:color="auto" w:fill="auto"/>
            <w:vAlign w:val="center"/>
          </w:tcPr>
          <w:p w14:paraId="6E958CFB">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5DFB47EC">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畜禽养殖规模化率(%)</w:t>
            </w:r>
          </w:p>
        </w:tc>
        <w:tc>
          <w:tcPr>
            <w:tcW w:w="932" w:type="pct"/>
            <w:tcBorders>
              <w:tl2br w:val="nil"/>
              <w:tr2bl w:val="nil"/>
            </w:tcBorders>
            <w:shd w:val="clear" w:color="auto" w:fill="auto"/>
            <w:vAlign w:val="center"/>
          </w:tcPr>
          <w:p w14:paraId="16A4B4C6">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88.5</w:t>
            </w:r>
          </w:p>
        </w:tc>
        <w:tc>
          <w:tcPr>
            <w:tcW w:w="785" w:type="pct"/>
            <w:tcBorders>
              <w:tl2br w:val="nil"/>
              <w:tr2bl w:val="nil"/>
            </w:tcBorders>
            <w:shd w:val="clear" w:color="auto" w:fill="auto"/>
            <w:vAlign w:val="center"/>
          </w:tcPr>
          <w:p w14:paraId="622F7E3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509CEF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750" w:type="pct"/>
            <w:vMerge w:val="continue"/>
            <w:tcBorders>
              <w:tl2br w:val="nil"/>
              <w:tr2bl w:val="nil"/>
            </w:tcBorders>
            <w:shd w:val="clear" w:color="auto" w:fill="auto"/>
            <w:vAlign w:val="center"/>
          </w:tcPr>
          <w:p w14:paraId="3F1E18A8">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14E930D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畜禽粪污综合利用率(%)</w:t>
            </w:r>
          </w:p>
        </w:tc>
        <w:tc>
          <w:tcPr>
            <w:tcW w:w="932" w:type="pct"/>
            <w:tcBorders>
              <w:tl2br w:val="nil"/>
              <w:tr2bl w:val="nil"/>
            </w:tcBorders>
            <w:shd w:val="clear" w:color="auto" w:fill="auto"/>
            <w:vAlign w:val="center"/>
          </w:tcPr>
          <w:p w14:paraId="48ABBE35">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＞93</w:t>
            </w:r>
          </w:p>
        </w:tc>
        <w:tc>
          <w:tcPr>
            <w:tcW w:w="785" w:type="pct"/>
            <w:tcBorders>
              <w:tl2br w:val="nil"/>
              <w:tr2bl w:val="nil"/>
            </w:tcBorders>
            <w:shd w:val="clear" w:color="auto" w:fill="auto"/>
            <w:vAlign w:val="center"/>
          </w:tcPr>
          <w:p w14:paraId="188CBBE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42FBF8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50" w:type="pct"/>
            <w:vMerge w:val="restart"/>
            <w:tcBorders>
              <w:tl2br w:val="nil"/>
              <w:tr2bl w:val="nil"/>
            </w:tcBorders>
            <w:shd w:val="clear" w:color="auto" w:fill="auto"/>
            <w:vAlign w:val="center"/>
          </w:tcPr>
          <w:p w14:paraId="630529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连队宜居宜业</w:t>
            </w:r>
          </w:p>
        </w:tc>
        <w:tc>
          <w:tcPr>
            <w:tcW w:w="2532" w:type="pct"/>
            <w:tcBorders>
              <w:tl2br w:val="nil"/>
              <w:tr2bl w:val="nil"/>
            </w:tcBorders>
            <w:shd w:val="clear" w:color="auto" w:fill="auto"/>
            <w:vAlign w:val="center"/>
          </w:tcPr>
          <w:p w14:paraId="3204FE9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连队自来水普及率(%)</w:t>
            </w:r>
          </w:p>
        </w:tc>
        <w:tc>
          <w:tcPr>
            <w:tcW w:w="932" w:type="pct"/>
            <w:tcBorders>
              <w:tl2br w:val="nil"/>
              <w:tr2bl w:val="nil"/>
            </w:tcBorders>
            <w:shd w:val="clear" w:color="auto" w:fill="auto"/>
            <w:vAlign w:val="center"/>
          </w:tcPr>
          <w:p w14:paraId="4553707C">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100</w:t>
            </w:r>
          </w:p>
        </w:tc>
        <w:tc>
          <w:tcPr>
            <w:tcW w:w="785" w:type="pct"/>
            <w:tcBorders>
              <w:tl2br w:val="nil"/>
              <w:tr2bl w:val="nil"/>
            </w:tcBorders>
            <w:shd w:val="clear" w:color="auto" w:fill="auto"/>
            <w:vAlign w:val="center"/>
          </w:tcPr>
          <w:p w14:paraId="325104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3944B4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50" w:type="pct"/>
            <w:vMerge w:val="continue"/>
            <w:tcBorders>
              <w:tl2br w:val="nil"/>
              <w:tr2bl w:val="nil"/>
            </w:tcBorders>
            <w:shd w:val="clear" w:color="auto" w:fill="auto"/>
            <w:vAlign w:val="center"/>
          </w:tcPr>
          <w:p w14:paraId="2F1ACF94">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09DCA2F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连队生活污水治理（管控）率(%)</w:t>
            </w:r>
          </w:p>
        </w:tc>
        <w:tc>
          <w:tcPr>
            <w:tcW w:w="932" w:type="pct"/>
            <w:tcBorders>
              <w:tl2br w:val="nil"/>
              <w:tr2bl w:val="nil"/>
            </w:tcBorders>
            <w:shd w:val="clear" w:color="auto" w:fill="auto"/>
            <w:vAlign w:val="center"/>
          </w:tcPr>
          <w:p w14:paraId="42FCF7DD">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86</w:t>
            </w:r>
          </w:p>
        </w:tc>
        <w:tc>
          <w:tcPr>
            <w:tcW w:w="785" w:type="pct"/>
            <w:tcBorders>
              <w:tl2br w:val="nil"/>
              <w:tr2bl w:val="nil"/>
            </w:tcBorders>
            <w:shd w:val="clear" w:color="auto" w:fill="auto"/>
            <w:vAlign w:val="center"/>
          </w:tcPr>
          <w:p w14:paraId="1CC149F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2A9836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7" w:hRule="atLeast"/>
          <w:jc w:val="center"/>
        </w:trPr>
        <w:tc>
          <w:tcPr>
            <w:tcW w:w="750" w:type="pct"/>
            <w:vMerge w:val="continue"/>
            <w:tcBorders>
              <w:tl2br w:val="nil"/>
              <w:tr2bl w:val="nil"/>
            </w:tcBorders>
            <w:shd w:val="clear" w:color="auto" w:fill="auto"/>
            <w:vAlign w:val="center"/>
          </w:tcPr>
          <w:p w14:paraId="773729B8">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357BEAC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生活垃圾收运处置体系覆盖率(%</w:t>
            </w:r>
            <w:r>
              <w:rPr>
                <w:rFonts w:hint="default" w:ascii="Times New Roman" w:hAnsi="Times New Roman" w:eastAsia="仿宋_GB2312" w:cs="Times New Roman"/>
                <w:b w:val="0"/>
                <w:bCs w:val="0"/>
                <w:color w:val="auto"/>
                <w:kern w:val="0"/>
                <w:sz w:val="24"/>
                <w:szCs w:val="24"/>
                <w:highlight w:val="none"/>
                <w:lang w:val="en-US" w:eastAsia="zh-CN" w:bidi="ar"/>
              </w:rPr>
              <w:t>)</w:t>
            </w:r>
          </w:p>
        </w:tc>
        <w:tc>
          <w:tcPr>
            <w:tcW w:w="932" w:type="pct"/>
            <w:tcBorders>
              <w:tl2br w:val="nil"/>
              <w:tr2bl w:val="nil"/>
            </w:tcBorders>
            <w:shd w:val="clear" w:color="auto" w:fill="auto"/>
            <w:vAlign w:val="center"/>
          </w:tcPr>
          <w:p w14:paraId="5658E6C3">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100</w:t>
            </w:r>
          </w:p>
        </w:tc>
        <w:tc>
          <w:tcPr>
            <w:tcW w:w="785" w:type="pct"/>
            <w:tcBorders>
              <w:tl2br w:val="nil"/>
              <w:tr2bl w:val="nil"/>
            </w:tcBorders>
            <w:shd w:val="clear" w:color="auto" w:fill="auto"/>
            <w:vAlign w:val="center"/>
          </w:tcPr>
          <w:p w14:paraId="4928CF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468A7F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50" w:type="pct"/>
            <w:vMerge w:val="continue"/>
            <w:tcBorders>
              <w:tl2br w:val="nil"/>
              <w:tr2bl w:val="nil"/>
            </w:tcBorders>
            <w:shd w:val="clear" w:color="auto" w:fill="auto"/>
            <w:vAlign w:val="center"/>
          </w:tcPr>
          <w:p w14:paraId="29AB0C0E">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0458389A">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连队卫生厕所普及率(%</w:t>
            </w:r>
            <w:r>
              <w:rPr>
                <w:rFonts w:hint="default" w:ascii="Times New Roman" w:hAnsi="Times New Roman" w:eastAsia="仿宋_GB2312" w:cs="Times New Roman"/>
                <w:b w:val="0"/>
                <w:bCs w:val="0"/>
                <w:color w:val="auto"/>
                <w:kern w:val="0"/>
                <w:sz w:val="24"/>
                <w:szCs w:val="24"/>
                <w:highlight w:val="none"/>
                <w:lang w:val="en-US" w:eastAsia="zh-CN" w:bidi="ar"/>
              </w:rPr>
              <w:t>)</w:t>
            </w:r>
          </w:p>
        </w:tc>
        <w:tc>
          <w:tcPr>
            <w:tcW w:w="932" w:type="pct"/>
            <w:tcBorders>
              <w:tl2br w:val="nil"/>
              <w:tr2bl w:val="nil"/>
            </w:tcBorders>
            <w:shd w:val="clear" w:color="auto" w:fill="auto"/>
            <w:vAlign w:val="center"/>
          </w:tcPr>
          <w:p w14:paraId="6A5E6051">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98</w:t>
            </w:r>
          </w:p>
        </w:tc>
        <w:tc>
          <w:tcPr>
            <w:tcW w:w="785" w:type="pct"/>
            <w:tcBorders>
              <w:tl2br w:val="nil"/>
              <w:tr2bl w:val="nil"/>
            </w:tcBorders>
            <w:shd w:val="clear" w:color="auto" w:fill="auto"/>
            <w:vAlign w:val="center"/>
          </w:tcPr>
          <w:p w14:paraId="6FBCED4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5CAF1F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7" w:hRule="atLeast"/>
          <w:jc w:val="center"/>
        </w:trPr>
        <w:tc>
          <w:tcPr>
            <w:tcW w:w="750" w:type="pct"/>
            <w:vMerge w:val="continue"/>
            <w:tcBorders>
              <w:tl2br w:val="nil"/>
              <w:tr2bl w:val="nil"/>
            </w:tcBorders>
            <w:shd w:val="clear" w:color="auto" w:fill="auto"/>
            <w:vAlign w:val="center"/>
          </w:tcPr>
          <w:p w14:paraId="3B823F56">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55055BF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连队居住区绿化覆盖率(%</w:t>
            </w:r>
            <w:r>
              <w:rPr>
                <w:rFonts w:hint="default" w:ascii="Times New Roman" w:hAnsi="Times New Roman" w:eastAsia="仿宋_GB2312" w:cs="Times New Roman"/>
                <w:b w:val="0"/>
                <w:bCs w:val="0"/>
                <w:color w:val="auto"/>
                <w:kern w:val="0"/>
                <w:sz w:val="24"/>
                <w:szCs w:val="24"/>
                <w:highlight w:val="none"/>
                <w:lang w:val="en-US" w:eastAsia="zh-CN" w:bidi="ar"/>
              </w:rPr>
              <w:t>)</w:t>
            </w:r>
          </w:p>
        </w:tc>
        <w:tc>
          <w:tcPr>
            <w:tcW w:w="932" w:type="pct"/>
            <w:tcBorders>
              <w:tl2br w:val="nil"/>
              <w:tr2bl w:val="nil"/>
            </w:tcBorders>
            <w:shd w:val="clear" w:color="auto" w:fill="auto"/>
            <w:vAlign w:val="center"/>
          </w:tcPr>
          <w:p w14:paraId="113CD5F0">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35</w:t>
            </w:r>
          </w:p>
        </w:tc>
        <w:tc>
          <w:tcPr>
            <w:tcW w:w="785" w:type="pct"/>
            <w:tcBorders>
              <w:tl2br w:val="nil"/>
              <w:tr2bl w:val="nil"/>
            </w:tcBorders>
            <w:shd w:val="clear" w:color="auto" w:fill="auto"/>
            <w:vAlign w:val="center"/>
          </w:tcPr>
          <w:p w14:paraId="0A5F4B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0D1B9D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5" w:hRule="atLeast"/>
          <w:jc w:val="center"/>
        </w:trPr>
        <w:tc>
          <w:tcPr>
            <w:tcW w:w="750" w:type="pct"/>
            <w:vMerge w:val="restart"/>
            <w:tcBorders>
              <w:tl2br w:val="nil"/>
              <w:tr2bl w:val="nil"/>
            </w:tcBorders>
            <w:shd w:val="clear" w:color="auto" w:fill="auto"/>
            <w:vAlign w:val="center"/>
          </w:tcPr>
          <w:p w14:paraId="09E9E3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连队居民生活富裕</w:t>
            </w:r>
          </w:p>
        </w:tc>
        <w:tc>
          <w:tcPr>
            <w:tcW w:w="2532" w:type="pct"/>
            <w:tcBorders>
              <w:tl2br w:val="nil"/>
              <w:tr2bl w:val="nil"/>
            </w:tcBorders>
            <w:shd w:val="clear" w:color="auto" w:fill="auto"/>
            <w:vAlign w:val="center"/>
          </w:tcPr>
          <w:p w14:paraId="0C9F10F0">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连队居民基本医疗保险参保率(%)</w:t>
            </w:r>
          </w:p>
        </w:tc>
        <w:tc>
          <w:tcPr>
            <w:tcW w:w="932" w:type="pct"/>
            <w:tcBorders>
              <w:tl2br w:val="nil"/>
              <w:tr2bl w:val="nil"/>
            </w:tcBorders>
            <w:shd w:val="clear" w:color="auto" w:fill="auto"/>
            <w:vAlign w:val="center"/>
          </w:tcPr>
          <w:p w14:paraId="7902CBA0">
            <w:pPr>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100</w:t>
            </w:r>
          </w:p>
        </w:tc>
        <w:tc>
          <w:tcPr>
            <w:tcW w:w="785" w:type="pct"/>
            <w:tcBorders>
              <w:tl2br w:val="nil"/>
              <w:tr2bl w:val="nil"/>
            </w:tcBorders>
            <w:shd w:val="clear" w:color="auto" w:fill="auto"/>
            <w:vAlign w:val="center"/>
          </w:tcPr>
          <w:p w14:paraId="4CC041E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r w14:paraId="6004F6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750" w:type="pct"/>
            <w:vMerge w:val="continue"/>
            <w:tcBorders>
              <w:tl2br w:val="nil"/>
              <w:tr2bl w:val="nil"/>
            </w:tcBorders>
            <w:shd w:val="clear" w:color="auto" w:fill="auto"/>
            <w:vAlign w:val="center"/>
          </w:tcPr>
          <w:p w14:paraId="612B5D15">
            <w:pPr>
              <w:jc w:val="center"/>
              <w:rPr>
                <w:rFonts w:hint="default" w:ascii="Times New Roman" w:hAnsi="Times New Roman" w:eastAsia="仿宋_GB2312" w:cs="Times New Roman"/>
                <w:i w:val="0"/>
                <w:iCs w:val="0"/>
                <w:color w:val="auto"/>
                <w:sz w:val="24"/>
                <w:szCs w:val="24"/>
                <w:highlight w:val="none"/>
                <w:u w:val="none"/>
              </w:rPr>
            </w:pPr>
          </w:p>
        </w:tc>
        <w:tc>
          <w:tcPr>
            <w:tcW w:w="2532" w:type="pct"/>
            <w:tcBorders>
              <w:tl2br w:val="nil"/>
              <w:tr2bl w:val="nil"/>
            </w:tcBorders>
            <w:shd w:val="clear" w:color="auto" w:fill="auto"/>
            <w:vAlign w:val="center"/>
          </w:tcPr>
          <w:p w14:paraId="481274C9">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连队居民人均可支配收入(元)</w:t>
            </w:r>
          </w:p>
        </w:tc>
        <w:tc>
          <w:tcPr>
            <w:tcW w:w="932" w:type="pct"/>
            <w:tcBorders>
              <w:tl2br w:val="nil"/>
              <w:tr2bl w:val="nil"/>
            </w:tcBorders>
            <w:shd w:val="clear" w:color="auto" w:fill="auto"/>
            <w:vAlign w:val="center"/>
          </w:tcPr>
          <w:p w14:paraId="5EB1626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与GDP增长保持同步</w:t>
            </w:r>
          </w:p>
        </w:tc>
        <w:tc>
          <w:tcPr>
            <w:tcW w:w="785" w:type="pct"/>
            <w:tcBorders>
              <w:tl2br w:val="nil"/>
              <w:tr2bl w:val="nil"/>
            </w:tcBorders>
            <w:shd w:val="clear" w:color="auto" w:fill="auto"/>
            <w:vAlign w:val="center"/>
          </w:tcPr>
          <w:p w14:paraId="05EC401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预期性</w:t>
            </w:r>
          </w:p>
        </w:tc>
      </w:tr>
    </w:tbl>
    <w:p w14:paraId="4A4F0AE9">
      <w:pPr>
        <w:pStyle w:val="2"/>
        <w:keepNext w:val="0"/>
        <w:keepLines w:val="0"/>
        <w:pageBreakBefore w:val="0"/>
        <w:widowControl w:val="0"/>
        <w:kinsoku/>
        <w:wordWrap/>
        <w:overflowPunct/>
        <w:topLinePunct w:val="0"/>
        <w:autoSpaceDE/>
        <w:autoSpaceDN/>
        <w:bidi w:val="0"/>
        <w:adjustRightInd w:val="0"/>
        <w:snapToGrid w:val="0"/>
        <w:spacing w:before="313" w:beforeLines="100" w:after="180" w:line="360" w:lineRule="auto"/>
        <w:jc w:val="center"/>
        <w:textAlignment w:val="auto"/>
        <w:rPr>
          <w:rFonts w:hint="default" w:ascii="Times New Roman" w:hAnsi="Times New Roman" w:eastAsia="黑体" w:cs="Times New Roman"/>
          <w:b/>
          <w:bCs w:val="0"/>
          <w:color w:val="auto"/>
          <w:sz w:val="36"/>
          <w:szCs w:val="36"/>
          <w:highlight w:val="none"/>
          <w:lang w:val="en-US" w:eastAsia="zh-CN"/>
        </w:rPr>
        <w:sectPr>
          <w:footerReference r:id="rId8" w:type="default"/>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12E95D7">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8" w:name="_Toc29398"/>
      <w:r>
        <w:rPr>
          <w:rFonts w:hint="default" w:ascii="Times New Roman" w:hAnsi="Times New Roman" w:eastAsia="黑体" w:cs="Times New Roman"/>
          <w:b w:val="0"/>
          <w:bCs/>
          <w:color w:val="auto"/>
          <w:sz w:val="36"/>
          <w:szCs w:val="36"/>
          <w:highlight w:val="none"/>
          <w:lang w:val="en-US" w:eastAsia="zh-CN"/>
        </w:rPr>
        <w:t>建设粮食高产示范基地</w:t>
      </w:r>
      <w:bookmarkEnd w:id="8"/>
    </w:p>
    <w:p w14:paraId="6B5A1D16">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9" w:name="_Toc22779"/>
      <w:r>
        <w:rPr>
          <w:rFonts w:hint="default" w:ascii="Times New Roman" w:hAnsi="Times New Roman" w:eastAsia="仿宋_GB2312" w:cs="Times New Roman"/>
          <w:lang w:val="en-US" w:eastAsia="zh-CN"/>
        </w:rPr>
        <w:t>第一节 科学布局示范基地</w:t>
      </w:r>
      <w:bookmarkEnd w:id="9"/>
    </w:p>
    <w:p w14:paraId="0692C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结合师市“东棉西粮”种植业布局和各团场资源禀赋，优化粮食高产示范基地空间布局，打造高产优质、特色鲜明、优势突出的示范基地集群。</w:t>
      </w:r>
    </w:p>
    <w:p w14:paraId="727E14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粮食高产示范基地。</w:t>
      </w:r>
      <w:r>
        <w:rPr>
          <w:rFonts w:hint="default" w:ascii="Times New Roman" w:hAnsi="Times New Roman" w:eastAsia="仿宋_GB2312" w:cs="Times New Roman"/>
          <w:bCs/>
          <w:color w:val="auto"/>
          <w:kern w:val="2"/>
          <w:sz w:val="32"/>
          <w:szCs w:val="32"/>
          <w:highlight w:val="none"/>
          <w:lang w:val="en-US" w:eastAsia="zh-CN" w:bidi="en-US"/>
        </w:rPr>
        <w:t>打造以小麦、玉米为主的高产示范基地，粮食种植面积稳定在36万亩，产量27万吨。推进种业振兴，稳步发展玉米制种基地3万亩，培育龙头企业1-2家，增强制种龙头企业的竞争力，提升制种产业的效益。</w:t>
      </w:r>
    </w:p>
    <w:p w14:paraId="01DBB2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1F2329"/>
          <w:kern w:val="0"/>
          <w:sz w:val="32"/>
          <w:szCs w:val="32"/>
          <w:highlight w:val="none"/>
          <w:lang w:val="en-US" w:eastAsia="zh-CN"/>
        </w:rPr>
      </w:pPr>
      <w:r>
        <w:rPr>
          <w:rFonts w:hint="default" w:ascii="Times New Roman" w:hAnsi="Times New Roman" w:eastAsia="仿宋_GB2312" w:cs="Times New Roman"/>
          <w:b/>
          <w:bCs w:val="0"/>
          <w:color w:val="auto"/>
          <w:kern w:val="2"/>
          <w:sz w:val="32"/>
          <w:szCs w:val="32"/>
          <w:highlight w:val="none"/>
          <w:lang w:val="en-US" w:eastAsia="zh-CN" w:bidi="en-US"/>
        </w:rPr>
        <w:t>特色粮食示范基地。</w:t>
      </w:r>
      <w:r>
        <w:rPr>
          <w:rFonts w:hint="default" w:ascii="Times New Roman" w:hAnsi="Times New Roman" w:eastAsia="仿宋_GB2312" w:cs="Times New Roman"/>
          <w:bCs/>
          <w:color w:val="auto"/>
          <w:kern w:val="2"/>
          <w:sz w:val="32"/>
          <w:szCs w:val="32"/>
          <w:highlight w:val="none"/>
          <w:lang w:val="en-US" w:eastAsia="zh-CN" w:bidi="en-US"/>
        </w:rPr>
        <w:t>重点打造高粱、黑小麦和马铃薯、甜糯玉米、红薯等特色粮食示范基地，探索高产栽培模式，丰富粮食品种结构，提升特色粮食附加值，带动职工群众多元增收。</w:t>
      </w:r>
    </w:p>
    <w:p w14:paraId="1180AF9F">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10" w:name="_Toc5103"/>
      <w:r>
        <w:rPr>
          <w:rFonts w:hint="default" w:ascii="Times New Roman" w:hAnsi="Times New Roman" w:eastAsia="仿宋_GB2312" w:cs="Times New Roman"/>
          <w:lang w:val="en-US" w:eastAsia="zh-CN"/>
        </w:rPr>
        <w:t>第二节 强化基础设施建设</w:t>
      </w:r>
      <w:bookmarkEnd w:id="10"/>
    </w:p>
    <w:p w14:paraId="5FCD4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落实“藏粮于地、藏粮于技”战略部署，坚守耕地红线，到2030年，建成高标准农田109万亩，实现具备建设条件的永久基本农田全部建成高标准农田，完善灌溉、排水等基础设施，提升耕地生产能力，落实高标准农田建设要求，确保各项监管措施落实落地。推进智能化技术应用，在示范基地推广智能水肥一体化设备、田间远程控制系统，打造智慧农业示范片区，实现灌溉、施肥、病虫害监测等环节智能化调控，让手机成为“新农具”，推动农业生产从“经验驱动”向“数据驱动”转型升级，智能水肥一体化技术应用面积占比达到100%。推广全程机械化生产，引导配备北斗辅助驾驶等系统设备，降低生产成本，提高粮食产量和品质。</w:t>
      </w:r>
    </w:p>
    <w:p w14:paraId="33737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健全农业防灾减灾体系。建立气象常态化会商与应急联动机制，加强灾害风险监测预警预报，加强人影联防作业，持续提升农业防风险能力。依托兵团农作物病虫疫情监测分中心田间监测建设项目，在重点团场增设5个病虫害疫情监测点（重点监测点4个，普通监测点1个），提升监测精准度和覆盖面。</w:t>
      </w:r>
    </w:p>
    <w:p w14:paraId="24087809">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11" w:name="_Toc29663"/>
      <w:r>
        <w:rPr>
          <w:rFonts w:hint="default" w:ascii="Times New Roman" w:hAnsi="Times New Roman" w:eastAsia="仿宋_GB2312" w:cs="Times New Roman"/>
          <w:lang w:val="en-US" w:eastAsia="zh-CN"/>
        </w:rPr>
        <w:t>第三节 强化科技创新赋能</w:t>
      </w:r>
      <w:bookmarkEnd w:id="11"/>
    </w:p>
    <w:p w14:paraId="61ACE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实施“藏粮于地、藏粮于技”战略，稳定面积、提升单产、扩大产能，推动</w:t>
      </w:r>
      <w:r>
        <w:rPr>
          <w:rFonts w:hint="eastAsia" w:ascii="Times New Roman" w:hAnsi="Times New Roman" w:eastAsia="仿宋_GB2312" w:cs="Times New Roman"/>
          <w:bCs/>
          <w:color w:val="auto"/>
          <w:kern w:val="2"/>
          <w:sz w:val="32"/>
          <w:szCs w:val="32"/>
          <w:highlight w:val="none"/>
          <w:lang w:val="en-US" w:eastAsia="zh-CN" w:bidi="en-US"/>
        </w:rPr>
        <w:t>良田良种良机良法集成增效</w:t>
      </w:r>
      <w:r>
        <w:rPr>
          <w:rFonts w:hint="default" w:ascii="Times New Roman" w:hAnsi="Times New Roman" w:eastAsia="仿宋_GB2312" w:cs="Times New Roman"/>
          <w:bCs/>
          <w:color w:val="auto"/>
          <w:kern w:val="2"/>
          <w:sz w:val="32"/>
          <w:szCs w:val="32"/>
          <w:highlight w:val="none"/>
          <w:lang w:val="en-US" w:eastAsia="zh-CN" w:bidi="en-US"/>
        </w:rPr>
        <w:t>。落实师、团、连三级党政领导指挥田制度，</w:t>
      </w:r>
      <w:r>
        <w:rPr>
          <w:rFonts w:hint="eastAsia" w:ascii="Times New Roman" w:hAnsi="Times New Roman" w:eastAsia="仿宋_GB2312" w:cs="Times New Roman"/>
          <w:bCs/>
          <w:color w:val="auto"/>
          <w:kern w:val="2"/>
          <w:sz w:val="32"/>
          <w:szCs w:val="32"/>
          <w:highlight w:val="none"/>
          <w:lang w:val="en-US" w:eastAsia="zh-CN" w:bidi="en-US"/>
        </w:rPr>
        <w:t>“揭榜挂帅”</w:t>
      </w:r>
      <w:r>
        <w:rPr>
          <w:rFonts w:hint="default" w:ascii="Times New Roman" w:hAnsi="Times New Roman" w:eastAsia="仿宋_GB2312" w:cs="Times New Roman"/>
          <w:bCs/>
          <w:color w:val="auto"/>
          <w:kern w:val="2"/>
          <w:sz w:val="32"/>
          <w:szCs w:val="32"/>
          <w:highlight w:val="none"/>
          <w:lang w:val="en-US" w:eastAsia="zh-CN" w:bidi="en-US"/>
        </w:rPr>
        <w:t>开展主要农作物高产创建，全面积推广小麦“缩行增株主茎成穗”、玉米“奇台农场模式”核心技术，推行“小麦套播玉米”“麦后复播”等多种种植模式，集成多熟制配套技术，把控好播期、农机、田管、水肥、采收等关键环节，提高土地综合利用水平，实现“一田两用、一地双收”，增加种粮职工收益。</w:t>
      </w:r>
    </w:p>
    <w:p w14:paraId="33A32612">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12" w:name="_Toc22235"/>
      <w:r>
        <w:rPr>
          <w:rFonts w:hint="default" w:ascii="Times New Roman" w:hAnsi="Times New Roman" w:eastAsia="仿宋_GB2312" w:cs="Times New Roman"/>
          <w:lang w:val="en-US" w:eastAsia="zh-CN"/>
        </w:rPr>
        <w:t>第四节 健全经营管理体系</w:t>
      </w:r>
      <w:bookmarkEnd w:id="12"/>
    </w:p>
    <w:p w14:paraId="5E2F2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r>
        <w:rPr>
          <w:rFonts w:hint="default" w:ascii="Times New Roman" w:hAnsi="Times New Roman" w:eastAsia="仿宋_GB2312" w:cs="Times New Roman"/>
          <w:bCs/>
          <w:color w:val="auto"/>
          <w:kern w:val="2"/>
          <w:sz w:val="32"/>
          <w:szCs w:val="32"/>
          <w:highlight w:val="none"/>
          <w:lang w:val="en-US" w:eastAsia="zh-CN" w:bidi="en-US"/>
        </w:rPr>
        <w:t>锚定粮食种植面积和产量目标抓实生产各环节，严格落实玉米、小麦种植任务，保障粮食应急供应基础能力，落实粮食安全保障要求。加强粮食产地基础建设，配套建设烘干、仓储设施，减少粮食产后损耗。健全粮食质量监测体系，提升粮食加工水平，延伸粮食产业链。严格落实国家、兵团种粮补贴政策，精准测算补贴标准，规范补贴发放流程，确保种粮补贴及时足额发放到位，切实保障种粮职工收益，调动职工种粮积极性。推进粮食全链条节约减损，加强宣传引导，规范粮食加工、消费环节，杜绝浪费，落实兵团粮食节约行动部署。依托哈萨克斯坦耕地资源以及双河经开区仓库，进口小麦、玉米、油料等作物，打造功能完善的进口粮食储备及农产品落地加工基地。</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3D63E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l2br w:val="nil"/>
              <w:tr2bl w:val="nil"/>
            </w:tcBorders>
            <w:vAlign w:val="center"/>
          </w:tcPr>
          <w:p w14:paraId="474D303E">
            <w:pPr>
              <w:pStyle w:val="11"/>
              <w:keepNext w:val="0"/>
              <w:keepLines w:val="0"/>
              <w:pageBreakBefore w:val="0"/>
              <w:widowControl w:val="0"/>
              <w:kinsoku/>
              <w:wordWrap w:val="0"/>
              <w:overflowPunct/>
              <w:topLinePunct w:val="0"/>
              <w:autoSpaceDE/>
              <w:autoSpaceDN/>
              <w:bidi w:val="0"/>
              <w:adjustRightInd/>
              <w:snapToGrid/>
              <w:spacing w:after="0" w:line="360" w:lineRule="auto"/>
              <w:ind w:left="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专栏1  粮食高产示范基地重大项目</w:t>
            </w:r>
          </w:p>
        </w:tc>
      </w:tr>
      <w:tr w14:paraId="31BDC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14:paraId="10695AE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b/>
                <w:bCs/>
                <w:kern w:val="2"/>
                <w:sz w:val="28"/>
                <w:szCs w:val="28"/>
                <w:vertAlign w:val="baseline"/>
                <w:lang w:val="en-US" w:eastAsia="zh-CN" w:bidi="ar-SA"/>
              </w:rPr>
              <w:t>粮食产能提升项目</w:t>
            </w:r>
            <w:r>
              <w:rPr>
                <w:rFonts w:hint="default" w:ascii="Times New Roman" w:hAnsi="Times New Roman" w:eastAsia="仿宋_GB2312" w:cs="Times New Roman"/>
                <w:kern w:val="2"/>
                <w:sz w:val="28"/>
                <w:szCs w:val="28"/>
                <w:vertAlign w:val="baseline"/>
                <w:lang w:val="en-US" w:eastAsia="zh-CN" w:bidi="ar-SA"/>
              </w:rPr>
              <w:t>。</w:t>
            </w:r>
          </w:p>
          <w:p w14:paraId="56153D1C">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b/>
                <w:bCs/>
                <w:sz w:val="28"/>
                <w:szCs w:val="28"/>
                <w:vertAlign w:val="baseline"/>
                <w:lang w:val="en-US" w:eastAsia="zh-CN"/>
              </w:rPr>
              <w:t>高标准农田建设行动</w:t>
            </w:r>
            <w:r>
              <w:rPr>
                <w:rFonts w:hint="default" w:ascii="Times New Roman" w:hAnsi="Times New Roman" w:eastAsia="仿宋_GB2312" w:cs="Times New Roman"/>
                <w:sz w:val="28"/>
                <w:szCs w:val="28"/>
                <w:vertAlign w:val="baseline"/>
                <w:lang w:val="en-US" w:eastAsia="zh-CN"/>
              </w:rPr>
              <w:t>。</w:t>
            </w:r>
          </w:p>
          <w:p w14:paraId="5DF27A6A">
            <w:pPr>
              <w:pStyle w:val="11"/>
              <w:keepNext w:val="0"/>
              <w:keepLines w:val="0"/>
              <w:pageBreakBefore w:val="0"/>
              <w:widowControl w:val="0"/>
              <w:kinsoku/>
              <w:wordWrap w:val="0"/>
              <w:overflowPunct/>
              <w:topLinePunct w:val="0"/>
              <w:autoSpaceDE/>
              <w:autoSpaceDN/>
              <w:bidi w:val="0"/>
              <w:adjustRightInd/>
              <w:snapToGrid/>
              <w:spacing w:after="0" w:line="500" w:lineRule="exact"/>
              <w:ind w:left="0" w:firstLine="562" w:firstLineChars="200"/>
              <w:jc w:val="both"/>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b/>
                <w:bCs/>
                <w:sz w:val="28"/>
                <w:szCs w:val="28"/>
                <w:vertAlign w:val="baseline"/>
                <w:lang w:val="en-US" w:eastAsia="zh-CN"/>
              </w:rPr>
              <w:t>现代种业提升项目</w:t>
            </w:r>
            <w:r>
              <w:rPr>
                <w:rFonts w:hint="default" w:ascii="Times New Roman" w:hAnsi="Times New Roman" w:eastAsia="仿宋_GB2312" w:cs="Times New Roman"/>
                <w:kern w:val="2"/>
                <w:sz w:val="28"/>
                <w:szCs w:val="28"/>
                <w:vertAlign w:val="baseline"/>
                <w:lang w:val="en-US" w:eastAsia="zh-CN" w:bidi="ar-SA"/>
              </w:rPr>
              <w:t>。</w:t>
            </w:r>
          </w:p>
          <w:p w14:paraId="18CABF41">
            <w:pPr>
              <w:pStyle w:val="16"/>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vertAlign w:val="baseline"/>
                <w:lang w:val="en-US" w:eastAsia="zh-CN"/>
              </w:rPr>
              <w:t>农业防灾减灾能力提升工程</w:t>
            </w:r>
            <w:r>
              <w:rPr>
                <w:rFonts w:hint="default" w:ascii="Times New Roman" w:hAnsi="Times New Roman" w:eastAsia="仿宋_GB2312" w:cs="Times New Roman"/>
                <w:kern w:val="2"/>
                <w:sz w:val="28"/>
                <w:szCs w:val="28"/>
                <w:vertAlign w:val="baseline"/>
                <w:lang w:val="en-US" w:eastAsia="zh-CN" w:bidi="ar-SA"/>
              </w:rPr>
              <w:t>。</w:t>
            </w:r>
          </w:p>
        </w:tc>
      </w:tr>
    </w:tbl>
    <w:p w14:paraId="6D799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1F5BCF78">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13" w:name="_Toc17901"/>
      <w:r>
        <w:rPr>
          <w:rFonts w:hint="default" w:ascii="Times New Roman" w:hAnsi="Times New Roman" w:eastAsia="黑体" w:cs="Times New Roman"/>
          <w:b w:val="0"/>
          <w:bCs/>
          <w:color w:val="auto"/>
          <w:sz w:val="36"/>
          <w:szCs w:val="36"/>
          <w:highlight w:val="none"/>
          <w:lang w:val="en-US" w:eastAsia="zh-CN"/>
        </w:rPr>
        <w:t>建设世界一流棉花品质标杆示范基地</w:t>
      </w:r>
      <w:bookmarkEnd w:id="13"/>
    </w:p>
    <w:p w14:paraId="3350B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立足师市棉花产业发展基础，对标澳棉品质标准，扎实开展棉花质量提升行动，落实“五管一机制”，加强种子、打顶、脱叶、采收、加工环节管理，健全“棉花加工企业+合作社+职工”利益联结机制，全面提升棉花质量效益和核心竞争力，打造全国领先、世界一流的棉花品质标杆示范基地。</w:t>
      </w:r>
    </w:p>
    <w:p w14:paraId="2D86473E">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14" w:name="_Toc3920"/>
      <w:r>
        <w:rPr>
          <w:rFonts w:hint="default" w:ascii="Times New Roman" w:hAnsi="Times New Roman" w:eastAsia="仿宋_GB2312" w:cs="Times New Roman"/>
          <w:lang w:val="en-US" w:eastAsia="zh-CN"/>
        </w:rPr>
        <w:t>第一节 建设标准化示范基地</w:t>
      </w:r>
      <w:bookmarkEnd w:id="14"/>
      <w:r>
        <w:rPr>
          <w:rFonts w:hint="default" w:ascii="Times New Roman" w:hAnsi="Times New Roman" w:eastAsia="仿宋_GB2312" w:cs="Times New Roman"/>
          <w:lang w:val="en-US" w:eastAsia="zh-CN"/>
        </w:rPr>
        <w:t xml:space="preserve"> </w:t>
      </w:r>
    </w:p>
    <w:p w14:paraId="07556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重点布局在棉花集中连片</w:t>
      </w:r>
      <w:r>
        <w:rPr>
          <w:rFonts w:hint="eastAsia" w:ascii="Times New Roman" w:hAnsi="Times New Roman" w:eastAsia="仿宋_GB2312" w:cs="Times New Roman"/>
          <w:bCs/>
          <w:color w:val="auto"/>
          <w:kern w:val="2"/>
          <w:sz w:val="32"/>
          <w:szCs w:val="32"/>
          <w:highlight w:val="none"/>
          <w:lang w:val="en-US" w:eastAsia="zh-CN" w:bidi="en-US"/>
        </w:rPr>
        <w:t>区</w:t>
      </w:r>
      <w:r>
        <w:rPr>
          <w:rFonts w:hint="default" w:ascii="Times New Roman" w:hAnsi="Times New Roman" w:eastAsia="仿宋_GB2312" w:cs="Times New Roman"/>
          <w:bCs/>
          <w:color w:val="auto"/>
          <w:kern w:val="2"/>
          <w:sz w:val="32"/>
          <w:szCs w:val="32"/>
          <w:highlight w:val="none"/>
          <w:lang w:val="en-US" w:eastAsia="zh-CN" w:bidi="en-US"/>
        </w:rPr>
        <w:t>，落实技术负责人，实现棉花规模化、标准化种植，带动全师棉花种植水平整体提升。示范区建设与高标准农田提质改造紧密结合，完善灌排体系、平整土地、改良土壤，提升耕地质量等级，筑牢优质棉花生产的良田基础。发挥示范区示范带动作用，推广良种良法配套、化肥农药减量增效、绿色生态防控、残膜综合治理、新型经营主体标准化生产等技术措施。师市棉花面积稳定在70万亩左右，皮棉总产稳定在12万吨以上，“双30”A+B及以上比例达到90%以上。</w:t>
      </w:r>
    </w:p>
    <w:p w14:paraId="1C799CC3">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15" w:name="_Toc4944"/>
      <w:r>
        <w:rPr>
          <w:rFonts w:hint="default" w:ascii="Times New Roman" w:hAnsi="Times New Roman" w:eastAsia="仿宋_GB2312" w:cs="Times New Roman"/>
          <w:lang w:val="en-US" w:eastAsia="zh-CN"/>
        </w:rPr>
        <w:t>第二节 落实棉花种植关键技术措施</w:t>
      </w:r>
      <w:bookmarkEnd w:id="15"/>
    </w:p>
    <w:p w14:paraId="7DACB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r>
        <w:rPr>
          <w:rFonts w:hint="default" w:ascii="Times New Roman" w:hAnsi="Times New Roman" w:eastAsia="仿宋_GB2312" w:cs="Times New Roman"/>
          <w:bCs/>
          <w:color w:val="auto"/>
          <w:kern w:val="2"/>
          <w:sz w:val="32"/>
          <w:szCs w:val="32"/>
          <w:highlight w:val="none"/>
          <w:lang w:val="en-US" w:eastAsia="zh-CN" w:bidi="en-US"/>
        </w:rPr>
        <w:t>筛选适配师市气候、土壤条件的优质高产品种，引导职工种植师市棉花推荐品种，配套制定标准化栽培技术规程，提高师市棉花品种统一度。实施全流程标准化技术管理，按照“齐、平、松、碎、净、墒”六字标准抓好播前整地工作，棉花种植全部使用加厚高强度地膜，减少残膜污染；推广高频次小流量滴灌技术，提高水资源利用效率。严把播种质量关，采用精量播种技术，做到播行笔直、接茬精确、膜面平展、压膜严实。坚持晚进头水，优化水肥配比，围绕“促苗早发”核心目标，因苗施策，做好防风、低温冻害等灾害防范，坚持轻控勤控，少量多次做好化控工作，促进棉花稳健生长。</w:t>
      </w:r>
    </w:p>
    <w:p w14:paraId="650DFBA8">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16" w:name="_Toc15114"/>
      <w:r>
        <w:rPr>
          <w:rFonts w:hint="default" w:ascii="Times New Roman" w:hAnsi="Times New Roman" w:eastAsia="仿宋_GB2312" w:cs="Times New Roman"/>
          <w:lang w:val="en-US" w:eastAsia="zh-CN"/>
        </w:rPr>
        <w:t>第三节 提高棉花加工质量</w:t>
      </w:r>
      <w:bookmarkEnd w:id="16"/>
    </w:p>
    <w:p w14:paraId="55FAB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实行棉花收购价格日公示制度，籽棉收购应按当日公示的籽棉价格即时结算，严禁掺杂使假、压级压价等行为。棉花加工企业重点落实“一试五定”、异纤管理、分品种分等级堆放、分轧等机制，做好籽棉入厂质量检验、规范收购，按国家标准和技术规范排除异性纤维和其他有害物质，推行“一厂一品”加工模式，确保轧花质量达标。快推进棉花质量可追溯体系建设，实现棉花从生产、收购、加工到销售的全程可追溯，</w:t>
      </w:r>
      <w:r>
        <w:rPr>
          <w:rFonts w:hint="eastAsia" w:ascii="Times New Roman" w:hAnsi="Times New Roman" w:eastAsia="仿宋_GB2312" w:cs="Times New Roman"/>
          <w:bCs/>
          <w:color w:val="auto"/>
          <w:kern w:val="2"/>
          <w:sz w:val="32"/>
          <w:szCs w:val="32"/>
          <w:highlight w:val="none"/>
          <w:lang w:val="en-US" w:eastAsia="zh-CN" w:bidi="en-US"/>
        </w:rPr>
        <w:t>加快</w:t>
      </w:r>
      <w:r>
        <w:rPr>
          <w:rFonts w:hint="default" w:ascii="Times New Roman" w:hAnsi="Times New Roman" w:eastAsia="仿宋_GB2312" w:cs="Times New Roman"/>
          <w:bCs/>
          <w:color w:val="auto"/>
          <w:kern w:val="2"/>
          <w:sz w:val="32"/>
          <w:szCs w:val="32"/>
          <w:highlight w:val="none"/>
          <w:lang w:val="en-US" w:eastAsia="zh-CN" w:bidi="en-US"/>
        </w:rPr>
        <w:t>引导棉农自觉重视棉花质量，推动棉花品质持续提升。培育壮大棉花加工龙头企业，推进棉花精深加工，发展棉纺、棉蛋白等深加工产品，延长棉花产业链，提升产品附加值，落实兵团“农头工尾”发展部署。完善棉花加工设施，升级加工设备，提高棉花加工效率和质量，推动棉花加工向精细化、高端化转型。</w:t>
      </w:r>
    </w:p>
    <w:p w14:paraId="64BDF49B">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17" w:name="_Toc27678"/>
      <w:r>
        <w:rPr>
          <w:rFonts w:hint="default" w:ascii="Times New Roman" w:hAnsi="Times New Roman" w:eastAsia="仿宋_GB2312" w:cs="Times New Roman"/>
          <w:lang w:val="en-US" w:eastAsia="zh-CN"/>
        </w:rPr>
        <w:t>第四节 打造棉花质量提升利益共同体</w:t>
      </w:r>
      <w:bookmarkEnd w:id="17"/>
    </w:p>
    <w:p w14:paraId="1B574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r>
        <w:rPr>
          <w:rFonts w:hint="default" w:ascii="Times New Roman" w:hAnsi="Times New Roman" w:eastAsia="仿宋_GB2312" w:cs="Times New Roman"/>
          <w:bCs/>
          <w:color w:val="auto"/>
          <w:kern w:val="2"/>
          <w:sz w:val="32"/>
          <w:szCs w:val="32"/>
          <w:highlight w:val="none"/>
          <w:lang w:val="en-US" w:eastAsia="zh-CN" w:bidi="en-US"/>
        </w:rPr>
        <w:t>积极探索新型农业经营主体通过市场化方式参与棉花加工厂经营或委托代加工直接销售皮棉等模式，构建贯通棉花“产、加、销”和一二三产业融合发展、利益共享、风险共担的利益联结机制。进一步完善“合作社+企业+职工”经营模式，引导种子公司、农资企业、棉花加工企业、合作社、职工等各方协同发力、构建利益共同体。鼓励合作社与棉纺企业签订“优质优价”长期合作协议，推进棉农由卖籽棉向卖皮棉转变，激发职工种植、交售优质棉的积极性，形成“优质优价优补”的良好发展局面，合力推动师市棉花质量整体提升。</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59ED7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l2br w:val="nil"/>
              <w:tr2bl w:val="nil"/>
            </w:tcBorders>
            <w:vAlign w:val="center"/>
          </w:tcPr>
          <w:p w14:paraId="70BAEE40">
            <w:pPr>
              <w:pStyle w:val="11"/>
              <w:keepNext w:val="0"/>
              <w:keepLines w:val="0"/>
              <w:pageBreakBefore w:val="0"/>
              <w:widowControl w:val="0"/>
              <w:kinsoku/>
              <w:wordWrap w:val="0"/>
              <w:overflowPunct/>
              <w:topLinePunct w:val="0"/>
              <w:autoSpaceDE/>
              <w:autoSpaceDN/>
              <w:bidi w:val="0"/>
              <w:adjustRightInd/>
              <w:snapToGrid/>
              <w:spacing w:after="0" w:line="360" w:lineRule="auto"/>
              <w:ind w:left="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专栏2  棉花品质标杆示范基地重大项目</w:t>
            </w:r>
          </w:p>
        </w:tc>
      </w:tr>
      <w:tr w14:paraId="027CF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14:paraId="744CB4B7">
            <w:pPr>
              <w:pStyle w:val="16"/>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农业节水增效新高地示范区建设工程</w:t>
            </w:r>
            <w:r>
              <w:rPr>
                <w:rFonts w:hint="default" w:ascii="Times New Roman" w:hAnsi="Times New Roman" w:eastAsia="仿宋_GB2312" w:cs="Times New Roman"/>
                <w:b w:val="0"/>
                <w:bCs w:val="0"/>
                <w:sz w:val="28"/>
                <w:szCs w:val="28"/>
                <w:vertAlign w:val="baseline"/>
                <w:lang w:val="en-US" w:eastAsia="zh-CN"/>
              </w:rPr>
              <w:t>。</w:t>
            </w:r>
          </w:p>
          <w:p w14:paraId="3DB385A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vertAlign w:val="baseline"/>
                <w:lang w:val="en-US" w:eastAsia="zh-CN"/>
              </w:rPr>
              <w:t>棉花品质标杆示范项目</w:t>
            </w:r>
            <w:r>
              <w:rPr>
                <w:rFonts w:hint="default" w:ascii="Times New Roman" w:hAnsi="Times New Roman" w:eastAsia="仿宋_GB2312" w:cs="Times New Roman"/>
                <w:b w:val="0"/>
                <w:bCs w:val="0"/>
                <w:kern w:val="2"/>
                <w:sz w:val="28"/>
                <w:szCs w:val="28"/>
                <w:vertAlign w:val="baseline"/>
                <w:lang w:val="en-US" w:eastAsia="zh-CN" w:bidi="ar-SA"/>
              </w:rPr>
              <w:t>。</w:t>
            </w:r>
          </w:p>
        </w:tc>
      </w:tr>
    </w:tbl>
    <w:p w14:paraId="61C89199">
      <w:pPr>
        <w:pStyle w:val="11"/>
        <w:rPr>
          <w:rFonts w:hint="default" w:ascii="Times New Roman" w:hAnsi="Times New Roman" w:cs="Times New Roman"/>
          <w:lang w:val="en-US" w:eastAsia="zh-CN"/>
        </w:rPr>
      </w:pPr>
    </w:p>
    <w:p w14:paraId="6870171C">
      <w:pPr>
        <w:pStyle w:val="11"/>
        <w:rPr>
          <w:rFonts w:hint="default" w:ascii="Times New Roman" w:hAnsi="Times New Roman" w:cs="Times New Roman"/>
          <w:lang w:val="en-US" w:eastAsia="zh-CN"/>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5533A5F4">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18" w:name="_Toc21965"/>
      <w:r>
        <w:rPr>
          <w:rFonts w:hint="default" w:ascii="Times New Roman" w:hAnsi="Times New Roman" w:eastAsia="黑体" w:cs="Times New Roman"/>
          <w:b w:val="0"/>
          <w:bCs/>
          <w:color w:val="auto"/>
          <w:sz w:val="36"/>
          <w:szCs w:val="36"/>
          <w:highlight w:val="none"/>
          <w:lang w:val="en-US" w:eastAsia="zh-CN"/>
        </w:rPr>
        <w:t>建设优质林果供给基地</w:t>
      </w:r>
      <w:bookmarkEnd w:id="18"/>
    </w:p>
    <w:p w14:paraId="00AC96CF">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19" w:name="_Toc238"/>
      <w:r>
        <w:rPr>
          <w:rFonts w:hint="default" w:ascii="Times New Roman" w:hAnsi="Times New Roman" w:eastAsia="仿宋_GB2312" w:cs="Times New Roman"/>
          <w:lang w:val="en-US" w:eastAsia="zh-CN"/>
        </w:rPr>
        <w:t>第一节 科学布局林果供给基地</w:t>
      </w:r>
      <w:bookmarkEnd w:id="19"/>
    </w:p>
    <w:p w14:paraId="41AA0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立足师市光热充足、昼夜温差大、土壤洁净肥沃的独特气候与土壤资源优势，精准优化林果产业空间布局，依托中国特色农产品优势区建设平台，聚焦六大鲜食葡萄主产团场，统筹规划建设7.5万亩标准化葡萄种植基地。同步配套建设优质种苗繁育基地、标准化规范化种植示范园、现代化采后分选处理中心、冷链物流等全链条设施，打造规模化布局、集约化经营、标准化生产的鲜食葡萄核心产业带，全面提升葡萄产业质量效益与核心竞争力。</w:t>
      </w:r>
    </w:p>
    <w:p w14:paraId="22D9A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持续优化特色林果产业结构，推动团场特色林果差异化、多元化发展。重点发展枸杞</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榛子、文冠果、水蜜桃</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西梅</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西甜瓜、榛子、蟠桃</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沙棘、榛子等。通过错位发展、特色培育，构建“葡萄主导、多果并举、各具特色、优势互补”的现代特色林果产业发展格局，推动师市林果产业提质增效、转型升级。</w:t>
      </w:r>
    </w:p>
    <w:p w14:paraId="34F3CFDD">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20" w:name="_Toc27181"/>
      <w:bookmarkStart w:id="21" w:name="heading_17"/>
      <w:r>
        <w:rPr>
          <w:rFonts w:hint="default" w:ascii="Times New Roman" w:hAnsi="Times New Roman" w:eastAsia="仿宋_GB2312" w:cs="Times New Roman"/>
          <w:lang w:val="en-US" w:eastAsia="zh-CN"/>
        </w:rPr>
        <w:t>第二节 强化林果标准化管护</w:t>
      </w:r>
      <w:bookmarkEnd w:id="20"/>
      <w:bookmarkEnd w:id="21"/>
    </w:p>
    <w:p w14:paraId="6AE7A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bookmarkStart w:id="22" w:name="heading_18"/>
      <w:r>
        <w:rPr>
          <w:rFonts w:hint="default" w:ascii="Times New Roman" w:hAnsi="Times New Roman" w:eastAsia="仿宋_GB2312" w:cs="Times New Roman"/>
          <w:bCs/>
          <w:color w:val="auto"/>
          <w:kern w:val="2"/>
          <w:sz w:val="32"/>
          <w:szCs w:val="32"/>
          <w:highlight w:val="none"/>
          <w:lang w:val="en-US" w:eastAsia="zh-CN" w:bidi="en-US"/>
        </w:rPr>
        <w:t>持续强化林果标准化管护工作，不断规范种植管理流程、提升技术应用水平、完善长效管护机制，为全师林果产业高质量发展筑牢根基。推进老旧果园更新及高标准果园建设，更新改造2万亩以上，提升果园标准化生产硬件水平，为精细化管护提供支撑。打造葡萄精品示范园，建成葡萄精品示范果园1.5万亩以上，重点在宜机化栽培、花果管理、合理修剪、水肥一体化、病虫害绿色防控等生产环节进行集成和优化，总结高效生产技术模式，不断提升葡萄的生产效率和产品质量，确保年商品果产量达13万吨，商品果率90%以上，促进葡萄产业可持续发展。将林果新品种引进筛选、农副产品在利用纳入农业科技攻关方向，配套水肥一体化、绿色防控、树形优化、花果管理等技术，提升林果生长质量。加强林果病虫害统防统治，推广低毒低残留农药替代，有效控制面源污染，防范霜冻、大风等气象灾害对林果种植的影响，确保林果产品质量安全达标率100%。</w:t>
      </w:r>
    </w:p>
    <w:p w14:paraId="2DB53CFF">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23" w:name="_Toc17655"/>
      <w:r>
        <w:rPr>
          <w:rFonts w:hint="default" w:ascii="Times New Roman" w:hAnsi="Times New Roman" w:eastAsia="仿宋_GB2312" w:cs="Times New Roman"/>
          <w:lang w:val="en-US" w:eastAsia="zh-CN"/>
        </w:rPr>
        <w:t>第三节 推进精深加工与品牌建设</w:t>
      </w:r>
      <w:bookmarkEnd w:id="22"/>
      <w:bookmarkEnd w:id="23"/>
    </w:p>
    <w:p w14:paraId="2C454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深化与师市重点林果加工企业的联动协作，聚焦林果精深加工主业，推动产业向价值链高端延伸。重点开发果汁、果酱、果干等果蔬深加工产品，提质升级葡萄酒、果酒等特色饮品，丰富林果产品供给品类，有效提升产品附加值，切实落实兵团林果深加工发展相关要求，推动师市林果产业从“初加工”向“精深加工”转型跨越。</w:t>
      </w:r>
    </w:p>
    <w:p w14:paraId="1388A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健全林果初加工配套体系，聚焦产后损耗管控关键环节，完善分拣、分级、包装、预冷等基础设施建设，规范初加工操作流程，提升初加工标准化水平，最大限度减少林果产后腐烂、损耗，保障林果产品品质，夯实产业发展基础。</w:t>
      </w:r>
    </w:p>
    <w:p w14:paraId="6CFB4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r>
        <w:rPr>
          <w:rFonts w:hint="default" w:ascii="Times New Roman" w:hAnsi="Times New Roman" w:eastAsia="仿宋_GB2312" w:cs="Times New Roman"/>
          <w:bCs/>
          <w:color w:val="auto"/>
          <w:kern w:val="2"/>
          <w:sz w:val="32"/>
          <w:szCs w:val="32"/>
          <w:highlight w:val="none"/>
          <w:lang w:val="en-US" w:eastAsia="zh-CN" w:bidi="en-US"/>
        </w:rPr>
        <w:t>强化林果产品品牌建设，以品牌赋能产业发展，重点培育打造“灵域双峪”“双河蜜”“北疆红提”等特色林果品牌，加快推进地理标志产品认证，完善品牌培育、推广、保护全链条机制，持续提升品牌知名度和市场影响力。立足师市区位优势，拓宽市场渠道，推动优质林果及果蔬产品逐步走向全国市场、辐射中亚地区，精准契合兵团农产品品牌建设部署，助力师市林果产业实现高质量发展。</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75639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000" w:type="pct"/>
            <w:tcBorders>
              <w:tl2br w:val="nil"/>
              <w:tr2bl w:val="nil"/>
            </w:tcBorders>
            <w:vAlign w:val="center"/>
          </w:tcPr>
          <w:p w14:paraId="02D7B96F">
            <w:pPr>
              <w:pStyle w:val="11"/>
              <w:keepNext w:val="0"/>
              <w:keepLines w:val="0"/>
              <w:pageBreakBefore w:val="0"/>
              <w:widowControl w:val="0"/>
              <w:kinsoku/>
              <w:wordWrap w:val="0"/>
              <w:overflowPunct/>
              <w:topLinePunct w:val="0"/>
              <w:autoSpaceDE/>
              <w:autoSpaceDN/>
              <w:bidi w:val="0"/>
              <w:adjustRightInd/>
              <w:snapToGrid/>
              <w:spacing w:after="0"/>
              <w:ind w:left="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专栏3  优质林果供给重大项目</w:t>
            </w:r>
          </w:p>
        </w:tc>
      </w:tr>
      <w:tr w14:paraId="53E9F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000" w:type="pct"/>
            <w:tcBorders>
              <w:tl2br w:val="nil"/>
              <w:tr2bl w:val="nil"/>
            </w:tcBorders>
          </w:tcPr>
          <w:p w14:paraId="5F819A4D">
            <w:pPr>
              <w:pStyle w:val="11"/>
              <w:keepNext w:val="0"/>
              <w:keepLines w:val="0"/>
              <w:pageBreakBefore w:val="0"/>
              <w:widowControl w:val="0"/>
              <w:kinsoku/>
              <w:wordWrap w:val="0"/>
              <w:overflowPunct/>
              <w:topLinePunct w:val="0"/>
              <w:autoSpaceDE/>
              <w:autoSpaceDN/>
              <w:bidi w:val="0"/>
              <w:adjustRightInd/>
              <w:snapToGrid/>
              <w:spacing w:after="0" w:line="500" w:lineRule="exact"/>
              <w:ind w:left="0" w:firstLine="562" w:firstLineChars="200"/>
              <w:jc w:val="both"/>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b/>
                <w:bCs/>
                <w:sz w:val="28"/>
                <w:szCs w:val="28"/>
                <w:vertAlign w:val="baseline"/>
                <w:lang w:val="en-US" w:eastAsia="zh-CN"/>
              </w:rPr>
              <w:t>高效果园建设项目</w:t>
            </w:r>
            <w:r>
              <w:rPr>
                <w:rFonts w:hint="default" w:ascii="Times New Roman" w:hAnsi="Times New Roman" w:eastAsia="仿宋_GB2312" w:cs="Times New Roman"/>
                <w:kern w:val="2"/>
                <w:sz w:val="28"/>
                <w:szCs w:val="28"/>
                <w:vertAlign w:val="baseline"/>
                <w:lang w:val="en-US" w:eastAsia="zh-CN" w:bidi="ar-SA"/>
              </w:rPr>
              <w:t>。</w:t>
            </w:r>
          </w:p>
          <w:p w14:paraId="6122080D">
            <w:pPr>
              <w:pStyle w:val="16"/>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lang w:val="en-US" w:eastAsia="zh-CN"/>
              </w:rPr>
            </w:pPr>
            <w:r>
              <w:rPr>
                <w:rFonts w:hint="default" w:ascii="Times New Roman" w:hAnsi="Times New Roman" w:eastAsia="仿宋_GB2312" w:cs="Times New Roman"/>
                <w:b/>
                <w:bCs/>
                <w:color w:val="auto"/>
                <w:kern w:val="2"/>
                <w:sz w:val="28"/>
                <w:szCs w:val="28"/>
                <w:vertAlign w:val="baseline"/>
                <w:lang w:val="en-US" w:eastAsia="zh-CN" w:bidi="ar-SA"/>
              </w:rPr>
              <w:t>特色林果业项目</w:t>
            </w:r>
            <w:r>
              <w:rPr>
                <w:rFonts w:hint="eastAsia" w:ascii="Times New Roman" w:hAnsi="Times New Roman" w:eastAsia="仿宋_GB2312" w:cs="Times New Roman"/>
                <w:b/>
                <w:bCs/>
                <w:color w:val="auto"/>
                <w:kern w:val="2"/>
                <w:sz w:val="28"/>
                <w:szCs w:val="28"/>
                <w:vertAlign w:val="baseline"/>
                <w:lang w:val="en-US" w:eastAsia="zh-CN" w:bidi="ar-SA"/>
              </w:rPr>
              <w:t>。</w:t>
            </w:r>
          </w:p>
        </w:tc>
      </w:tr>
    </w:tbl>
    <w:p w14:paraId="391B86BD">
      <w:pPr>
        <w:rPr>
          <w:rFonts w:hint="default" w:ascii="Times New Roman" w:hAnsi="Times New Roman" w:eastAsia="黑体" w:cs="Times New Roman"/>
          <w:b/>
          <w:bCs w:val="0"/>
          <w:color w:val="auto"/>
          <w:sz w:val="32"/>
          <w:szCs w:val="32"/>
          <w:highlight w:val="none"/>
          <w:lang w:val="en-US" w:eastAsia="zh-CN"/>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5E460826">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24" w:name="_Toc11700"/>
      <w:r>
        <w:rPr>
          <w:rFonts w:hint="default" w:ascii="Times New Roman" w:hAnsi="Times New Roman" w:eastAsia="黑体" w:cs="Times New Roman"/>
          <w:b w:val="0"/>
          <w:bCs/>
          <w:color w:val="auto"/>
          <w:sz w:val="36"/>
          <w:szCs w:val="36"/>
          <w:highlight w:val="none"/>
          <w:lang w:val="en-US" w:eastAsia="zh-CN"/>
        </w:rPr>
        <w:t>建设优质畜牧水产供给基地</w:t>
      </w:r>
      <w:bookmarkEnd w:id="24"/>
    </w:p>
    <w:p w14:paraId="3CEDB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bookmarkStart w:id="25" w:name="heading_20"/>
      <w:r>
        <w:rPr>
          <w:rFonts w:hint="default" w:ascii="Times New Roman" w:hAnsi="Times New Roman" w:eastAsia="仿宋_GB2312" w:cs="Times New Roman"/>
          <w:bCs/>
          <w:color w:val="auto"/>
          <w:kern w:val="2"/>
          <w:sz w:val="32"/>
          <w:szCs w:val="32"/>
          <w:highlight w:val="none"/>
          <w:lang w:val="en-US" w:eastAsia="zh-CN" w:bidi="en-US"/>
        </w:rPr>
        <w:t>紧扣“优质、高效、绿色、安全”发展导向，以保障畜产品和水产品供给安全为核心，以产业转型升级为抓手，强化政策扶持、科技赋能、品牌引领，完善“种养加销”全产业链布局，推动畜牧水产业从规模扩张向质量效益转型，建成布局合理、品种优良、养殖规范、加工精细、品牌知名的优质畜牧水产供给基地。</w:t>
      </w:r>
    </w:p>
    <w:bookmarkEnd w:id="25"/>
    <w:p w14:paraId="3331FBEC">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26" w:name="_Toc4640"/>
      <w:r>
        <w:rPr>
          <w:rFonts w:hint="default" w:ascii="Times New Roman" w:hAnsi="Times New Roman" w:eastAsia="仿宋_GB2312" w:cs="Times New Roman"/>
          <w:lang w:val="en-US" w:eastAsia="zh-CN"/>
        </w:rPr>
        <w:t>第一节 打造标准化养殖集群</w:t>
      </w:r>
      <w:bookmarkEnd w:id="26"/>
    </w:p>
    <w:p w14:paraId="4E04B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bookmarkStart w:id="27" w:name="heading_21"/>
      <w:r>
        <w:rPr>
          <w:rFonts w:hint="default" w:ascii="Times New Roman" w:hAnsi="Times New Roman" w:eastAsia="仿宋_GB2312" w:cs="Times New Roman"/>
          <w:bCs/>
          <w:color w:val="auto"/>
          <w:kern w:val="2"/>
          <w:sz w:val="32"/>
          <w:szCs w:val="32"/>
          <w:highlight w:val="none"/>
          <w:lang w:val="en-US" w:eastAsia="zh-CN" w:bidi="en-US"/>
        </w:rPr>
        <w:t>突出生猪生产基地定位，充分发挥生猪养殖优势，加快生猪产业集群项目建设，打造规模化、现代化的生猪养殖核心区。支持建设万头肉牛标准化养殖场，加快草原畜牧业转型升级和肉牛产业集群项目建设，引入肉牛龙头企业，支持建设现代化肉牛养殖场和繁育基地，发展“畜牧养殖-肥料还田-盐碱地改良-粮草种植-畜牧养殖”绿色循环发展模式，构建“种、养、宰、加、销”全产业链肉牛养殖模式；支持建设百万羽蛋鸡养殖基地，形成规模化畜禽养殖集群。推进畜禽养殖标准化建设，新建改扩建标准化养殖棚舍，配套饮水、饲喂、防疫等设施，采用数字管理平台，实现饲料配比、环境调控、健康监测等关键环节精准管控。培育畜禽养殖龙头企业，推行“企业+合作社+职工”模式，带动职工参与养殖，扩大养殖规模，保障畜牧产品供给总量。到2030年生猪总产能达到100万头、肉牛10万头、蛋鸡300万羽。</w:t>
      </w:r>
    </w:p>
    <w:p w14:paraId="2D1CB6E0">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28" w:name="_Toc11043"/>
      <w:r>
        <w:rPr>
          <w:rFonts w:hint="default" w:ascii="Times New Roman" w:hAnsi="Times New Roman" w:eastAsia="仿宋_GB2312" w:cs="Times New Roman"/>
          <w:lang w:val="en-US" w:eastAsia="zh-CN"/>
        </w:rPr>
        <w:t>第二节 优化生态水产布局</w:t>
      </w:r>
      <w:bookmarkEnd w:id="27"/>
      <w:bookmarkEnd w:id="28"/>
    </w:p>
    <w:p w14:paraId="40F6E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bookmarkStart w:id="29" w:name="heading_22"/>
      <w:r>
        <w:rPr>
          <w:rFonts w:hint="default" w:ascii="Times New Roman" w:hAnsi="Times New Roman" w:eastAsia="仿宋_GB2312" w:cs="Times New Roman"/>
          <w:bCs/>
          <w:color w:val="auto"/>
          <w:kern w:val="2"/>
          <w:sz w:val="32"/>
          <w:szCs w:val="32"/>
          <w:highlight w:val="none"/>
          <w:lang w:val="en-US" w:eastAsia="zh-CN" w:bidi="en-US"/>
        </w:rPr>
        <w:t>立足师市水利资源优势，落实水产绿色发展部署，优化水产养殖布局，盘活师市水库资源，开发“三库两池”，丰富产业业态。适宜水域建设冷水鱼养殖基地，重点引进三文鱼、虹鳟鱼、金鳟等优质冷水鱼品种，升华师市冷水鱼养殖产业，支持利用艾比湖畔万亩洼塘资源，发展生态水产养殖，力争实现万亩渔业绿色循环养殖现代渔业发展目标，推广循环水产养殖、智能温控等先进技术，推行生态养殖模式，减少养殖污染物排放，实现水产养殖绿色可持续发展，优化水产供给结构。</w:t>
      </w:r>
    </w:p>
    <w:p w14:paraId="1502F8B5">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30" w:name="_Toc26292"/>
      <w:r>
        <w:rPr>
          <w:rFonts w:hint="default" w:ascii="Times New Roman" w:hAnsi="Times New Roman" w:eastAsia="仿宋_GB2312" w:cs="Times New Roman"/>
          <w:lang w:val="en-US" w:eastAsia="zh-CN"/>
        </w:rPr>
        <w:t>第三节 强化防控与加工升级</w:t>
      </w:r>
      <w:bookmarkEnd w:id="29"/>
      <w:bookmarkEnd w:id="30"/>
    </w:p>
    <w:p w14:paraId="30E4B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default" w:ascii="Times New Roman" w:hAnsi="Times New Roman" w:eastAsia="仿宋_GB2312" w:cs="Times New Roman"/>
          <w:bCs/>
          <w:color w:val="auto"/>
          <w:kern w:val="2"/>
          <w:sz w:val="32"/>
          <w:szCs w:val="32"/>
          <w:highlight w:val="none"/>
          <w:lang w:val="en-US" w:eastAsia="zh-CN" w:bidi="en-US"/>
        </w:rPr>
        <w:t>健全重大动植物疫病防控体系，完善防疫设施，推行标准化防疫流程，加强畜禽、水产疫病监测预警，强化疫病防控技术培训，严防疫病传播。加强畜禽、水产产品质量管控，规范生产记录，推行承诺达标合格证制度，建立产品质量追溯体系。推进畜禽粪污资源化利用，实现“养殖-粪污-有机肥-种植”的循环生态模式，确保规模化养殖场粪污处理设施装备配套率达到100%。完善畜禽屠宰分割、熟食加工、冷水鱼深加工等设施，培育加工龙头企业，完善冷链物流体系，提升畜牧水产产品供给品质。</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0FA1B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000" w:type="pct"/>
            <w:tcBorders>
              <w:tl2br w:val="nil"/>
              <w:tr2bl w:val="nil"/>
            </w:tcBorders>
            <w:vAlign w:val="center"/>
          </w:tcPr>
          <w:p w14:paraId="10CC7334">
            <w:pPr>
              <w:pStyle w:val="11"/>
              <w:keepNext w:val="0"/>
              <w:keepLines w:val="0"/>
              <w:pageBreakBefore w:val="0"/>
              <w:widowControl w:val="0"/>
              <w:kinsoku/>
              <w:wordWrap w:val="0"/>
              <w:overflowPunct/>
              <w:topLinePunct w:val="0"/>
              <w:autoSpaceDE/>
              <w:autoSpaceDN/>
              <w:bidi w:val="0"/>
              <w:adjustRightInd/>
              <w:snapToGrid/>
              <w:spacing w:after="0"/>
              <w:ind w:left="0"/>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专栏4  优质畜牧水产供给重大项目</w:t>
            </w:r>
          </w:p>
        </w:tc>
      </w:tr>
      <w:tr w14:paraId="54191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14:paraId="09CDE575">
            <w:pPr>
              <w:pStyle w:val="11"/>
              <w:keepNext w:val="0"/>
              <w:keepLines w:val="0"/>
              <w:pageBreakBefore w:val="0"/>
              <w:widowControl w:val="0"/>
              <w:kinsoku/>
              <w:wordWrap w:val="0"/>
              <w:overflowPunct/>
              <w:topLinePunct w:val="0"/>
              <w:autoSpaceDE/>
              <w:autoSpaceDN/>
              <w:bidi w:val="0"/>
              <w:adjustRightInd/>
              <w:snapToGrid/>
              <w:spacing w:after="0" w:line="500" w:lineRule="exact"/>
              <w:ind w:left="0" w:firstLine="562" w:firstLineChars="200"/>
              <w:jc w:val="both"/>
              <w:textAlignment w:val="auto"/>
              <w:rPr>
                <w:rFonts w:hint="default" w:ascii="Times New Roman" w:hAnsi="Times New Roman" w:eastAsia="仿宋_GB2312" w:cs="Times New Roman"/>
                <w:b/>
                <w:bCs/>
                <w:color w:val="auto"/>
                <w:sz w:val="28"/>
                <w:szCs w:val="28"/>
                <w:vertAlign w:val="baseline"/>
                <w:lang w:val="en-US" w:eastAsia="zh-CN"/>
              </w:rPr>
            </w:pPr>
            <w:r>
              <w:rPr>
                <w:rFonts w:hint="eastAsia" w:eastAsia="仿宋_GB2312" w:cs="Times New Roman"/>
                <w:b/>
                <w:bCs/>
                <w:color w:val="auto"/>
                <w:sz w:val="28"/>
                <w:szCs w:val="28"/>
                <w:vertAlign w:val="baseline"/>
                <w:lang w:val="en-US" w:eastAsia="zh-CN"/>
              </w:rPr>
              <w:t>生猪产业集群项目</w:t>
            </w:r>
            <w:r>
              <w:rPr>
                <w:rFonts w:hint="eastAsia" w:eastAsia="仿宋_GB2312" w:cs="Times New Roman"/>
                <w:b w:val="0"/>
                <w:bCs w:val="0"/>
                <w:color w:val="auto"/>
                <w:kern w:val="2"/>
                <w:sz w:val="28"/>
                <w:szCs w:val="28"/>
                <w:highlight w:val="none"/>
                <w:vertAlign w:val="baseline"/>
                <w:lang w:val="en-US" w:eastAsia="zh-CN" w:bidi="ar-SA"/>
              </w:rPr>
              <w:t>。</w:t>
            </w:r>
          </w:p>
          <w:p w14:paraId="3FC5222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bCs/>
                <w:color w:val="auto"/>
                <w:kern w:val="2"/>
                <w:sz w:val="28"/>
                <w:szCs w:val="28"/>
                <w:vertAlign w:val="baseline"/>
                <w:lang w:val="en-US" w:eastAsia="zh-CN" w:bidi="ar-SA"/>
              </w:rPr>
              <w:t>草原畜牧业转型升级项目</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w:t>
            </w:r>
          </w:p>
          <w:p w14:paraId="164C2ED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仿宋_GB2312" w:cs="Times New Roman"/>
                <w:b w:val="0"/>
                <w:bCs w:val="0"/>
                <w:color w:val="auto"/>
                <w:kern w:val="2"/>
                <w:sz w:val="28"/>
                <w:szCs w:val="28"/>
                <w:vertAlign w:val="baseline"/>
                <w:lang w:val="en-US" w:eastAsia="zh-CN" w:bidi="ar-SA"/>
              </w:rPr>
            </w:pPr>
            <w:r>
              <w:rPr>
                <w:rFonts w:hint="default" w:ascii="Times New Roman" w:hAnsi="Times New Roman" w:eastAsia="仿宋_GB2312" w:cs="Times New Roman"/>
                <w:b/>
                <w:bCs/>
                <w:color w:val="auto"/>
                <w:kern w:val="2"/>
                <w:sz w:val="28"/>
                <w:szCs w:val="28"/>
                <w:vertAlign w:val="baseline"/>
                <w:lang w:val="en-US" w:eastAsia="zh-CN" w:bidi="ar-SA"/>
              </w:rPr>
              <w:t>肉牛产业集群项目</w:t>
            </w:r>
            <w:r>
              <w:rPr>
                <w:rFonts w:hint="default" w:ascii="Times New Roman" w:hAnsi="Times New Roman" w:eastAsia="仿宋_GB2312" w:cs="Times New Roman"/>
                <w:b w:val="0"/>
                <w:bCs w:val="0"/>
                <w:color w:val="auto"/>
                <w:kern w:val="2"/>
                <w:sz w:val="28"/>
                <w:szCs w:val="28"/>
                <w:vertAlign w:val="baseline"/>
                <w:lang w:val="en-US" w:eastAsia="zh-CN" w:bidi="ar-SA"/>
              </w:rPr>
              <w:t>。</w:t>
            </w:r>
          </w:p>
          <w:p w14:paraId="4B7BD25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b/>
                <w:bCs/>
                <w:color w:val="auto"/>
                <w:kern w:val="2"/>
                <w:sz w:val="28"/>
                <w:szCs w:val="28"/>
                <w:vertAlign w:val="baseline"/>
                <w:lang w:val="en-US" w:eastAsia="zh-CN" w:bidi="ar-SA"/>
              </w:rPr>
              <w:t>肉牛羊推广项目</w:t>
            </w:r>
            <w:r>
              <w:rPr>
                <w:rFonts w:hint="eastAsia" w:ascii="Times New Roman" w:hAnsi="Times New Roman" w:eastAsia="仿宋_GB2312" w:cs="Times New Roman"/>
                <w:color w:val="auto"/>
                <w:kern w:val="2"/>
                <w:sz w:val="28"/>
                <w:szCs w:val="28"/>
                <w:vertAlign w:val="baseline"/>
                <w:lang w:val="en-US" w:eastAsia="zh-CN" w:bidi="ar-SA"/>
              </w:rPr>
              <w:t>。</w:t>
            </w:r>
          </w:p>
          <w:p w14:paraId="6FF3046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b/>
                <w:bCs/>
                <w:color w:val="auto"/>
                <w:kern w:val="2"/>
                <w:sz w:val="28"/>
                <w:szCs w:val="28"/>
                <w:vertAlign w:val="baseline"/>
                <w:lang w:val="en-US" w:eastAsia="zh-CN" w:bidi="ar-SA"/>
              </w:rPr>
              <w:t>畜禽渔业高质量发展项目</w:t>
            </w:r>
            <w:r>
              <w:rPr>
                <w:rFonts w:hint="default" w:ascii="Times New Roman" w:hAnsi="Times New Roman" w:eastAsia="仿宋_GB2312" w:cs="Times New Roman"/>
                <w:b w:val="0"/>
                <w:bCs w:val="0"/>
                <w:color w:val="auto"/>
                <w:kern w:val="2"/>
                <w:sz w:val="28"/>
                <w:szCs w:val="28"/>
                <w:vertAlign w:val="baseline"/>
                <w:lang w:val="en-US" w:eastAsia="zh-CN" w:bidi="ar-SA"/>
              </w:rPr>
              <w:t>。</w:t>
            </w:r>
          </w:p>
          <w:p w14:paraId="42E7499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b/>
                <w:bCs/>
                <w:color w:val="auto"/>
                <w:kern w:val="2"/>
                <w:sz w:val="28"/>
                <w:szCs w:val="28"/>
                <w:vertAlign w:val="baseline"/>
                <w:lang w:val="en-US" w:eastAsia="zh-CN" w:bidi="ar-SA"/>
              </w:rPr>
              <w:t>动物疫情防控体系</w:t>
            </w:r>
            <w:r>
              <w:rPr>
                <w:rFonts w:hint="eastAsia" w:ascii="Times New Roman" w:hAnsi="Times New Roman" w:eastAsia="仿宋_GB2312" w:cs="Times New Roman"/>
                <w:color w:val="auto"/>
                <w:kern w:val="2"/>
                <w:sz w:val="28"/>
                <w:szCs w:val="28"/>
                <w:vertAlign w:val="baseline"/>
                <w:lang w:val="en-US" w:eastAsia="zh-CN" w:bidi="ar-SA"/>
              </w:rPr>
              <w:t>。</w:t>
            </w:r>
          </w:p>
        </w:tc>
      </w:tr>
    </w:tbl>
    <w:p w14:paraId="0E7E3CC9">
      <w:pPr>
        <w:rPr>
          <w:rFonts w:hint="default" w:ascii="Times New Roman" w:hAnsi="Times New Roman" w:eastAsia="黑体" w:cs="Times New Roman"/>
          <w:b/>
          <w:bCs w:val="0"/>
          <w:color w:val="auto"/>
          <w:sz w:val="32"/>
          <w:szCs w:val="32"/>
          <w:highlight w:val="none"/>
          <w:lang w:val="en-US" w:eastAsia="zh-CN"/>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2121FFC5">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31" w:name="_Toc21477"/>
      <w:r>
        <w:rPr>
          <w:rFonts w:hint="default" w:ascii="Times New Roman" w:hAnsi="Times New Roman" w:eastAsia="黑体" w:cs="Times New Roman"/>
          <w:b w:val="0"/>
          <w:bCs/>
          <w:color w:val="auto"/>
          <w:sz w:val="36"/>
          <w:szCs w:val="36"/>
          <w:highlight w:val="none"/>
          <w:lang w:val="en-US" w:eastAsia="zh-CN"/>
        </w:rPr>
        <w:t>建设现代设施农业</w:t>
      </w:r>
      <w:r>
        <w:rPr>
          <w:rFonts w:hint="default" w:ascii="Times New Roman" w:hAnsi="Times New Roman" w:cs="Times New Roman"/>
          <w:b w:val="0"/>
          <w:bCs/>
          <w:color w:val="auto"/>
          <w:sz w:val="36"/>
          <w:szCs w:val="36"/>
          <w:highlight w:val="none"/>
          <w:lang w:val="en-US" w:eastAsia="zh-CN"/>
        </w:rPr>
        <w:t>高端农产品</w:t>
      </w:r>
      <w:r>
        <w:rPr>
          <w:rFonts w:hint="default" w:ascii="Times New Roman" w:hAnsi="Times New Roman" w:eastAsia="黑体" w:cs="Times New Roman"/>
          <w:b w:val="0"/>
          <w:bCs/>
          <w:color w:val="auto"/>
          <w:sz w:val="36"/>
          <w:szCs w:val="36"/>
          <w:highlight w:val="none"/>
          <w:lang w:val="en-US" w:eastAsia="zh-CN"/>
        </w:rPr>
        <w:t>供给基地</w:t>
      </w:r>
      <w:bookmarkEnd w:id="31"/>
    </w:p>
    <w:p w14:paraId="36381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bookmarkStart w:id="32" w:name="heading_24"/>
      <w:r>
        <w:rPr>
          <w:rFonts w:hint="default" w:ascii="Times New Roman" w:hAnsi="Times New Roman" w:eastAsia="仿宋_GB2312" w:cs="Times New Roman"/>
          <w:bCs/>
          <w:color w:val="auto"/>
          <w:kern w:val="2"/>
          <w:sz w:val="32"/>
          <w:szCs w:val="32"/>
          <w:highlight w:val="none"/>
          <w:lang w:val="en-US" w:eastAsia="zh-CN" w:bidi="en-US"/>
        </w:rPr>
        <w:t>立足师市现有设施农业发展成效，聚焦设施农业集约化、标准化、机械化、绿色化、数字化升级，着力构建“设施完善、科技赋能、品牌引领、产销畅通”的现代设施农业体系，推动师市农业从“规模优势”向“质量优势、效益优势”转变。</w:t>
      </w:r>
    </w:p>
    <w:p w14:paraId="6D3A1B82">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33" w:name="_Toc20886"/>
      <w:r>
        <w:rPr>
          <w:rFonts w:hint="default" w:ascii="Times New Roman" w:hAnsi="Times New Roman" w:eastAsia="仿宋_GB2312" w:cs="Times New Roman"/>
          <w:lang w:val="en-US" w:eastAsia="zh-CN"/>
        </w:rPr>
        <w:t>第一节 打造高端农产品供给基地</w:t>
      </w:r>
      <w:bookmarkEnd w:id="33"/>
    </w:p>
    <w:p w14:paraId="718A0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大力发展现代设施农业，建设集中连片的连栋智能温室，拓宽农业生产空间，依托双河独特的环境区位优势，整合瑞麒国际一流装备与深莓国内领先智能管理技术，创新构建“国内技术+国际设备+兵团资源”发展模式，集成环境智能调控、生物绿色防控、水肥精准一体化及物联网全程监测等先进技术，推动农业从“传统种养”向“智慧高效”深度转型。健全“生产—加工—销售”全链条一体化体系，依托深农投深圳海吉星农超对接平台畅通销售渠道，培育农业经济新增长极，奋力建成兵团现代农业生产力示范区，树立高端设施农业新标杆。加快一期20万联栋智能温室项目，到2030年建成80万平方米联栋智能温室，全力打造高端农产品供给基地。</w:t>
      </w:r>
    </w:p>
    <w:p w14:paraId="57656FBF">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34" w:name="_Toc23019"/>
      <w:r>
        <w:rPr>
          <w:rFonts w:hint="default" w:ascii="Times New Roman" w:hAnsi="Times New Roman" w:eastAsia="仿宋_GB2312" w:cs="Times New Roman"/>
          <w:lang w:val="en-US" w:eastAsia="zh-CN"/>
        </w:rPr>
        <w:t xml:space="preserve">第二节 </w:t>
      </w:r>
      <w:bookmarkEnd w:id="32"/>
      <w:r>
        <w:rPr>
          <w:rFonts w:hint="default" w:ascii="Times New Roman" w:hAnsi="Times New Roman" w:eastAsia="仿宋_GB2312" w:cs="Times New Roman"/>
          <w:lang w:val="en-US" w:eastAsia="zh-CN"/>
        </w:rPr>
        <w:t>优化设施果蔬种植结构</w:t>
      </w:r>
      <w:bookmarkEnd w:id="34"/>
    </w:p>
    <w:p w14:paraId="58C70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r>
        <w:rPr>
          <w:rFonts w:hint="default" w:ascii="Times New Roman" w:hAnsi="Times New Roman" w:eastAsia="仿宋_GB2312" w:cs="Times New Roman"/>
          <w:bCs/>
          <w:color w:val="auto"/>
          <w:kern w:val="2"/>
          <w:sz w:val="32"/>
          <w:szCs w:val="32"/>
          <w:highlight w:val="none"/>
          <w:lang w:val="en-US" w:eastAsia="zh-CN" w:bidi="en-US"/>
        </w:rPr>
        <w:t>紧扣市场需求导向，立足各团场产业基础与资源禀赋，实行分区分类、精准施策、差异化发展布局。</w:t>
      </w:r>
      <w:r>
        <w:rPr>
          <w:rFonts w:hint="eastAsia" w:ascii="Times New Roman" w:hAnsi="Times New Roman" w:eastAsia="仿宋_GB2312" w:cs="Times New Roman"/>
          <w:bCs/>
          <w:color w:val="auto"/>
          <w:kern w:val="2"/>
          <w:sz w:val="32"/>
          <w:szCs w:val="32"/>
          <w:highlight w:val="none"/>
          <w:lang w:val="en-US" w:eastAsia="zh-CN" w:bidi="en-US"/>
        </w:rPr>
        <w:t>重点扩大现代设施农业规模，发展无土栽培、串收番茄、切花月季等高效经济作物，推动设施农业集约化、精细化发展，完善设施农业全产业链，提升设施农业综合效益。</w:t>
      </w:r>
      <w:r>
        <w:rPr>
          <w:rFonts w:hint="default" w:ascii="Times New Roman" w:hAnsi="Times New Roman" w:eastAsia="仿宋_GB2312" w:cs="Times New Roman"/>
          <w:bCs/>
          <w:color w:val="auto"/>
          <w:kern w:val="2"/>
          <w:sz w:val="32"/>
          <w:szCs w:val="32"/>
          <w:highlight w:val="none"/>
          <w:lang w:val="en-US" w:eastAsia="zh-CN" w:bidi="en-US"/>
        </w:rPr>
        <w:t>发展羊肚菌特色种植，打造特色食用菌产业示范板块</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发展樱桃、无花果、冬枣等高附加值经济作物，提升种植效益与产品竞争力。扩大蔬菜出口备案基地优势，辐射带动辣椒、番茄、黄瓜等优质果蔬</w:t>
      </w:r>
      <w:r>
        <w:rPr>
          <w:rFonts w:hint="eastAsia" w:ascii="Times New Roman" w:hAnsi="Times New Roman" w:eastAsia="仿宋_GB2312" w:cs="Times New Roman"/>
          <w:bCs/>
          <w:color w:val="auto"/>
          <w:kern w:val="2"/>
          <w:sz w:val="32"/>
          <w:szCs w:val="32"/>
          <w:highlight w:val="none"/>
          <w:lang w:val="en-US" w:eastAsia="zh-CN" w:bidi="en-US"/>
        </w:rPr>
        <w:t>发展，</w:t>
      </w:r>
      <w:r>
        <w:rPr>
          <w:rFonts w:hint="default" w:ascii="Times New Roman" w:hAnsi="Times New Roman" w:eastAsia="仿宋_GB2312" w:cs="Times New Roman"/>
          <w:bCs/>
          <w:color w:val="auto"/>
          <w:kern w:val="2"/>
          <w:sz w:val="32"/>
          <w:szCs w:val="32"/>
          <w:highlight w:val="none"/>
          <w:lang w:val="en-US" w:eastAsia="zh-CN" w:bidi="en-US"/>
        </w:rPr>
        <w:t>进一步推动设施农业规模化、标准化、品牌化发展，实现提质增效与错位发展。</w:t>
      </w:r>
    </w:p>
    <w:p w14:paraId="0B96D3CE">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35" w:name="_Toc2339"/>
      <w:bookmarkStart w:id="36" w:name="heading_26"/>
      <w:r>
        <w:rPr>
          <w:rFonts w:hint="default" w:ascii="Times New Roman" w:hAnsi="Times New Roman" w:eastAsia="仿宋_GB2312" w:cs="Times New Roman"/>
          <w:lang w:val="en-US" w:eastAsia="zh-CN"/>
        </w:rPr>
        <w:t>第三节 打造农旅融合观光样板</w:t>
      </w:r>
      <w:bookmarkEnd w:id="35"/>
    </w:p>
    <w:p w14:paraId="1D39B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依托双河“五带”旅游资源，充分发挥设施农业反季节生产优势，在古道温泉等具备旅游潜力的区域周边，高标准建设农业科技示范园区，规模化发展草莓、观赏花卉、串番茄等高效设施农业，打造集采摘体验、休闲观光、科技示范于一体的特色农业基地，持续拓宽产业增值空间。充分利用城郊区位优势，依托城区消费市场的辐射带动作用，大力发展无花果、圣女果、葡萄、樱桃等设施种植，推动“菜篮子”与“果盘子”协同发展。优化采摘体验、亲子研学、农事节庆等旅游业态，推动“田园变公园、产品变商品”，加快形成“以农促旅、以旅强农”的融合发展格局，为全面推进乡村振兴注入新动能。</w:t>
      </w:r>
    </w:p>
    <w:p w14:paraId="2CA9621D">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37" w:name="_Toc32134"/>
      <w:r>
        <w:rPr>
          <w:rFonts w:hint="default" w:ascii="Times New Roman" w:hAnsi="Times New Roman" w:eastAsia="仿宋_GB2312" w:cs="Times New Roman"/>
          <w:lang w:val="en-US" w:eastAsia="zh-CN"/>
        </w:rPr>
        <w:t xml:space="preserve">第四节 </w:t>
      </w:r>
      <w:bookmarkEnd w:id="36"/>
      <w:r>
        <w:rPr>
          <w:rFonts w:hint="default" w:ascii="Times New Roman" w:hAnsi="Times New Roman" w:eastAsia="仿宋_GB2312" w:cs="Times New Roman"/>
          <w:lang w:val="en-US" w:eastAsia="zh-CN"/>
        </w:rPr>
        <w:t>强化基础设施提升改造</w:t>
      </w:r>
      <w:bookmarkEnd w:id="37"/>
    </w:p>
    <w:p w14:paraId="72419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r>
        <w:rPr>
          <w:rFonts w:hint="default" w:ascii="Times New Roman" w:hAnsi="Times New Roman" w:eastAsia="仿宋_GB2312" w:cs="Times New Roman"/>
          <w:bCs/>
          <w:color w:val="auto"/>
          <w:kern w:val="2"/>
          <w:sz w:val="32"/>
          <w:szCs w:val="32"/>
          <w:highlight w:val="none"/>
          <w:lang w:val="en-US" w:eastAsia="zh-CN" w:bidi="en-US"/>
        </w:rPr>
        <w:t>秉持“改造和新建并重、提质和增效同步”的科学原则，以设施大棚改造恢复工程为抓手，积极整合财政专项资金、社会资本等各类资金资源建立多元化投入机制。聚焦设施大棚结构加固、排水完善、采光改善等关键环节，对老旧破损大棚全面修缮、新建大棚严格按标准化建设，配套完善灌溉、施肥、病虫害防控等附属设施，全面补齐设施农业基础设施短板。引入双层膜覆盖技术搭配新型防湿防冻橡塑被筑牢保温防线，通过手机远程操作完成开窗控温、通风换气、电动清雪等作业，推动设施大棚从“有”向“优”转变，助力设施农业向标准化、智能化、高效化转型，持续夯实设施农业发展基础、提升综合生产能力，为双河市设施农业现代化高质量发展注入强劲动力。</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5FF0F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000" w:type="pct"/>
            <w:tcBorders>
              <w:tl2br w:val="nil"/>
              <w:tr2bl w:val="nil"/>
            </w:tcBorders>
            <w:vAlign w:val="center"/>
          </w:tcPr>
          <w:p w14:paraId="1D2A7471">
            <w:pPr>
              <w:pStyle w:val="11"/>
              <w:keepNext w:val="0"/>
              <w:keepLines w:val="0"/>
              <w:pageBreakBefore w:val="0"/>
              <w:widowControl w:val="0"/>
              <w:kinsoku/>
              <w:wordWrap w:val="0"/>
              <w:overflowPunct/>
              <w:topLinePunct w:val="0"/>
              <w:autoSpaceDE/>
              <w:autoSpaceDN/>
              <w:bidi w:val="0"/>
              <w:adjustRightInd/>
              <w:snapToGrid/>
              <w:spacing w:after="0" w:line="360" w:lineRule="auto"/>
              <w:ind w:left="0"/>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b/>
                <w:bCs/>
                <w:sz w:val="28"/>
                <w:szCs w:val="28"/>
                <w:highlight w:val="none"/>
                <w:vertAlign w:val="baseline"/>
                <w:lang w:val="en-US" w:eastAsia="zh-CN"/>
              </w:rPr>
              <w:t>专栏5  现代设施农业供给重大项目</w:t>
            </w:r>
          </w:p>
        </w:tc>
      </w:tr>
      <w:tr w14:paraId="2ADD2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14:paraId="56F59F7C">
            <w:pPr>
              <w:pStyle w:val="11"/>
              <w:keepNext w:val="0"/>
              <w:keepLines w:val="0"/>
              <w:pageBreakBefore w:val="0"/>
              <w:widowControl w:val="0"/>
              <w:kinsoku/>
              <w:wordWrap w:val="0"/>
              <w:overflowPunct/>
              <w:topLinePunct w:val="0"/>
              <w:autoSpaceDE/>
              <w:autoSpaceDN/>
              <w:bidi w:val="0"/>
              <w:adjustRightInd/>
              <w:snapToGrid/>
              <w:spacing w:after="0" w:line="500" w:lineRule="exact"/>
              <w:ind w:left="0" w:firstLine="562" w:firstLineChars="200"/>
              <w:jc w:val="both"/>
              <w:textAlignment w:val="auto"/>
              <w:rPr>
                <w:rFonts w:hint="default" w:eastAsia="仿宋_GB2312" w:cs="Times New Roman"/>
                <w:b w:val="0"/>
                <w:bCs w:val="0"/>
                <w:sz w:val="28"/>
                <w:szCs w:val="28"/>
                <w:highlight w:val="none"/>
                <w:vertAlign w:val="baseline"/>
                <w:lang w:val="en-US" w:eastAsia="zh-CN"/>
              </w:rPr>
            </w:pPr>
            <w:r>
              <w:rPr>
                <w:rFonts w:hint="default" w:ascii="Times New Roman" w:hAnsi="Times New Roman" w:eastAsia="仿宋_GB2312" w:cs="Times New Roman"/>
                <w:b/>
                <w:bCs/>
                <w:sz w:val="28"/>
                <w:szCs w:val="28"/>
                <w:highlight w:val="none"/>
                <w:vertAlign w:val="baseline"/>
                <w:lang w:val="en-US" w:eastAsia="zh-CN"/>
              </w:rPr>
              <w:t>现代设施农业建设项目</w:t>
            </w:r>
            <w:r>
              <w:rPr>
                <w:rFonts w:hint="eastAsia" w:eastAsia="仿宋_GB2312" w:cs="Times New Roman"/>
                <w:b w:val="0"/>
                <w:bCs w:val="0"/>
                <w:sz w:val="28"/>
                <w:szCs w:val="28"/>
                <w:highlight w:val="none"/>
                <w:vertAlign w:val="baseline"/>
                <w:lang w:val="en-US" w:eastAsia="zh-CN"/>
              </w:rPr>
              <w:t>。</w:t>
            </w:r>
          </w:p>
          <w:p w14:paraId="4DC927FE">
            <w:pPr>
              <w:pStyle w:val="11"/>
              <w:keepNext w:val="0"/>
              <w:keepLines w:val="0"/>
              <w:pageBreakBefore w:val="0"/>
              <w:widowControl w:val="0"/>
              <w:kinsoku/>
              <w:wordWrap w:val="0"/>
              <w:overflowPunct/>
              <w:topLinePunct w:val="0"/>
              <w:autoSpaceDE/>
              <w:autoSpaceDN/>
              <w:bidi w:val="0"/>
              <w:adjustRightInd/>
              <w:snapToGrid/>
              <w:spacing w:after="0" w:line="500" w:lineRule="exact"/>
              <w:ind w:left="0" w:firstLine="562" w:firstLineChars="200"/>
              <w:jc w:val="both"/>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b/>
                <w:bCs/>
                <w:sz w:val="28"/>
                <w:szCs w:val="28"/>
                <w:highlight w:val="none"/>
                <w:vertAlign w:val="baseline"/>
                <w:lang w:val="en-US" w:eastAsia="zh-CN"/>
              </w:rPr>
              <w:t>农业科技创新能力提升项目</w:t>
            </w:r>
            <w:r>
              <w:rPr>
                <w:rFonts w:hint="eastAsia" w:eastAsia="仿宋_GB2312" w:cs="Times New Roman"/>
                <w:sz w:val="28"/>
                <w:szCs w:val="28"/>
                <w:highlight w:val="none"/>
                <w:vertAlign w:val="baseline"/>
                <w:lang w:val="en-US" w:eastAsia="zh-CN"/>
              </w:rPr>
              <w:t>。</w:t>
            </w:r>
          </w:p>
          <w:p w14:paraId="3AC4CE4C">
            <w:pPr>
              <w:keepNext w:val="0"/>
              <w:keepLines w:val="0"/>
              <w:pageBreakBefore w:val="0"/>
              <w:widowControl w:val="0"/>
              <w:kinsoku/>
              <w:overflowPunct/>
              <w:topLinePunct w:val="0"/>
              <w:autoSpaceDE/>
              <w:autoSpaceDN/>
              <w:bidi w:val="0"/>
              <w:adjustRightInd/>
              <w:snapToGrid/>
              <w:spacing w:line="500" w:lineRule="exact"/>
              <w:ind w:firstLine="562"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bCs/>
                <w:kern w:val="2"/>
                <w:sz w:val="28"/>
                <w:szCs w:val="28"/>
                <w:highlight w:val="none"/>
                <w:vertAlign w:val="baseline"/>
                <w:lang w:val="en-US" w:eastAsia="zh-CN" w:bidi="ar-SA"/>
              </w:rPr>
              <w:t>数字农业建设工程</w:t>
            </w:r>
            <w:r>
              <w:rPr>
                <w:rFonts w:hint="eastAsia" w:ascii="Times New Roman" w:hAnsi="Times New Roman" w:eastAsia="仿宋_GB2312" w:cs="Times New Roman"/>
                <w:b w:val="0"/>
                <w:bCs w:val="0"/>
                <w:kern w:val="2"/>
                <w:sz w:val="28"/>
                <w:szCs w:val="28"/>
                <w:highlight w:val="none"/>
                <w:vertAlign w:val="baseline"/>
                <w:lang w:val="en-US" w:eastAsia="zh-CN" w:bidi="ar-SA"/>
              </w:rPr>
              <w:t>。</w:t>
            </w:r>
          </w:p>
        </w:tc>
      </w:tr>
    </w:tbl>
    <w:p w14:paraId="600C8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2312" w:cs="Times New Roman"/>
          <w:sz w:val="32"/>
          <w:szCs w:val="32"/>
        </w:rPr>
        <w:sectPr>
          <w:pgSz w:w="11905" w:h="16838"/>
          <w:pgMar w:top="1440" w:right="1531" w:bottom="1440" w:left="1531" w:header="850" w:footer="992" w:gutter="0"/>
          <w:pgNumType w:fmt="decimal"/>
          <w:cols w:space="0" w:num="1"/>
          <w:rtlGutter w:val="0"/>
          <w:docGrid w:type="lines" w:linePitch="317" w:charSpace="0"/>
        </w:sectPr>
      </w:pPr>
    </w:p>
    <w:p w14:paraId="7588C8D3">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38" w:name="_Toc18988"/>
      <w:r>
        <w:rPr>
          <w:rFonts w:hint="default" w:ascii="Times New Roman" w:hAnsi="Times New Roman" w:eastAsia="黑体" w:cs="Times New Roman"/>
          <w:b w:val="0"/>
          <w:bCs/>
          <w:color w:val="auto"/>
          <w:sz w:val="36"/>
          <w:szCs w:val="36"/>
          <w:highlight w:val="none"/>
          <w:lang w:val="en-US" w:eastAsia="zh-CN"/>
        </w:rPr>
        <w:t>推进绿色循环优质农业示范基地</w:t>
      </w:r>
      <w:bookmarkEnd w:id="38"/>
    </w:p>
    <w:p w14:paraId="61E21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践行“绿水青山就是金山银山”的绿色发展理念，依托师市农业发展基础，聚焦绿色生产、循环利用、优质高效，以示范基地建设为抓手，整合资源、集聚要素、创新模式，打造一批可复制、可推广、有特色的绿色循环优质农业示范标杆。</w:t>
      </w:r>
    </w:p>
    <w:p w14:paraId="72C53FDD">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39" w:name="_Toc5886"/>
      <w:r>
        <w:rPr>
          <w:rFonts w:hint="default" w:ascii="Times New Roman" w:hAnsi="Times New Roman" w:eastAsia="仿宋_GB2312" w:cs="Times New Roman"/>
          <w:lang w:val="en-US" w:eastAsia="zh-CN"/>
        </w:rPr>
        <w:t>第一节 构建绿色生产体系</w:t>
      </w:r>
      <w:bookmarkEnd w:id="39"/>
    </w:p>
    <w:p w14:paraId="70710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bookmarkStart w:id="40" w:name="_Toc18344"/>
      <w:r>
        <w:rPr>
          <w:rFonts w:hint="default" w:ascii="Times New Roman" w:hAnsi="Times New Roman" w:eastAsia="仿宋_GB2312" w:cs="Times New Roman"/>
          <w:bCs/>
          <w:color w:val="auto"/>
          <w:kern w:val="2"/>
          <w:sz w:val="32"/>
          <w:szCs w:val="32"/>
          <w:highlight w:val="none"/>
          <w:lang w:val="en-US" w:eastAsia="zh-CN" w:bidi="en-US"/>
        </w:rPr>
        <w:t>推动健全耕地数量、质量、生态</w:t>
      </w:r>
      <w:r>
        <w:rPr>
          <w:rFonts w:hint="eastAsia" w:ascii="Times New Roman" w:hAnsi="Times New Roman" w:eastAsia="仿宋_GB2312" w:cs="Times New Roman"/>
          <w:bCs/>
          <w:color w:val="auto"/>
          <w:kern w:val="2"/>
          <w:sz w:val="32"/>
          <w:szCs w:val="32"/>
          <w:highlight w:val="none"/>
          <w:lang w:val="en-US" w:eastAsia="zh-CN" w:bidi="en-US"/>
        </w:rPr>
        <w:t>“三位一体”保护制度体系，全面开展高标准农田分类分级评价工作，落实耕地保护责任。大力</w:t>
      </w:r>
      <w:r>
        <w:rPr>
          <w:rFonts w:hint="default" w:ascii="Times New Roman" w:hAnsi="Times New Roman" w:eastAsia="仿宋_GB2312" w:cs="Times New Roman"/>
          <w:bCs/>
          <w:color w:val="auto"/>
          <w:kern w:val="2"/>
          <w:sz w:val="32"/>
          <w:szCs w:val="32"/>
          <w:highlight w:val="none"/>
          <w:lang w:val="en-US" w:eastAsia="zh-CN" w:bidi="en-US"/>
        </w:rPr>
        <w:t>发展高效节水灌溉，推广</w:t>
      </w:r>
      <w:r>
        <w:rPr>
          <w:rFonts w:hint="eastAsia" w:ascii="Times New Roman" w:hAnsi="Times New Roman" w:eastAsia="仿宋_GB2312" w:cs="Times New Roman"/>
          <w:bCs/>
          <w:color w:val="auto"/>
          <w:kern w:val="2"/>
          <w:sz w:val="32"/>
          <w:szCs w:val="32"/>
          <w:highlight w:val="none"/>
          <w:lang w:val="en-US" w:eastAsia="zh-CN" w:bidi="en-US"/>
        </w:rPr>
        <w:t>小流量滴灌，</w:t>
      </w:r>
      <w:r>
        <w:rPr>
          <w:rFonts w:hint="default" w:ascii="Times New Roman" w:hAnsi="Times New Roman" w:eastAsia="仿宋_GB2312" w:cs="Times New Roman"/>
          <w:bCs/>
          <w:color w:val="auto"/>
          <w:kern w:val="2"/>
          <w:sz w:val="32"/>
          <w:szCs w:val="32"/>
          <w:highlight w:val="none"/>
          <w:lang w:val="en-US" w:eastAsia="zh-CN" w:bidi="en-US"/>
        </w:rPr>
        <w:t>提高</w:t>
      </w:r>
      <w:r>
        <w:rPr>
          <w:rFonts w:hint="eastAsia" w:ascii="Times New Roman" w:hAnsi="Times New Roman" w:eastAsia="仿宋_GB2312" w:cs="Times New Roman"/>
          <w:bCs/>
          <w:color w:val="auto"/>
          <w:kern w:val="2"/>
          <w:sz w:val="32"/>
          <w:szCs w:val="32"/>
          <w:highlight w:val="none"/>
          <w:lang w:val="en-US" w:eastAsia="zh-CN" w:bidi="en-US"/>
        </w:rPr>
        <w:t>水资源利用</w:t>
      </w:r>
      <w:r>
        <w:rPr>
          <w:rFonts w:hint="default" w:ascii="Times New Roman" w:hAnsi="Times New Roman" w:eastAsia="仿宋_GB2312" w:cs="Times New Roman"/>
          <w:bCs/>
          <w:color w:val="auto"/>
          <w:kern w:val="2"/>
          <w:sz w:val="32"/>
          <w:szCs w:val="32"/>
          <w:highlight w:val="none"/>
          <w:lang w:val="en-US" w:eastAsia="zh-CN" w:bidi="en-US"/>
        </w:rPr>
        <w:t>效率。施科学施肥增效行动，持续推进测土配方施肥，到</w:t>
      </w:r>
      <w:r>
        <w:rPr>
          <w:rFonts w:hint="eastAsia" w:ascii="Times New Roman" w:hAnsi="Times New Roman" w:eastAsia="仿宋_GB2312" w:cs="Times New Roman"/>
          <w:bCs/>
          <w:color w:val="auto"/>
          <w:kern w:val="2"/>
          <w:sz w:val="32"/>
          <w:szCs w:val="32"/>
          <w:highlight w:val="none"/>
          <w:lang w:val="en-US" w:eastAsia="zh-CN" w:bidi="en-US"/>
        </w:rPr>
        <w:t>2030年，粮食作物化肥利用率达到43%以上。</w:t>
      </w:r>
      <w:r>
        <w:rPr>
          <w:rFonts w:hint="default" w:ascii="Times New Roman" w:hAnsi="Times New Roman" w:eastAsia="仿宋_GB2312" w:cs="Times New Roman"/>
          <w:bCs/>
          <w:color w:val="auto"/>
          <w:kern w:val="2"/>
          <w:sz w:val="32"/>
          <w:szCs w:val="32"/>
          <w:highlight w:val="none"/>
          <w:lang w:val="en-US" w:eastAsia="zh-CN" w:bidi="en-US"/>
        </w:rPr>
        <w:t>实施科学用药增效行动，推广低毒低残留农药替代，强化病虫害统防统治和全程绿色防控</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加快集成推广一批经济实用、简便有效、农民乐于接受的绿色防控、农药减量增效技术模式，到</w:t>
      </w:r>
      <w:r>
        <w:rPr>
          <w:rFonts w:hint="eastAsia" w:ascii="Times New Roman" w:hAnsi="Times New Roman" w:eastAsia="仿宋_GB2312" w:cs="Times New Roman"/>
          <w:bCs/>
          <w:color w:val="auto"/>
          <w:kern w:val="2"/>
          <w:sz w:val="32"/>
          <w:szCs w:val="32"/>
          <w:highlight w:val="none"/>
          <w:lang w:val="en-US" w:eastAsia="zh-CN" w:bidi="en-US"/>
        </w:rPr>
        <w:t>2030年，主要农作物绿色防控覆盖率达到60%以上，粮食作物统防统治覆盖率达到50%以上。</w:t>
      </w:r>
      <w:r>
        <w:rPr>
          <w:rFonts w:hint="default" w:ascii="Times New Roman" w:hAnsi="Times New Roman" w:eastAsia="仿宋_GB2312" w:cs="Times New Roman"/>
          <w:bCs/>
          <w:color w:val="auto"/>
          <w:kern w:val="2"/>
          <w:sz w:val="32"/>
          <w:szCs w:val="32"/>
          <w:highlight w:val="none"/>
          <w:lang w:val="en-US" w:eastAsia="zh-CN" w:bidi="en-US"/>
        </w:rPr>
        <w:t>以生猪、蛋鸡、肉牛等畜禽品种为重点，实施兽用抗菌药使用减量化行动，推广替代产品，严格遵守处方药和休药期制度</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到</w:t>
      </w:r>
      <w:r>
        <w:rPr>
          <w:rFonts w:hint="eastAsia" w:ascii="Times New Roman" w:hAnsi="Times New Roman" w:eastAsia="仿宋_GB2312" w:cs="Times New Roman"/>
          <w:bCs/>
          <w:color w:val="auto"/>
          <w:kern w:val="2"/>
          <w:sz w:val="32"/>
          <w:szCs w:val="32"/>
          <w:highlight w:val="none"/>
          <w:lang w:val="en-US" w:eastAsia="zh-CN" w:bidi="en-US"/>
        </w:rPr>
        <w:t>2030年，规模养殖场实施养殖“减抗”行动比例达到65%以上。</w:t>
      </w:r>
    </w:p>
    <w:p w14:paraId="3F2ACE8A">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第二节 构建循环利用体系</w:t>
      </w:r>
      <w:bookmarkEnd w:id="40"/>
    </w:p>
    <w:p w14:paraId="2928E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Cs/>
          <w:color w:val="auto"/>
          <w:kern w:val="2"/>
          <w:sz w:val="32"/>
          <w:szCs w:val="32"/>
          <w:highlight w:val="none"/>
          <w:lang w:val="en-US" w:eastAsia="zh-CN" w:bidi="en-US"/>
        </w:rPr>
      </w:pPr>
      <w:bookmarkStart w:id="41" w:name="_Toc8695"/>
      <w:r>
        <w:rPr>
          <w:rFonts w:hint="default" w:ascii="Times New Roman" w:hAnsi="Times New Roman" w:eastAsia="仿宋_GB2312" w:cs="Times New Roman"/>
          <w:b/>
          <w:bCs/>
          <w:color w:val="1F2329"/>
          <w:kern w:val="0"/>
          <w:sz w:val="32"/>
          <w:szCs w:val="32"/>
          <w:lang w:val="en-US" w:eastAsia="zh-CN" w:bidi="ar"/>
        </w:rPr>
        <w:t>推进畜禽粪污资源化利用。</w:t>
      </w:r>
      <w:r>
        <w:rPr>
          <w:rFonts w:hint="eastAsia" w:ascii="Times New Roman" w:hAnsi="Times New Roman" w:eastAsia="仿宋_GB2312" w:cs="Times New Roman"/>
          <w:bCs/>
          <w:color w:val="auto"/>
          <w:kern w:val="2"/>
          <w:sz w:val="32"/>
          <w:szCs w:val="32"/>
          <w:highlight w:val="none"/>
          <w:lang w:val="en-US" w:eastAsia="zh-CN" w:bidi="en-US"/>
        </w:rPr>
        <w:t>鼓励养殖规模较大的团场，</w:t>
      </w:r>
      <w:r>
        <w:rPr>
          <w:rFonts w:hint="default" w:ascii="Times New Roman" w:hAnsi="Times New Roman" w:eastAsia="仿宋_GB2312" w:cs="Times New Roman"/>
          <w:bCs/>
          <w:color w:val="auto"/>
          <w:kern w:val="2"/>
          <w:sz w:val="32"/>
          <w:szCs w:val="32"/>
          <w:highlight w:val="none"/>
          <w:lang w:val="en-US" w:eastAsia="zh-CN" w:bidi="en-US"/>
        </w:rPr>
        <w:t>培育一批开展粪肥还田等服务的社会化服务主体，</w:t>
      </w:r>
      <w:r>
        <w:rPr>
          <w:rFonts w:hint="eastAsia" w:ascii="Times New Roman" w:hAnsi="Times New Roman" w:eastAsia="仿宋_GB2312" w:cs="Times New Roman"/>
          <w:bCs/>
          <w:color w:val="auto"/>
          <w:kern w:val="2"/>
          <w:sz w:val="32"/>
          <w:szCs w:val="32"/>
          <w:highlight w:val="none"/>
          <w:lang w:val="en-US" w:eastAsia="zh-CN" w:bidi="en-US"/>
        </w:rPr>
        <w:t>规模养殖场全面配备</w:t>
      </w:r>
      <w:r>
        <w:rPr>
          <w:rFonts w:hint="default" w:ascii="Times New Roman" w:hAnsi="Times New Roman" w:eastAsia="仿宋_GB2312" w:cs="Times New Roman"/>
          <w:bCs/>
          <w:color w:val="auto"/>
          <w:kern w:val="2"/>
          <w:sz w:val="32"/>
          <w:szCs w:val="32"/>
          <w:highlight w:val="none"/>
          <w:lang w:val="en-US" w:eastAsia="zh-CN" w:bidi="en-US"/>
        </w:rPr>
        <w:t>粪污处理设施，将粪污转化为符合国标优质有机肥，实现养殖废弃物向农业生产资源高效转化</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形成发展绿色种养循环农业的技术模式、组织方式和长效机制</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健全病死畜禽无害化处理机制。规模养殖场粪污处理设施装备配套率达到100%</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畜禽粪污综合利用率达到9</w:t>
      </w:r>
      <w:r>
        <w:rPr>
          <w:rFonts w:hint="eastAsia" w:ascii="Times New Roman" w:hAnsi="Times New Roman" w:eastAsia="仿宋_GB2312" w:cs="Times New Roman"/>
          <w:bCs/>
          <w:color w:val="auto"/>
          <w:kern w:val="2"/>
          <w:sz w:val="32"/>
          <w:szCs w:val="32"/>
          <w:highlight w:val="none"/>
          <w:lang w:val="en-US" w:eastAsia="zh-CN" w:bidi="en-US"/>
        </w:rPr>
        <w:t>3</w:t>
      </w:r>
      <w:r>
        <w:rPr>
          <w:rFonts w:hint="default" w:ascii="Times New Roman" w:hAnsi="Times New Roman" w:eastAsia="仿宋_GB2312" w:cs="Times New Roman"/>
          <w:bCs/>
          <w:color w:val="auto"/>
          <w:kern w:val="2"/>
          <w:sz w:val="32"/>
          <w:szCs w:val="32"/>
          <w:highlight w:val="none"/>
          <w:lang w:val="en-US" w:eastAsia="zh-CN" w:bidi="en-US"/>
        </w:rPr>
        <w:t>%以上。</w:t>
      </w:r>
    </w:p>
    <w:p w14:paraId="2612F8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color w:val="1F2329"/>
          <w:kern w:val="0"/>
          <w:sz w:val="32"/>
          <w:szCs w:val="32"/>
          <w:lang w:val="en-US" w:eastAsia="zh-CN" w:bidi="ar"/>
        </w:rPr>
        <w:t>推进秸秆资源化利用。</w:t>
      </w:r>
      <w:r>
        <w:rPr>
          <w:rFonts w:hint="default" w:ascii="Times New Roman" w:hAnsi="Times New Roman" w:eastAsia="仿宋_GB2312" w:cs="Times New Roman"/>
          <w:bCs/>
          <w:color w:val="auto"/>
          <w:kern w:val="2"/>
          <w:sz w:val="32"/>
          <w:szCs w:val="32"/>
          <w:highlight w:val="none"/>
          <w:lang w:val="en-US" w:eastAsia="zh-CN" w:bidi="en-US"/>
        </w:rPr>
        <w:t>建立秸秆收集、储存、加工、利用一体化体系，推广秸秆粉碎还田、秸秆饲料、秸秆基料、秸秆</w:t>
      </w:r>
      <w:r>
        <w:rPr>
          <w:rFonts w:hint="eastAsia" w:ascii="Times New Roman" w:hAnsi="Times New Roman" w:eastAsia="仿宋_GB2312" w:cs="Times New Roman"/>
          <w:bCs/>
          <w:color w:val="auto"/>
          <w:kern w:val="2"/>
          <w:sz w:val="32"/>
          <w:szCs w:val="32"/>
          <w:highlight w:val="none"/>
          <w:lang w:val="en-US" w:eastAsia="zh-CN" w:bidi="en-US"/>
        </w:rPr>
        <w:t>燃料</w:t>
      </w:r>
      <w:r>
        <w:rPr>
          <w:rFonts w:hint="default" w:ascii="Times New Roman" w:hAnsi="Times New Roman" w:eastAsia="仿宋_GB2312" w:cs="Times New Roman"/>
          <w:bCs/>
          <w:color w:val="auto"/>
          <w:kern w:val="2"/>
          <w:sz w:val="32"/>
          <w:szCs w:val="32"/>
          <w:highlight w:val="none"/>
          <w:lang w:val="en-US" w:eastAsia="zh-CN" w:bidi="en-US"/>
        </w:rPr>
        <w:t>等利用模式。推进秸秆饲料加工，发展秸秆养畜，实现“秸秆-饲料-养殖”循环，鼓励企业参与秸秆资源化利用，开发秸秆有机肥、秸秆建材等产品，提升秸秆利用附加值。</w:t>
      </w:r>
      <w:r>
        <w:rPr>
          <w:rFonts w:hint="eastAsia" w:ascii="Times New Roman" w:hAnsi="Times New Roman" w:eastAsia="仿宋_GB2312" w:cs="Times New Roman"/>
          <w:bCs/>
          <w:color w:val="auto"/>
          <w:kern w:val="2"/>
          <w:sz w:val="32"/>
          <w:szCs w:val="32"/>
          <w:highlight w:val="none"/>
          <w:lang w:val="en-US" w:eastAsia="zh-CN" w:bidi="en-US"/>
        </w:rPr>
        <w:t>秸秆综合利用率保持在88%以上。</w:t>
      </w:r>
    </w:p>
    <w:p w14:paraId="53D071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1F2329"/>
          <w:kern w:val="0"/>
          <w:sz w:val="32"/>
          <w:szCs w:val="32"/>
          <w:lang w:val="en-US" w:eastAsia="zh-CN" w:bidi="ar"/>
        </w:rPr>
      </w:pPr>
      <w:r>
        <w:rPr>
          <w:rFonts w:hint="default" w:ascii="Times New Roman" w:hAnsi="Times New Roman" w:eastAsia="仿宋_GB2312" w:cs="Times New Roman"/>
          <w:b/>
          <w:bCs/>
          <w:color w:val="1F2329"/>
          <w:kern w:val="0"/>
          <w:sz w:val="32"/>
          <w:szCs w:val="32"/>
          <w:lang w:val="en-US" w:eastAsia="zh-CN" w:bidi="ar"/>
        </w:rPr>
        <w:t>推广加厚高强度地膜</w:t>
      </w:r>
      <w:r>
        <w:rPr>
          <w:rFonts w:hint="eastAsia" w:ascii="Times New Roman" w:hAnsi="Times New Roman" w:eastAsia="仿宋_GB2312" w:cs="Times New Roman"/>
          <w:b/>
          <w:bCs/>
          <w:color w:val="1F2329"/>
          <w:kern w:val="0"/>
          <w:sz w:val="32"/>
          <w:szCs w:val="32"/>
          <w:lang w:val="en-US" w:eastAsia="zh-CN" w:bidi="ar"/>
        </w:rPr>
        <w:t>使用回收。</w:t>
      </w:r>
      <w:r>
        <w:rPr>
          <w:rFonts w:hint="default" w:ascii="Times New Roman" w:hAnsi="Times New Roman" w:eastAsia="仿宋_GB2312" w:cs="Times New Roman"/>
          <w:bCs/>
          <w:color w:val="auto"/>
          <w:kern w:val="2"/>
          <w:sz w:val="32"/>
          <w:szCs w:val="32"/>
          <w:highlight w:val="none"/>
          <w:lang w:val="en-US" w:eastAsia="zh-CN" w:bidi="en-US"/>
        </w:rPr>
        <w:t>全面推广使用加厚地膜，更大力度支持农田残膜回收，对农膜生产、销售、使用、回收和资源化利用等环节实行严格全程管控，</w:t>
      </w:r>
      <w:r>
        <w:rPr>
          <w:rFonts w:hint="default" w:ascii="Times New Roman" w:hAnsi="Times New Roman" w:eastAsia="仿宋_GB2312" w:cs="Times New Roman"/>
          <w:color w:val="1F2329"/>
          <w:kern w:val="0"/>
          <w:sz w:val="32"/>
          <w:szCs w:val="32"/>
          <w:lang w:val="en-US" w:eastAsia="zh-CN" w:bidi="ar"/>
        </w:rPr>
        <w:t>落实“谁使用、谁回收，谁污染、谁治理”原则，采用“机械+人工”方式清理残膜，实现农田残膜存量逐年递减</w:t>
      </w:r>
      <w:r>
        <w:rPr>
          <w:rFonts w:hint="eastAsia" w:ascii="Times New Roman" w:hAnsi="Times New Roman" w:eastAsia="仿宋_GB2312" w:cs="Times New Roman"/>
          <w:color w:val="1F2329"/>
          <w:kern w:val="0"/>
          <w:sz w:val="32"/>
          <w:szCs w:val="32"/>
          <w:lang w:val="en-US" w:eastAsia="zh-CN" w:bidi="ar"/>
        </w:rPr>
        <w:t>，</w:t>
      </w:r>
      <w:r>
        <w:rPr>
          <w:rFonts w:hint="default" w:ascii="Times New Roman" w:hAnsi="Times New Roman" w:eastAsia="仿宋_GB2312" w:cs="Times New Roman"/>
          <w:bCs/>
          <w:color w:val="auto"/>
          <w:kern w:val="2"/>
          <w:sz w:val="32"/>
          <w:szCs w:val="32"/>
          <w:highlight w:val="none"/>
          <w:lang w:val="en-US" w:eastAsia="zh-CN" w:bidi="en-US"/>
        </w:rPr>
        <w:t>当季农田废旧地膜回收率达到95%以上。</w:t>
      </w:r>
    </w:p>
    <w:bookmarkEnd w:id="41"/>
    <w:p w14:paraId="25E6CCB1">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42" w:name="_Toc30993"/>
      <w:r>
        <w:rPr>
          <w:rFonts w:hint="default" w:ascii="Times New Roman" w:hAnsi="Times New Roman" w:eastAsia="仿宋_GB2312" w:cs="Times New Roman"/>
          <w:lang w:val="en-US" w:eastAsia="zh-CN"/>
        </w:rPr>
        <w:t>第</w:t>
      </w:r>
      <w:r>
        <w:rPr>
          <w:rFonts w:hint="eastAsia" w:ascii="Times New Roman" w:hAnsi="Times New Roman" w:eastAsia="仿宋_GB2312" w:cs="Times New Roman"/>
          <w:lang w:val="en-US" w:eastAsia="zh-CN"/>
        </w:rPr>
        <w:t>三</w:t>
      </w:r>
      <w:r>
        <w:rPr>
          <w:rFonts w:hint="default" w:ascii="Times New Roman" w:hAnsi="Times New Roman" w:eastAsia="仿宋_GB2312" w:cs="Times New Roman"/>
          <w:lang w:val="en-US" w:eastAsia="zh-CN"/>
        </w:rPr>
        <w:t>节 打造绿色循环农业产业链</w:t>
      </w:r>
      <w:bookmarkEnd w:id="42"/>
    </w:p>
    <w:p w14:paraId="3DE01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r>
        <w:rPr>
          <w:rFonts w:hint="eastAsia" w:ascii="Times New Roman" w:hAnsi="Times New Roman" w:eastAsia="仿宋_GB2312" w:cs="Times New Roman"/>
          <w:bCs/>
          <w:color w:val="auto"/>
          <w:kern w:val="2"/>
          <w:sz w:val="32"/>
          <w:szCs w:val="32"/>
          <w:highlight w:val="none"/>
          <w:lang w:val="en-US" w:eastAsia="zh-CN" w:bidi="en-US"/>
        </w:rPr>
        <w:t>深入推广“龙头企业+微生物技术+种养循环”模式，提升农业资源利用效率，减少农业面源污染。</w:t>
      </w:r>
      <w:r>
        <w:rPr>
          <w:rFonts w:hint="default" w:ascii="Times New Roman" w:hAnsi="Times New Roman" w:eastAsia="仿宋_GB2312" w:cs="Times New Roman"/>
          <w:bCs/>
          <w:color w:val="auto"/>
          <w:kern w:val="2"/>
          <w:sz w:val="32"/>
          <w:szCs w:val="32"/>
          <w:highlight w:val="none"/>
          <w:lang w:val="en-US" w:eastAsia="zh-CN" w:bidi="en-US"/>
        </w:rPr>
        <w:t>探索“畜牧养殖-肥料还田-盐碱地改良-粮草种植-畜牧养殖”绿色循环发展模式。依国家级农业产业化龙头企业品牌效应，全面推行分布式养殖产业布局和订单式收购模式，发展“种、养、宰、加、销”一体的肉牛养殖模式，推动肉牛产业从“分散经营”向“集群发展”转型。加快师市生态循环现代农业产业园建设，构建“微生物研发-生产加工-种养应用-品牌直销-农文旅融合”完整产业生态圈。加快推进动物血液深加工项目，生产血液提取物、牛白蛋白、球蛋白粉液等产品，形成“科研-生产-应用”的产业生态闭环。</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65797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000" w:type="pct"/>
            <w:tcBorders>
              <w:tl2br w:val="nil"/>
              <w:tr2bl w:val="nil"/>
            </w:tcBorders>
            <w:vAlign w:val="center"/>
          </w:tcPr>
          <w:p w14:paraId="4438E275">
            <w:pPr>
              <w:pStyle w:val="11"/>
              <w:keepNext w:val="0"/>
              <w:keepLines w:val="0"/>
              <w:pageBreakBefore w:val="0"/>
              <w:widowControl w:val="0"/>
              <w:kinsoku/>
              <w:wordWrap w:val="0"/>
              <w:overflowPunct/>
              <w:topLinePunct w:val="0"/>
              <w:autoSpaceDE/>
              <w:autoSpaceDN/>
              <w:bidi w:val="0"/>
              <w:adjustRightInd/>
              <w:snapToGrid/>
              <w:spacing w:after="0" w:line="360" w:lineRule="auto"/>
              <w:ind w:left="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专栏6  绿色循环优质农业示范基地重大项目</w:t>
            </w:r>
          </w:p>
        </w:tc>
      </w:tr>
      <w:tr w14:paraId="41EE7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14:paraId="1047CF0F">
            <w:pPr>
              <w:pStyle w:val="11"/>
              <w:keepNext w:val="0"/>
              <w:keepLines w:val="0"/>
              <w:pageBreakBefore w:val="0"/>
              <w:widowControl w:val="0"/>
              <w:kinsoku/>
              <w:wordWrap w:val="0"/>
              <w:overflowPunct/>
              <w:topLinePunct w:val="0"/>
              <w:autoSpaceDE/>
              <w:autoSpaceDN/>
              <w:bidi w:val="0"/>
              <w:adjustRightInd/>
              <w:snapToGrid/>
              <w:spacing w:after="0" w:line="500" w:lineRule="exact"/>
              <w:ind w:left="0" w:firstLine="562" w:firstLineChars="200"/>
              <w:jc w:val="both"/>
              <w:textAlignment w:val="auto"/>
              <w:rPr>
                <w:rFonts w:hint="eastAsia"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绿色循环农业产业链项目</w:t>
            </w:r>
            <w:r>
              <w:rPr>
                <w:rFonts w:hint="eastAsia" w:eastAsia="仿宋_GB2312" w:cs="Times New Roman"/>
                <w:b w:val="0"/>
                <w:bCs w:val="0"/>
                <w:sz w:val="28"/>
                <w:szCs w:val="28"/>
                <w:vertAlign w:val="baseline"/>
                <w:lang w:val="en-US" w:eastAsia="zh-CN"/>
              </w:rPr>
              <w:t>。</w:t>
            </w:r>
          </w:p>
          <w:p w14:paraId="13B83FDC">
            <w:pPr>
              <w:pStyle w:val="11"/>
              <w:keepNext w:val="0"/>
              <w:keepLines w:val="0"/>
              <w:pageBreakBefore w:val="0"/>
              <w:widowControl w:val="0"/>
              <w:kinsoku/>
              <w:wordWrap w:val="0"/>
              <w:overflowPunct/>
              <w:topLinePunct w:val="0"/>
              <w:autoSpaceDE/>
              <w:autoSpaceDN/>
              <w:bidi w:val="0"/>
              <w:adjustRightInd/>
              <w:snapToGrid/>
              <w:spacing w:after="0" w:line="500" w:lineRule="exact"/>
              <w:ind w:left="0" w:firstLine="562" w:firstLineChars="200"/>
              <w:jc w:val="both"/>
              <w:textAlignment w:val="auto"/>
              <w:rPr>
                <w:rFonts w:hint="default"/>
                <w:lang w:val="en-US" w:eastAsia="zh-CN"/>
              </w:rPr>
            </w:pPr>
            <w:r>
              <w:rPr>
                <w:rFonts w:hint="default" w:ascii="Times New Roman" w:hAnsi="Times New Roman" w:eastAsia="仿宋_GB2312" w:cs="Times New Roman"/>
                <w:b/>
                <w:bCs/>
                <w:sz w:val="28"/>
                <w:szCs w:val="28"/>
                <w:vertAlign w:val="baseline"/>
                <w:lang w:val="en-US" w:eastAsia="zh-CN"/>
              </w:rPr>
              <w:t>农业面源污染综合防治项目</w:t>
            </w:r>
            <w:r>
              <w:rPr>
                <w:rFonts w:hint="eastAsia" w:eastAsia="仿宋_GB2312" w:cs="Times New Roman"/>
                <w:b w:val="0"/>
                <w:bCs w:val="0"/>
                <w:kern w:val="2"/>
                <w:sz w:val="28"/>
                <w:szCs w:val="28"/>
                <w:vertAlign w:val="baseline"/>
                <w:lang w:val="en-US" w:eastAsia="zh-CN" w:bidi="ar-SA"/>
              </w:rPr>
              <w:t>。</w:t>
            </w:r>
          </w:p>
        </w:tc>
      </w:tr>
    </w:tbl>
    <w:p w14:paraId="4F83E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1F2329"/>
          <w:kern w:val="0"/>
          <w:sz w:val="32"/>
          <w:szCs w:val="32"/>
          <w:lang w:val="en-US" w:eastAsia="zh-CN" w:bidi="ar"/>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53D64D26">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43" w:name="_Toc226"/>
      <w:r>
        <w:rPr>
          <w:rFonts w:hint="default" w:ascii="Times New Roman" w:hAnsi="Times New Roman" w:eastAsia="黑体" w:cs="Times New Roman"/>
          <w:b w:val="0"/>
          <w:bCs/>
          <w:color w:val="auto"/>
          <w:sz w:val="36"/>
          <w:szCs w:val="36"/>
          <w:highlight w:val="none"/>
          <w:lang w:val="en-US" w:eastAsia="zh-CN"/>
        </w:rPr>
        <w:t>推进优质特色农产品产业升级</w:t>
      </w:r>
      <w:bookmarkEnd w:id="43"/>
    </w:p>
    <w:p w14:paraId="123D2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bookmarkStart w:id="44" w:name="heading_30"/>
      <w:r>
        <w:rPr>
          <w:rFonts w:hint="default" w:ascii="Times New Roman" w:hAnsi="Times New Roman" w:eastAsia="仿宋_GB2312" w:cs="Times New Roman"/>
          <w:bCs/>
          <w:color w:val="auto"/>
          <w:kern w:val="2"/>
          <w:sz w:val="32"/>
          <w:szCs w:val="32"/>
          <w:highlight w:val="none"/>
          <w:lang w:val="en-US" w:eastAsia="zh-CN" w:bidi="en-US"/>
        </w:rPr>
        <w:t>立足东西线产业禀赋差异，重点打造生猪、肉牛、葡萄、粮食、特色种养等产业，构建“种养+加工+流通+文旅”全产业链发展体系，到2030年</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农产品加工产值与农业总产值比达到3：1。</w:t>
      </w:r>
    </w:p>
    <w:p w14:paraId="71BB1792">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仿宋_GB2312" w:cs="Times New Roman"/>
          <w:lang w:val="en-US" w:eastAsia="zh-CN"/>
        </w:rPr>
      </w:pPr>
      <w:bookmarkStart w:id="45" w:name="_Toc17541"/>
      <w:r>
        <w:rPr>
          <w:rFonts w:hint="default" w:ascii="Times New Roman" w:hAnsi="Times New Roman" w:eastAsia="仿宋_GB2312" w:cs="Times New Roman"/>
          <w:lang w:val="en-US" w:eastAsia="zh-CN"/>
        </w:rPr>
        <w:t>第一节 空间布局与产业定位</w:t>
      </w:r>
      <w:bookmarkEnd w:id="45"/>
    </w:p>
    <w:p w14:paraId="569E59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葡萄产业</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打造国家级鲜食葡萄优势区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托全国最大夏黑葡萄连片种植基地和农业产业强镇项目，巩固10万亩标准化种植规模，深化产学研合作，推广全链条标准化生产体系，确保鲜食葡萄优质果率稳定在98%以上；加快葡萄酒加工、NFC果汁、葡萄冻干脆等精深加工项目投产，依托智能化冷链仓储</w:t>
      </w:r>
      <w:r>
        <w:rPr>
          <w:rFonts w:hint="default" w:ascii="Times New Roman" w:hAnsi="Times New Roman" w:eastAsia="仿宋_GB2312" w:cs="Times New Roman"/>
          <w:sz w:val="32"/>
          <w:szCs w:val="32"/>
          <w:lang w:val="en-US" w:eastAsia="zh-CN"/>
        </w:rPr>
        <w:t>设施</w:t>
      </w:r>
      <w:r>
        <w:rPr>
          <w:rFonts w:hint="default" w:ascii="Times New Roman" w:hAnsi="Times New Roman" w:eastAsia="仿宋_GB2312" w:cs="Times New Roman"/>
          <w:sz w:val="32"/>
          <w:szCs w:val="32"/>
        </w:rPr>
        <w:t>实现错峰销售，做优“</w:t>
      </w:r>
      <w:r>
        <w:rPr>
          <w:rFonts w:hint="default" w:ascii="Times New Roman" w:hAnsi="Times New Roman" w:eastAsia="仿宋_GB2312" w:cs="Times New Roman"/>
          <w:sz w:val="32"/>
          <w:szCs w:val="32"/>
          <w:lang w:val="en-US" w:eastAsia="zh-CN"/>
        </w:rPr>
        <w:t>葡疆果园</w:t>
      </w:r>
      <w:r>
        <w:rPr>
          <w:rFonts w:hint="default" w:ascii="Times New Roman" w:hAnsi="Times New Roman" w:eastAsia="仿宋_GB2312" w:cs="Times New Roman"/>
          <w:sz w:val="32"/>
          <w:szCs w:val="32"/>
        </w:rPr>
        <w:t>”“双河葡小萄”</w:t>
      </w:r>
      <w:r>
        <w:rPr>
          <w:rFonts w:hint="default" w:ascii="Times New Roman" w:hAnsi="Times New Roman" w:eastAsia="仿宋_GB2312" w:cs="Times New Roman"/>
          <w:sz w:val="32"/>
          <w:szCs w:val="32"/>
          <w:lang w:val="en-US" w:eastAsia="zh-CN"/>
        </w:rPr>
        <w:t>等葡萄</w:t>
      </w:r>
      <w:r>
        <w:rPr>
          <w:rFonts w:hint="default" w:ascii="Times New Roman" w:hAnsi="Times New Roman" w:eastAsia="仿宋_GB2312" w:cs="Times New Roman"/>
          <w:sz w:val="32"/>
          <w:szCs w:val="32"/>
        </w:rPr>
        <w:t>品牌，拓展出口市场；同时打造集葡萄采摘、观光研学、文化体验为一体的农文旅融合示范区。发展</w:t>
      </w:r>
      <w:r>
        <w:rPr>
          <w:rFonts w:hint="default" w:ascii="Times New Roman" w:hAnsi="Times New Roman" w:eastAsia="仿宋_GB2312" w:cs="Times New Roman"/>
          <w:sz w:val="32"/>
          <w:szCs w:val="32"/>
          <w:lang w:val="en-US" w:eastAsia="zh-CN"/>
        </w:rPr>
        <w:t>红提葡萄种植，探索</w:t>
      </w:r>
      <w:r>
        <w:rPr>
          <w:rFonts w:hint="default" w:ascii="Times New Roman" w:hAnsi="Times New Roman" w:eastAsia="仿宋_GB2312" w:cs="Times New Roman"/>
          <w:sz w:val="32"/>
          <w:szCs w:val="32"/>
        </w:rPr>
        <w:t>酿酒葡萄品种</w:t>
      </w:r>
      <w:r>
        <w:rPr>
          <w:rFonts w:hint="default" w:ascii="Times New Roman" w:hAnsi="Times New Roman" w:eastAsia="仿宋_GB2312" w:cs="Times New Roman"/>
          <w:sz w:val="32"/>
          <w:szCs w:val="32"/>
          <w:lang w:val="en-US" w:eastAsia="zh-CN"/>
        </w:rPr>
        <w:t>种植</w:t>
      </w:r>
      <w:r>
        <w:rPr>
          <w:rFonts w:hint="default" w:ascii="Times New Roman" w:hAnsi="Times New Roman" w:eastAsia="仿宋_GB2312" w:cs="Times New Roman"/>
          <w:sz w:val="32"/>
          <w:szCs w:val="32"/>
        </w:rPr>
        <w:t>，扩</w:t>
      </w:r>
      <w:r>
        <w:rPr>
          <w:rFonts w:hint="eastAsia"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lang w:val="en-US" w:eastAsia="zh-CN"/>
        </w:rPr>
        <w:t>克瑞森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阳光玫瑰等</w:t>
      </w:r>
      <w:r>
        <w:rPr>
          <w:rFonts w:hint="default" w:ascii="Times New Roman" w:hAnsi="Times New Roman" w:eastAsia="仿宋_GB2312" w:cs="Times New Roman"/>
          <w:sz w:val="32"/>
          <w:szCs w:val="32"/>
        </w:rPr>
        <w:t>优质果种植规模，到2030年</w:t>
      </w:r>
      <w:r>
        <w:rPr>
          <w:rFonts w:hint="default" w:ascii="Times New Roman" w:hAnsi="Times New Roman" w:eastAsia="仿宋_GB2312" w:cs="Times New Roman"/>
          <w:sz w:val="32"/>
          <w:szCs w:val="32"/>
          <w:lang w:val="en-US" w:eastAsia="zh-CN"/>
        </w:rPr>
        <w:t>师市</w:t>
      </w:r>
      <w:r>
        <w:rPr>
          <w:rFonts w:hint="default" w:ascii="Times New Roman" w:hAnsi="Times New Roman" w:eastAsia="仿宋_GB2312" w:cs="Times New Roman"/>
          <w:sz w:val="32"/>
          <w:szCs w:val="32"/>
        </w:rPr>
        <w:t>葡萄全产业链产值突破</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亿元。</w:t>
      </w:r>
    </w:p>
    <w:p w14:paraId="21A834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生猪产业</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西北重要生猪生产加工基地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稳定年出栏</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00万头养殖规模，打造百万头生猪核心养殖区，依托智慧生态养殖项目、艾比湖物流园打造饲料加工基地，扩大压片玉米、来料加工产能；加快生猪屠宰冷链物流及深加工项目扩能，开发熟食、预制菜等产品，</w:t>
      </w:r>
      <w:r>
        <w:rPr>
          <w:rFonts w:hint="default" w:ascii="Times New Roman" w:hAnsi="Times New Roman" w:eastAsia="仿宋_GB2312" w:cs="Times New Roman"/>
          <w:sz w:val="32"/>
          <w:szCs w:val="32"/>
          <w:lang w:val="en-US" w:eastAsia="zh-CN"/>
        </w:rPr>
        <w:t>开放线下鲜卤加工门店；</w:t>
      </w:r>
      <w:r>
        <w:rPr>
          <w:rFonts w:hint="default" w:ascii="Times New Roman" w:hAnsi="Times New Roman" w:eastAsia="仿宋_GB2312" w:cs="Times New Roman"/>
          <w:sz w:val="32"/>
          <w:szCs w:val="32"/>
        </w:rPr>
        <w:t>健全冷鲜配送体系，实现“饲料加工-种猪繁育-规模养殖-屠宰加工-冷链销售”全链条闭环。到2030年生猪全产业链产值突破</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亿元，规模化养殖比重达到100%，粪污综合利用率达到95%以上。</w:t>
      </w:r>
    </w:p>
    <w:p w14:paraId="23076E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棉花产业</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打造</w:t>
      </w:r>
      <w:r>
        <w:rPr>
          <w:rFonts w:hint="default" w:ascii="Times New Roman" w:hAnsi="Times New Roman" w:eastAsia="仿宋_GB2312" w:cs="Times New Roman"/>
          <w:sz w:val="32"/>
          <w:szCs w:val="32"/>
        </w:rPr>
        <w:t>70万</w:t>
      </w:r>
      <w:r>
        <w:rPr>
          <w:rFonts w:hint="default" w:ascii="Times New Roman" w:hAnsi="Times New Roman" w:eastAsia="仿宋_GB2312" w:cs="Times New Roman"/>
          <w:sz w:val="32"/>
          <w:szCs w:val="32"/>
          <w:lang w:val="en-US" w:eastAsia="zh-CN"/>
        </w:rPr>
        <w:t>世界一流棉花品质标杆示范区</w:t>
      </w:r>
      <w:r>
        <w:rPr>
          <w:rFonts w:hint="default" w:ascii="Times New Roman" w:hAnsi="Times New Roman" w:eastAsia="仿宋_GB2312" w:cs="Times New Roman"/>
          <w:sz w:val="32"/>
          <w:szCs w:val="32"/>
        </w:rPr>
        <w:t>。推广优质机采棉品种，普及数字农业管控体系，实现棉花生产全程标准化、智能化；依托20万吨棉籽浓缩蛋白精深加工项目，延伸棉籽蛋白、棉油、棉籽低聚糖等高新产品链条，盘活精纺产能发展高支纱、家纺面料等高附加值产品。</w:t>
      </w:r>
      <w:r>
        <w:rPr>
          <w:rFonts w:hint="default" w:ascii="Times New Roman" w:hAnsi="Times New Roman" w:eastAsia="仿宋_GB2312" w:cs="Times New Roman"/>
          <w:sz w:val="32"/>
          <w:szCs w:val="32"/>
          <w:lang w:val="en-US" w:eastAsia="zh-CN"/>
        </w:rPr>
        <w:t>引入棉花纺织公司，建设锭气流纺织生产线，支持师市服装纺织产业高质量发展</w:t>
      </w:r>
      <w:r>
        <w:rPr>
          <w:rFonts w:hint="default" w:ascii="Times New Roman" w:hAnsi="Times New Roman" w:eastAsia="仿宋_GB2312" w:cs="Times New Roman"/>
          <w:sz w:val="32"/>
          <w:szCs w:val="32"/>
        </w:rPr>
        <w:t>。到2030年</w:t>
      </w:r>
      <w:r>
        <w:rPr>
          <w:rFonts w:hint="default" w:ascii="Times New Roman" w:hAnsi="Times New Roman" w:eastAsia="仿宋_GB2312" w:cs="Times New Roman"/>
          <w:sz w:val="32"/>
          <w:szCs w:val="32"/>
          <w:lang w:val="en-US" w:eastAsia="zh-CN"/>
        </w:rPr>
        <w:t>棉花</w:t>
      </w:r>
      <w:r>
        <w:rPr>
          <w:rFonts w:hint="default" w:ascii="Times New Roman" w:hAnsi="Times New Roman" w:eastAsia="仿宋_GB2312" w:cs="Times New Roman"/>
          <w:sz w:val="32"/>
          <w:szCs w:val="32"/>
        </w:rPr>
        <w:t>全产业链产值突破</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棉花公检质量位居兵团前列。</w:t>
      </w:r>
    </w:p>
    <w:p w14:paraId="627D73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肉牛产业</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lang w:val="en-US" w:eastAsia="zh-CN"/>
        </w:rPr>
        <w:t>万头</w:t>
      </w:r>
      <w:r>
        <w:rPr>
          <w:rFonts w:hint="default" w:ascii="Times New Roman" w:hAnsi="Times New Roman" w:eastAsia="仿宋_GB2312" w:cs="Times New Roman"/>
          <w:sz w:val="32"/>
          <w:szCs w:val="32"/>
        </w:rPr>
        <w:t>优质肉牛养殖加工基地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与龙头企业合作建设</w:t>
      </w:r>
      <w:r>
        <w:rPr>
          <w:rFonts w:hint="default" w:ascii="Times New Roman" w:hAnsi="Times New Roman" w:eastAsia="仿宋_GB2312" w:cs="Times New Roman"/>
          <w:sz w:val="32"/>
          <w:szCs w:val="32"/>
        </w:rPr>
        <w:t>肉牛养殖基地项目，推广“龙头企业+合作社+职工”利益联结模式，扩大基础母牛存栏量，推广良种冻精改良技术，提升“雪花牛肉”等高端产品供给能力；托饲草种植优势配套建设青贮饲料基地，加快肉牛屠宰、冷鲜加工、冷链配送项目布局，拓展高端餐饮、</w:t>
      </w:r>
      <w:r>
        <w:rPr>
          <w:rFonts w:hint="default" w:ascii="Times New Roman" w:hAnsi="Times New Roman" w:eastAsia="仿宋_GB2312" w:cs="Times New Roman"/>
          <w:sz w:val="32"/>
          <w:szCs w:val="32"/>
          <w:lang w:val="en-US" w:eastAsia="zh-CN"/>
        </w:rPr>
        <w:t>牛肉干</w:t>
      </w:r>
      <w:r>
        <w:rPr>
          <w:rFonts w:hint="default" w:ascii="Times New Roman" w:hAnsi="Times New Roman" w:eastAsia="仿宋_GB2312" w:cs="Times New Roman"/>
          <w:sz w:val="32"/>
          <w:szCs w:val="32"/>
        </w:rPr>
        <w:t>等下游市场。到2030年肉牛年出栏量突破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万头，全产业链产值突破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亿元。</w:t>
      </w:r>
    </w:p>
    <w:p w14:paraId="174F5C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粮食产业</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35万亩优质高产粮食生产基地，筑牢粮食安全底线。稳定小麦种植面积7万亩，重点发展中强筋、弱筋专用品种，打造中强筋小麦优势区，弱筋春小麦优势区；稳定玉米种植面积</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万亩，依托国家级玉米制种大县政策，建设标准化</w:t>
      </w:r>
      <w:r>
        <w:rPr>
          <w:rFonts w:hint="default" w:ascii="Times New Roman" w:hAnsi="Times New Roman" w:eastAsia="仿宋_GB2312" w:cs="Times New Roman"/>
          <w:sz w:val="32"/>
          <w:szCs w:val="32"/>
          <w:lang w:val="en-US" w:eastAsia="zh-CN"/>
        </w:rPr>
        <w:t>玉米</w:t>
      </w:r>
      <w:r>
        <w:rPr>
          <w:rFonts w:hint="default" w:ascii="Times New Roman" w:hAnsi="Times New Roman" w:eastAsia="仿宋_GB2312" w:cs="Times New Roman"/>
          <w:sz w:val="32"/>
          <w:szCs w:val="32"/>
        </w:rPr>
        <w:t>制种基地，提升玉米种子本地化加工销售能力；延伸石磨面粉、糯玉米、油脂等精深加工链条，实现粮油产加销一体化。到2030年粮食总产</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万吨以上，粮油加工产值突破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亿元。</w:t>
      </w:r>
    </w:p>
    <w:p w14:paraId="159260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特色产业</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发展</w:t>
      </w:r>
      <w:r>
        <w:rPr>
          <w:rFonts w:hint="default" w:ascii="Times New Roman" w:hAnsi="Times New Roman" w:eastAsia="仿宋_GB2312" w:cs="Times New Roman"/>
          <w:sz w:val="32"/>
          <w:szCs w:val="32"/>
          <w:lang w:val="en-US" w:eastAsia="zh-CN"/>
        </w:rPr>
        <w:t>脆</w:t>
      </w:r>
      <w:r>
        <w:rPr>
          <w:rFonts w:hint="default" w:ascii="Times New Roman" w:hAnsi="Times New Roman" w:eastAsia="仿宋_GB2312" w:cs="Times New Roman"/>
          <w:sz w:val="32"/>
          <w:szCs w:val="32"/>
        </w:rPr>
        <w:t>苹果、食用菌、</w:t>
      </w:r>
      <w:r>
        <w:rPr>
          <w:rFonts w:hint="default" w:ascii="Times New Roman" w:hAnsi="Times New Roman" w:eastAsia="仿宋_GB2312" w:cs="Times New Roman"/>
          <w:sz w:val="32"/>
          <w:szCs w:val="32"/>
          <w:lang w:val="en-US" w:eastAsia="zh-CN"/>
        </w:rPr>
        <w:t>甜糯</w:t>
      </w:r>
      <w:r>
        <w:rPr>
          <w:rFonts w:hint="default" w:ascii="Times New Roman" w:hAnsi="Times New Roman" w:eastAsia="仿宋_GB2312" w:cs="Times New Roman"/>
          <w:sz w:val="32"/>
          <w:szCs w:val="32"/>
        </w:rPr>
        <w:t>玉米、高山蔬菜、榛子、辣椒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中草药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枸杞</w:t>
      </w:r>
      <w:r>
        <w:rPr>
          <w:rFonts w:hint="eastAsia" w:ascii="Times New Roman" w:hAnsi="Times New Roman" w:eastAsia="仿宋_GB2312" w:cs="Times New Roman"/>
          <w:sz w:val="32"/>
          <w:szCs w:val="32"/>
          <w:lang w:val="en-US" w:eastAsia="zh-CN"/>
        </w:rPr>
        <w:t>种植和加工，发展</w:t>
      </w:r>
      <w:r>
        <w:rPr>
          <w:rFonts w:hint="default" w:ascii="Times New Roman" w:hAnsi="Times New Roman" w:eastAsia="仿宋_GB2312" w:cs="Times New Roman"/>
          <w:sz w:val="32"/>
          <w:szCs w:val="32"/>
        </w:rPr>
        <w:t>罗非鱼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鸵鸟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骆驼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冷水鱼、三文鱼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南美对虾、蛋鸡养殖，打造特色</w:t>
      </w:r>
      <w:r>
        <w:rPr>
          <w:rFonts w:hint="default" w:ascii="Times New Roman" w:hAnsi="Times New Roman" w:eastAsia="仿宋_GB2312" w:cs="Times New Roman"/>
          <w:sz w:val="32"/>
          <w:szCs w:val="32"/>
          <w:lang w:val="en-US" w:eastAsia="zh-CN"/>
        </w:rPr>
        <w:t>优势</w:t>
      </w:r>
      <w:r>
        <w:rPr>
          <w:rFonts w:hint="default" w:ascii="Times New Roman" w:hAnsi="Times New Roman" w:eastAsia="仿宋_GB2312" w:cs="Times New Roman"/>
          <w:sz w:val="32"/>
          <w:szCs w:val="32"/>
        </w:rPr>
        <w:t>产业矩阵。</w:t>
      </w:r>
    </w:p>
    <w:p w14:paraId="1AE194EF">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46" w:name="_Toc8456"/>
      <w:r>
        <w:rPr>
          <w:rFonts w:hint="default" w:ascii="Times New Roman" w:hAnsi="Times New Roman" w:eastAsia="仿宋_GB2312" w:cs="Times New Roman"/>
          <w:lang w:val="en-US" w:eastAsia="zh-CN"/>
        </w:rPr>
        <w:t>第二节 全产业链延链补链</w:t>
      </w:r>
      <w:bookmarkEnd w:id="46"/>
    </w:p>
    <w:p w14:paraId="0F5EBF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r>
        <w:rPr>
          <w:rFonts w:hint="eastAsia" w:ascii="Times New Roman" w:hAnsi="Times New Roman" w:eastAsia="仿宋_GB2312" w:cs="Times New Roman"/>
          <w:bCs/>
          <w:color w:val="auto"/>
          <w:kern w:val="2"/>
          <w:sz w:val="32"/>
          <w:szCs w:val="32"/>
          <w:highlight w:val="none"/>
          <w:lang w:val="en-US" w:eastAsia="zh-CN" w:bidi="en-US"/>
        </w:rPr>
        <w:t>提升农副产品精深加工水平，培育壮大农业产业化龙头企业，支持企业开展深加工、精加工，开发高附加值产品，推动农产品从“初加工”向“精深加工”转变，延长产业链条，提高农产品附加值。</w:t>
      </w:r>
      <w:r>
        <w:rPr>
          <w:rFonts w:hint="default" w:ascii="Times New Roman" w:hAnsi="Times New Roman" w:eastAsia="仿宋_GB2312" w:cs="Times New Roman"/>
          <w:bCs/>
          <w:color w:val="auto"/>
          <w:kern w:val="2"/>
          <w:sz w:val="32"/>
          <w:szCs w:val="32"/>
          <w:highlight w:val="none"/>
          <w:lang w:val="en-US" w:eastAsia="zh-CN" w:bidi="en-US"/>
        </w:rPr>
        <w:t>完善冷链物流体系，建成覆盖全师的农产品冷链配送网络，降低鲜活农产品损耗率</w:t>
      </w:r>
      <w:r>
        <w:rPr>
          <w:rFonts w:hint="eastAsia" w:ascii="Times New Roman" w:hAnsi="Times New Roman" w:eastAsia="仿宋_GB2312" w:cs="Times New Roman"/>
          <w:bCs/>
          <w:color w:val="auto"/>
          <w:kern w:val="2"/>
          <w:sz w:val="32"/>
          <w:szCs w:val="32"/>
          <w:highlight w:val="none"/>
          <w:lang w:val="en-US" w:eastAsia="zh-CN" w:bidi="en-US"/>
        </w:rPr>
        <w:t>。强化农产品品牌建设，做强“灵峪双河”区域公共品牌，培育</w:t>
      </w:r>
      <w:r>
        <w:rPr>
          <w:rFonts w:hint="default" w:ascii="Times New Roman" w:hAnsi="Times New Roman" w:eastAsia="仿宋_GB2312" w:cs="Times New Roman"/>
          <w:bCs/>
          <w:color w:val="auto"/>
          <w:kern w:val="2"/>
          <w:sz w:val="32"/>
          <w:szCs w:val="32"/>
          <w:highlight w:val="none"/>
          <w:lang w:val="en-US" w:eastAsia="zh-CN" w:bidi="en-US"/>
        </w:rPr>
        <w:t>“双河葡萄”“双河蜜”</w:t>
      </w:r>
      <w:r>
        <w:rPr>
          <w:rFonts w:hint="eastAsia" w:ascii="Times New Roman" w:hAnsi="Times New Roman" w:eastAsia="仿宋_GB2312" w:cs="Times New Roman"/>
          <w:bCs/>
          <w:color w:val="auto"/>
          <w:kern w:val="2"/>
          <w:sz w:val="32"/>
          <w:szCs w:val="32"/>
          <w:highlight w:val="none"/>
          <w:lang w:val="en-US" w:eastAsia="zh-CN" w:bidi="en-US"/>
        </w:rPr>
        <w:t>特色农产品子品牌，加强品牌宣传推广，提升品牌知名度和影响力。</w:t>
      </w:r>
      <w:r>
        <w:rPr>
          <w:rFonts w:hint="default" w:ascii="Times New Roman" w:hAnsi="Times New Roman" w:eastAsia="仿宋_GB2312" w:cs="Times New Roman"/>
          <w:bCs/>
          <w:color w:val="auto"/>
          <w:kern w:val="2"/>
          <w:sz w:val="32"/>
          <w:szCs w:val="32"/>
          <w:highlight w:val="none"/>
          <w:lang w:val="en-US" w:eastAsia="zh-CN" w:bidi="en-US"/>
        </w:rPr>
        <w:t>培育休闲农业与乡村旅游示范点，开发葡萄采摘节、农民丰收节、牧业体验、特色民宿等文旅产品</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完善利益联结，推广“龙头企业+党支部+合作社+职工”发展模式，鼓励职工以土地、资金入股参与产业发展，实现产业增值收益向职工倾斜</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力争培育国家级农业产业化龙头企业2家</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主导产业从业人员人均可支配收入年均增长10%以上</w:t>
      </w:r>
      <w:r>
        <w:rPr>
          <w:rFonts w:hint="eastAsia" w:ascii="Times New Roman" w:hAnsi="Times New Roman" w:eastAsia="仿宋_GB2312" w:cs="Times New Roman"/>
          <w:bCs/>
          <w:color w:val="auto"/>
          <w:kern w:val="2"/>
          <w:sz w:val="32"/>
          <w:szCs w:val="32"/>
          <w:highlight w:val="none"/>
          <w:lang w:val="en-US" w:eastAsia="zh-CN" w:bidi="en-US"/>
        </w:rPr>
        <w:t>，</w:t>
      </w:r>
      <w:r>
        <w:rPr>
          <w:rFonts w:hint="default" w:ascii="Times New Roman" w:hAnsi="Times New Roman" w:eastAsia="仿宋_GB2312" w:cs="Times New Roman"/>
          <w:bCs/>
          <w:color w:val="auto"/>
          <w:kern w:val="2"/>
          <w:sz w:val="32"/>
          <w:szCs w:val="32"/>
          <w:highlight w:val="none"/>
          <w:lang w:val="en-US" w:eastAsia="zh-CN" w:bidi="en-US"/>
        </w:rPr>
        <w:t>农业休闲旅游</w:t>
      </w:r>
      <w:r>
        <w:rPr>
          <w:rFonts w:hint="eastAsia" w:ascii="Times New Roman" w:hAnsi="Times New Roman" w:eastAsia="仿宋_GB2312" w:cs="Times New Roman"/>
          <w:bCs/>
          <w:color w:val="auto"/>
          <w:kern w:val="2"/>
          <w:sz w:val="32"/>
          <w:szCs w:val="32"/>
          <w:highlight w:val="none"/>
          <w:lang w:val="en-US" w:eastAsia="zh-CN" w:bidi="en-US"/>
        </w:rPr>
        <w:t>业</w:t>
      </w:r>
      <w:r>
        <w:rPr>
          <w:rFonts w:hint="default" w:ascii="Times New Roman" w:hAnsi="Times New Roman" w:eastAsia="仿宋_GB2312" w:cs="Times New Roman"/>
          <w:bCs/>
          <w:color w:val="auto"/>
          <w:kern w:val="2"/>
          <w:sz w:val="32"/>
          <w:szCs w:val="32"/>
          <w:highlight w:val="none"/>
          <w:lang w:val="en-US" w:eastAsia="zh-CN" w:bidi="en-US"/>
        </w:rPr>
        <w:t>年接待量突破100万人次。</w:t>
      </w:r>
    </w:p>
    <w:bookmarkEnd w:id="44"/>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0CCB8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l2br w:val="nil"/>
              <w:tr2bl w:val="nil"/>
            </w:tcBorders>
            <w:vAlign w:val="center"/>
          </w:tcPr>
          <w:p w14:paraId="2D753034">
            <w:pPr>
              <w:pStyle w:val="11"/>
              <w:keepNext w:val="0"/>
              <w:keepLines w:val="0"/>
              <w:pageBreakBefore w:val="0"/>
              <w:widowControl w:val="0"/>
              <w:kinsoku/>
              <w:wordWrap w:val="0"/>
              <w:overflowPunct/>
              <w:topLinePunct w:val="0"/>
              <w:autoSpaceDE/>
              <w:autoSpaceDN/>
              <w:bidi w:val="0"/>
              <w:adjustRightInd/>
              <w:snapToGrid/>
              <w:spacing w:after="0"/>
              <w:ind w:left="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专栏7  优质特色农产品产业精深加工重大项目</w:t>
            </w:r>
          </w:p>
        </w:tc>
      </w:tr>
      <w:tr w14:paraId="1FD7E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14:paraId="4176F1E3">
            <w:pPr>
              <w:pStyle w:val="16"/>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仿宋_GB2312" w:cs="Times New Roman"/>
                <w:b w:val="0"/>
                <w:bCs w:val="0"/>
                <w:kern w:val="2"/>
                <w:sz w:val="28"/>
                <w:szCs w:val="28"/>
                <w:highlight w:val="none"/>
                <w:vertAlign w:val="baseline"/>
                <w:lang w:val="en-US" w:eastAsia="zh-CN" w:bidi="ar-SA"/>
              </w:rPr>
            </w:pPr>
            <w:r>
              <w:rPr>
                <w:rFonts w:hint="default" w:ascii="Times New Roman" w:hAnsi="Times New Roman" w:eastAsia="仿宋_GB2312" w:cs="Times New Roman"/>
                <w:b/>
                <w:bCs/>
                <w:kern w:val="2"/>
                <w:sz w:val="28"/>
                <w:szCs w:val="28"/>
                <w:highlight w:val="none"/>
                <w:vertAlign w:val="baseline"/>
                <w:lang w:val="en-US" w:eastAsia="zh-CN" w:bidi="ar-SA"/>
              </w:rPr>
              <w:t>农副产品精深加工产业项目</w:t>
            </w:r>
            <w:r>
              <w:rPr>
                <w:rFonts w:hint="default" w:ascii="Times New Roman" w:hAnsi="Times New Roman" w:eastAsia="仿宋_GB2312" w:cs="Times New Roman"/>
                <w:kern w:val="2"/>
                <w:sz w:val="28"/>
                <w:szCs w:val="28"/>
                <w:vertAlign w:val="baseline"/>
                <w:lang w:val="en-US" w:eastAsia="zh-CN" w:bidi="ar-SA"/>
              </w:rPr>
              <w:t>。</w:t>
            </w:r>
          </w:p>
          <w:p w14:paraId="56DE6957">
            <w:pPr>
              <w:pStyle w:val="16"/>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sz w:val="28"/>
                <w:szCs w:val="28"/>
                <w:lang w:val="en-US" w:eastAsia="zh-CN"/>
              </w:rPr>
            </w:pPr>
            <w:r>
              <w:rPr>
                <w:rFonts w:hint="eastAsia" w:ascii="Times New Roman" w:hAnsi="Times New Roman" w:eastAsia="仿宋_GB2312" w:cs="Times New Roman"/>
                <w:b/>
                <w:bCs/>
                <w:kern w:val="2"/>
                <w:sz w:val="28"/>
                <w:szCs w:val="28"/>
                <w:vertAlign w:val="baseline"/>
                <w:lang w:val="en-US" w:eastAsia="zh-CN" w:bidi="ar-SA"/>
              </w:rPr>
              <w:t>农产品品牌工程</w:t>
            </w:r>
            <w:r>
              <w:rPr>
                <w:rFonts w:hint="eastAsia" w:ascii="Times New Roman" w:hAnsi="Times New Roman" w:eastAsia="仿宋_GB2312" w:cs="Times New Roman"/>
                <w:kern w:val="2"/>
                <w:sz w:val="28"/>
                <w:szCs w:val="28"/>
                <w:vertAlign w:val="baseline"/>
                <w:lang w:val="en-US" w:eastAsia="zh-CN" w:bidi="ar-SA"/>
              </w:rPr>
              <w:t>。</w:t>
            </w:r>
          </w:p>
          <w:p w14:paraId="014DBF82">
            <w:pPr>
              <w:pStyle w:val="16"/>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农产品质量安全监管提升行动</w:t>
            </w:r>
            <w:r>
              <w:rPr>
                <w:rFonts w:hint="default" w:ascii="Times New Roman" w:hAnsi="Times New Roman" w:eastAsia="仿宋_GB2312" w:cs="Times New Roman"/>
                <w:kern w:val="2"/>
                <w:sz w:val="28"/>
                <w:szCs w:val="28"/>
                <w:vertAlign w:val="baseline"/>
                <w:lang w:val="en-US" w:eastAsia="zh-CN" w:bidi="ar-SA"/>
              </w:rPr>
              <w:t>。</w:t>
            </w:r>
          </w:p>
        </w:tc>
      </w:tr>
    </w:tbl>
    <w:p w14:paraId="345331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1F2329"/>
          <w:kern w:val="0"/>
          <w:sz w:val="32"/>
          <w:szCs w:val="32"/>
          <w:lang w:val="en-US" w:eastAsia="zh-CN" w:bidi="ar"/>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37E3FCE9">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47" w:name="_Toc11048"/>
      <w:r>
        <w:rPr>
          <w:rFonts w:hint="default" w:ascii="Times New Roman" w:hAnsi="Times New Roman" w:eastAsia="黑体" w:cs="Times New Roman"/>
          <w:b w:val="0"/>
          <w:bCs/>
          <w:color w:val="auto"/>
          <w:sz w:val="36"/>
          <w:szCs w:val="36"/>
          <w:highlight w:val="none"/>
          <w:lang w:val="en-US" w:eastAsia="zh-CN"/>
        </w:rPr>
        <w:t>提升农业机械化智能化水平</w:t>
      </w:r>
      <w:bookmarkEnd w:id="47"/>
    </w:p>
    <w:p w14:paraId="05BBD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r>
        <w:rPr>
          <w:rFonts w:hint="default" w:ascii="Times New Roman" w:hAnsi="Times New Roman" w:eastAsia="仿宋_GB2312" w:cs="Times New Roman"/>
          <w:b w:val="0"/>
          <w:bCs w:val="0"/>
          <w:color w:val="1F2329"/>
          <w:kern w:val="0"/>
          <w:sz w:val="32"/>
          <w:szCs w:val="32"/>
          <w:lang w:val="en-US" w:eastAsia="zh-CN"/>
        </w:rPr>
        <w:t>坚持以全程全面机械化为主线、智能化升级为方向，通过优化农机装备布局、狠抓标准化作业、健全社会化服务体系、实施重点项目牵引，全面提升现代农业装备保障水平。</w:t>
      </w:r>
    </w:p>
    <w:p w14:paraId="7081CE8B">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48" w:name="_Toc11260"/>
      <w:r>
        <w:rPr>
          <w:rFonts w:hint="default" w:ascii="Times New Roman" w:hAnsi="Times New Roman" w:eastAsia="仿宋_GB2312" w:cs="Times New Roman"/>
          <w:lang w:val="en-US" w:eastAsia="zh-CN"/>
        </w:rPr>
        <w:t>第一节 优化农机装备与配套建设</w:t>
      </w:r>
      <w:bookmarkEnd w:id="48"/>
    </w:p>
    <w:p w14:paraId="38EC82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精准聚焦产业配置装备。</w:t>
      </w:r>
      <w:r>
        <w:rPr>
          <w:rFonts w:hint="default" w:ascii="Times New Roman" w:hAnsi="Times New Roman" w:eastAsia="仿宋_GB2312" w:cs="Times New Roman"/>
          <w:bCs/>
          <w:color w:val="auto"/>
          <w:kern w:val="2"/>
          <w:sz w:val="32"/>
          <w:szCs w:val="32"/>
          <w:highlight w:val="none"/>
          <w:lang w:val="en-US" w:eastAsia="zh-CN" w:bidi="en-US"/>
        </w:rPr>
        <w:t>聚焦小麦、玉米等主粮作物，以及棉花、林果、设施农业等产业特色，统筹区域资源与产业需求，推动农机装备与宜机化改造、种植结构、产业</w:t>
      </w:r>
      <w:r>
        <w:rPr>
          <w:rFonts w:hint="default" w:ascii="Times New Roman" w:hAnsi="Times New Roman" w:eastAsia="仿宋_GB2312" w:cs="Times New Roman"/>
          <w:sz w:val="32"/>
          <w:szCs w:val="32"/>
          <w:lang w:val="en-US" w:eastAsia="zh-CN"/>
        </w:rPr>
        <w:t>规模精准匹配。粮食主产区重点配置300马力及以上大型拖拉机、大型谷物联</w:t>
      </w:r>
      <w:r>
        <w:rPr>
          <w:rFonts w:hint="default" w:ascii="Times New Roman" w:hAnsi="Times New Roman" w:eastAsia="仿宋_GB2312" w:cs="Times New Roman"/>
          <w:bCs/>
          <w:color w:val="auto"/>
          <w:kern w:val="2"/>
          <w:sz w:val="32"/>
          <w:szCs w:val="32"/>
          <w:highlight w:val="none"/>
          <w:lang w:val="en-US" w:eastAsia="zh-CN" w:bidi="en-US"/>
        </w:rPr>
        <w:t>合收割机，夯实粮食生产基础装备。世界一流棉花品质基地配齐整地、播种、采收、残膜回收全程机械化专用机具，适配品质提升需求。林果与设施农业配套精准管护机械，推广轻简型、多功能专用机械，破解特色产业装备短板。由此构建规模化生产区高端机械主导、特色产业区专用配套的农机装备布局体系，实现装备与产业精准适配。</w:t>
      </w:r>
    </w:p>
    <w:p w14:paraId="23AE55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完善装备更新配套机制。</w:t>
      </w:r>
      <w:r>
        <w:rPr>
          <w:rFonts w:hint="default" w:ascii="Times New Roman" w:hAnsi="Times New Roman" w:eastAsia="仿宋_GB2312" w:cs="Times New Roman"/>
          <w:bCs/>
          <w:color w:val="auto"/>
          <w:kern w:val="2"/>
          <w:sz w:val="32"/>
          <w:szCs w:val="32"/>
          <w:highlight w:val="none"/>
          <w:lang w:val="en-US" w:eastAsia="zh-CN" w:bidi="en-US"/>
        </w:rPr>
        <w:t>严格落实农机购置补贴政策，引导经营主体优先购置大型智能、绿色高效及特色作物专用农机，重点推广大马力拖拉机、精量播种机、联合收割机及植保无人机等先进装备。新增及更新农机具2000台（套），重点补齐小麦机收减损、玉米密植、棉花全程机械化等关键环节装备缺口。通过政策撬动、资金扶持，加</w:t>
      </w:r>
      <w:r>
        <w:rPr>
          <w:rFonts w:hint="default" w:ascii="Times New Roman" w:hAnsi="Times New Roman" w:eastAsia="仿宋_GB2312" w:cs="Times New Roman"/>
          <w:sz w:val="32"/>
          <w:szCs w:val="32"/>
          <w:lang w:val="en-US" w:eastAsia="zh-CN"/>
        </w:rPr>
        <w:t>快老旧低效机具淘汰退出，推动装备向大型化、智能化、绿色化转型。到2030年末，实</w:t>
      </w:r>
      <w:r>
        <w:rPr>
          <w:rFonts w:hint="default" w:ascii="Times New Roman" w:hAnsi="Times New Roman" w:eastAsia="仿宋_GB2312" w:cs="Times New Roman"/>
          <w:bCs/>
          <w:color w:val="auto"/>
          <w:kern w:val="2"/>
          <w:sz w:val="32"/>
          <w:szCs w:val="32"/>
          <w:highlight w:val="none"/>
          <w:lang w:val="en-US" w:eastAsia="zh-CN" w:bidi="en-US"/>
        </w:rPr>
        <w:t>现全域农机总动力稳定在44万千瓦，建成结构合理、效能优良的现代化农机装备体系。</w:t>
      </w:r>
    </w:p>
    <w:p w14:paraId="42000992">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49" w:name="_Toc4440"/>
      <w:r>
        <w:rPr>
          <w:rFonts w:hint="default" w:ascii="Times New Roman" w:hAnsi="Times New Roman" w:eastAsia="仿宋_GB2312" w:cs="Times New Roman"/>
          <w:lang w:val="en-US" w:eastAsia="zh-CN"/>
        </w:rPr>
        <w:t>第二节 强化农机标准化作业与智能化升级</w:t>
      </w:r>
      <w:bookmarkEnd w:id="49"/>
    </w:p>
    <w:p w14:paraId="62D813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全面推行全流程标准化作业。</w:t>
      </w:r>
      <w:r>
        <w:rPr>
          <w:rFonts w:hint="default" w:ascii="Times New Roman" w:hAnsi="Times New Roman" w:eastAsia="仿宋_GB2312" w:cs="Times New Roman"/>
          <w:bCs/>
          <w:color w:val="auto"/>
          <w:kern w:val="2"/>
          <w:sz w:val="32"/>
          <w:szCs w:val="32"/>
          <w:highlight w:val="none"/>
          <w:lang w:val="en-US" w:eastAsia="zh-CN" w:bidi="en-US"/>
        </w:rPr>
        <w:t>围绕主粮作物稳产增产、特色作物提质增效目标，全面推行农业机械化全流程标准化作业，持续加大现代化农机推广应用力度。着力推广大型拖拉机1000台、精量播种机900台、植保无人机200架、联合收割机50台、采棉机300台，实现示范基地耕种管收、病虫害统防统治、秸秆还田等全环节全程机械化、标准化作业。严格落实粮食机收减损管控要求，小麦损失率控制在1.2%之内、破损率控制在1%之内、含杂率控制在2%之内；玉米总损失率控制在4%之内、籽粒破损率控制在5%之内、含杂率控制在2.5%之内，茎秆切碎合格率达90%以上，全面提升农机作业效率、作业质量与粮食产出品质。</w:t>
      </w:r>
    </w:p>
    <w:p w14:paraId="34251A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加快推进农机智能化转型。</w:t>
      </w:r>
      <w:r>
        <w:rPr>
          <w:rFonts w:hint="default" w:ascii="Times New Roman" w:hAnsi="Times New Roman" w:eastAsia="仿宋_GB2312" w:cs="Times New Roman"/>
          <w:bCs/>
          <w:color w:val="auto"/>
          <w:kern w:val="2"/>
          <w:sz w:val="32"/>
          <w:szCs w:val="32"/>
          <w:highlight w:val="none"/>
          <w:lang w:val="en-US" w:eastAsia="zh-CN" w:bidi="en-US"/>
        </w:rPr>
        <w:t>以智能农机推广应用为抓手，大力普及植保无人机统防统治、北斗辅助驾驶、精准变量调控等智能装备与技术。统筹实施智能农机推广、多熟制农机具适配改良、棉花全程机械化升级、设施农业和林果机械化提升专项行动，集中力量补齐薄弱环节、薄弱区域机械化短板。到2030年末，实现主要农作物耕种收综合机械化率达到98%以上，全面建成智能化、高效化农业生产作业模式。</w:t>
      </w:r>
    </w:p>
    <w:p w14:paraId="2C6441BC">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50" w:name="_Toc6506"/>
      <w:r>
        <w:rPr>
          <w:rFonts w:hint="default" w:ascii="Times New Roman" w:hAnsi="Times New Roman" w:eastAsia="仿宋_GB2312" w:cs="Times New Roman"/>
          <w:lang w:val="en-US" w:eastAsia="zh-CN"/>
        </w:rPr>
        <w:t>第三节 健全农机社会化服务体系</w:t>
      </w:r>
      <w:bookmarkEnd w:id="50"/>
    </w:p>
    <w:p w14:paraId="4A44FB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培育壮大农机服务主体。</w:t>
      </w:r>
      <w:r>
        <w:rPr>
          <w:rFonts w:hint="default" w:ascii="Times New Roman" w:hAnsi="Times New Roman" w:eastAsia="仿宋_GB2312" w:cs="Times New Roman"/>
          <w:bCs/>
          <w:color w:val="auto"/>
          <w:kern w:val="2"/>
          <w:sz w:val="32"/>
          <w:szCs w:val="32"/>
          <w:highlight w:val="none"/>
          <w:lang w:val="en-US" w:eastAsia="zh-CN" w:bidi="en-US"/>
        </w:rPr>
        <w:t>强化服务规范引导，提升农机服务规范化、专业化水平。到2030年末，建成区域性农机服务中心7个，实现各团场农机服务全覆盖，以智能化手段全面赋能农机作业与管理，大幅提升农业生产标准化、集约化水平。</w:t>
      </w:r>
    </w:p>
    <w:p w14:paraId="6C023F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强化农机人才队伍建设。</w:t>
      </w:r>
      <w:r>
        <w:rPr>
          <w:rFonts w:hint="default" w:ascii="Times New Roman" w:hAnsi="Times New Roman" w:eastAsia="仿宋_GB2312" w:cs="Times New Roman"/>
          <w:bCs/>
          <w:color w:val="auto"/>
          <w:kern w:val="2"/>
          <w:sz w:val="32"/>
          <w:szCs w:val="32"/>
          <w:highlight w:val="none"/>
          <w:lang w:val="en-US" w:eastAsia="zh-CN" w:bidi="en-US"/>
        </w:rPr>
        <w:t>搭建分层分类、理论实操相结合的专业化人才培育体系，年均开展专项技能培训10场次，培育专业农机操作员1000名，破解农机人才短缺、技能老化、队伍断层等突出难题，为农机化高质量发展提供坚实的人才支撑。</w:t>
      </w:r>
    </w:p>
    <w:p w14:paraId="6CEF3F1D">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51" w:name="_Toc18862"/>
      <w:r>
        <w:rPr>
          <w:rFonts w:hint="default" w:ascii="Times New Roman" w:hAnsi="Times New Roman" w:eastAsia="仿宋_GB2312" w:cs="Times New Roman"/>
          <w:lang w:val="en-US" w:eastAsia="zh-CN"/>
        </w:rPr>
        <w:t>第四节 推进农机重点项目建设</w:t>
      </w:r>
      <w:bookmarkEnd w:id="51"/>
    </w:p>
    <w:p w14:paraId="6C93C9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农机推广项目。</w:t>
      </w:r>
      <w:r>
        <w:rPr>
          <w:rFonts w:hint="default" w:ascii="Times New Roman" w:hAnsi="Times New Roman" w:eastAsia="仿宋_GB2312" w:cs="Times New Roman"/>
          <w:bCs/>
          <w:color w:val="auto"/>
          <w:kern w:val="2"/>
          <w:sz w:val="32"/>
          <w:szCs w:val="32"/>
          <w:highlight w:val="none"/>
          <w:lang w:val="en-US" w:eastAsia="zh-CN" w:bidi="en-US"/>
        </w:rPr>
        <w:t>整合智能农机、多熟制农机具、棉花全程机械化及设施、林果机械化提升等相关项目，聚焦智能装备落地、专用农机适配，覆盖多作物各关键环节，开展农机推广、装备改造与技能培训，破解作业瓶颈，推动农业生产高效化、标准化、智能化转型。</w:t>
      </w:r>
    </w:p>
    <w:p w14:paraId="2F0DE6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
          <w:bCs w:val="0"/>
          <w:color w:val="auto"/>
          <w:kern w:val="2"/>
          <w:sz w:val="32"/>
          <w:szCs w:val="32"/>
          <w:highlight w:val="none"/>
          <w:lang w:val="en-US" w:eastAsia="zh-CN" w:bidi="en-US"/>
        </w:rPr>
        <w:t>农机装备提升项目。</w:t>
      </w:r>
      <w:r>
        <w:rPr>
          <w:rFonts w:hint="default" w:ascii="Times New Roman" w:hAnsi="Times New Roman" w:eastAsia="仿宋_GB2312" w:cs="Times New Roman"/>
          <w:bCs/>
          <w:color w:val="auto"/>
          <w:kern w:val="2"/>
          <w:sz w:val="32"/>
          <w:szCs w:val="32"/>
          <w:highlight w:val="none"/>
          <w:lang w:val="en-US" w:eastAsia="zh-CN" w:bidi="en-US"/>
        </w:rPr>
        <w:t>聚焦装备短板补齐，推动装备向大型化、智能化、绿色化转型，开展老旧农机更新改造，同步推进升级农机院、新建机务库房及农机具雨棚等基础配套，强化资金监管，严格落实补贴政策。</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47AA4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l2br w:val="nil"/>
              <w:tr2bl w:val="nil"/>
            </w:tcBorders>
            <w:vAlign w:val="center"/>
          </w:tcPr>
          <w:p w14:paraId="570039D6">
            <w:pPr>
              <w:pStyle w:val="11"/>
              <w:keepNext w:val="0"/>
              <w:keepLines w:val="0"/>
              <w:pageBreakBefore w:val="0"/>
              <w:widowControl w:val="0"/>
              <w:kinsoku/>
              <w:wordWrap w:val="0"/>
              <w:overflowPunct/>
              <w:topLinePunct w:val="0"/>
              <w:autoSpaceDE/>
              <w:autoSpaceDN/>
              <w:bidi w:val="0"/>
              <w:adjustRightInd/>
              <w:snapToGrid/>
              <w:spacing w:after="0"/>
              <w:ind w:left="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专栏</w:t>
            </w:r>
            <w:r>
              <w:rPr>
                <w:rFonts w:hint="eastAsia" w:eastAsia="仿宋_GB2312" w:cs="Times New Roman"/>
                <w:b/>
                <w:bCs/>
                <w:sz w:val="28"/>
                <w:szCs w:val="28"/>
                <w:vertAlign w:val="baseline"/>
                <w:lang w:val="en-US" w:eastAsia="zh-CN"/>
              </w:rPr>
              <w:t>8</w:t>
            </w:r>
            <w:r>
              <w:rPr>
                <w:rFonts w:hint="default" w:ascii="Times New Roman" w:hAnsi="Times New Roman" w:eastAsia="仿宋_GB2312" w:cs="Times New Roman"/>
                <w:b/>
                <w:bCs/>
                <w:sz w:val="28"/>
                <w:szCs w:val="28"/>
                <w:vertAlign w:val="baseline"/>
                <w:lang w:val="en-US" w:eastAsia="zh-CN"/>
              </w:rPr>
              <w:t xml:space="preserve">  农业机械化装备提升重大项目</w:t>
            </w:r>
          </w:p>
        </w:tc>
      </w:tr>
      <w:tr w14:paraId="54B8A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14:paraId="523F8E8D">
            <w:pPr>
              <w:pStyle w:val="16"/>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cs="Times New Roman"/>
                <w:lang w:val="en-US" w:eastAsia="zh-CN"/>
              </w:rPr>
            </w:pPr>
            <w:r>
              <w:rPr>
                <w:rFonts w:hint="eastAsia" w:ascii="Times New Roman" w:hAnsi="Times New Roman" w:eastAsia="仿宋_GB2312" w:cs="Times New Roman"/>
                <w:b/>
                <w:bCs/>
                <w:kern w:val="2"/>
                <w:sz w:val="28"/>
                <w:szCs w:val="28"/>
                <w:highlight w:val="none"/>
                <w:vertAlign w:val="baseline"/>
                <w:lang w:val="en-US" w:eastAsia="zh-CN" w:bidi="ar-SA"/>
              </w:rPr>
              <w:t>农机库改造</w:t>
            </w:r>
            <w:r>
              <w:rPr>
                <w:rFonts w:hint="default" w:ascii="Times New Roman" w:hAnsi="Times New Roman" w:eastAsia="仿宋_GB2312" w:cs="Times New Roman"/>
                <w:b/>
                <w:bCs/>
                <w:kern w:val="2"/>
                <w:sz w:val="28"/>
                <w:szCs w:val="28"/>
                <w:highlight w:val="none"/>
                <w:vertAlign w:val="baseline"/>
                <w:lang w:val="en-US" w:eastAsia="zh-CN" w:bidi="ar-SA"/>
              </w:rPr>
              <w:t>项目</w:t>
            </w:r>
            <w:r>
              <w:rPr>
                <w:rFonts w:hint="default" w:ascii="Times New Roman" w:hAnsi="Times New Roman" w:eastAsia="仿宋_GB2312" w:cs="Times New Roman"/>
                <w:b w:val="0"/>
                <w:bCs w:val="0"/>
                <w:kern w:val="2"/>
                <w:sz w:val="28"/>
                <w:szCs w:val="28"/>
                <w:vertAlign w:val="baseline"/>
                <w:lang w:val="en-US" w:eastAsia="zh-CN" w:bidi="ar-SA"/>
              </w:rPr>
              <w:t>。</w:t>
            </w:r>
          </w:p>
        </w:tc>
      </w:tr>
    </w:tbl>
    <w:p w14:paraId="7DC24E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1F2329"/>
          <w:kern w:val="0"/>
          <w:sz w:val="32"/>
          <w:szCs w:val="32"/>
          <w:lang w:val="en-US" w:eastAsia="zh-CN" w:bidi="ar"/>
        </w:rPr>
      </w:pPr>
    </w:p>
    <w:p w14:paraId="6B5DF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1F2329"/>
          <w:kern w:val="0"/>
          <w:sz w:val="32"/>
          <w:szCs w:val="32"/>
          <w:lang w:val="en-US" w:eastAsia="zh-CN" w:bidi="ar"/>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5DC52261">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52" w:name="_Toc19622"/>
      <w:r>
        <w:rPr>
          <w:rFonts w:hint="default" w:ascii="Times New Roman" w:hAnsi="Times New Roman" w:eastAsia="黑体" w:cs="Times New Roman"/>
          <w:b w:val="0"/>
          <w:bCs/>
          <w:color w:val="auto"/>
          <w:sz w:val="36"/>
          <w:szCs w:val="36"/>
          <w:highlight w:val="none"/>
          <w:lang w:val="en-US" w:eastAsia="zh-CN"/>
        </w:rPr>
        <w:t>建设宜居宜业和美连队</w:t>
      </w:r>
      <w:bookmarkEnd w:id="52"/>
    </w:p>
    <w:p w14:paraId="0DF9B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深入学习运用“千万工程”经验，结合连队资源禀赋和发展基础，片区化分类推进连队基础设施建设，推动连队基本具备现代化生活条件，进行打造城乡和谐的田园式家园。</w:t>
      </w:r>
    </w:p>
    <w:p w14:paraId="6D83A3D1">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53" w:name="_Toc229"/>
      <w:r>
        <w:rPr>
          <w:rFonts w:hint="default" w:ascii="Times New Roman" w:hAnsi="Times New Roman" w:eastAsia="仿宋_GB2312" w:cs="Times New Roman"/>
          <w:lang w:val="en-US" w:eastAsia="zh-CN"/>
        </w:rPr>
        <w:t>第一节 增强连队规划建设</w:t>
      </w:r>
      <w:bookmarkEnd w:id="53"/>
    </w:p>
    <w:p w14:paraId="4F4542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强化国土空间规划对连队和产业园区等空间布局的统筹，坚持因地制宜和分类指导，探索具有特色的连队建设模式，根据连队现有基础设施条件、常住人口、区位等因素，鼓励靠近温泉和赛里木湖的87团和88团，靠近精河县的91团、靠近怪石峪的84团、靠近双河市的89团的连队发展旅游民宿，鼓励交通优势明显的86团、90团、91团的连队发展集散物流，鼓励林果、蔬菜种植集中的连队发展冷链仓储，鼓励水、林、草资源丰富的连队发展特色种养。推进连队供水、供电、网络等基础设施升级，打造城乡和谐的田园式家园，分类打造乡村振兴“百连示范工程”连队60个。</w:t>
      </w:r>
    </w:p>
    <w:p w14:paraId="548B755B">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54" w:name="heading_36"/>
      <w:bookmarkStart w:id="55" w:name="_Toc868"/>
      <w:r>
        <w:rPr>
          <w:rFonts w:hint="default" w:ascii="Times New Roman" w:hAnsi="Times New Roman" w:eastAsia="仿宋_GB2312" w:cs="Times New Roman"/>
          <w:lang w:val="en-US" w:eastAsia="zh-CN"/>
        </w:rPr>
        <w:t xml:space="preserve">第二节 </w:t>
      </w:r>
      <w:bookmarkEnd w:id="54"/>
      <w:r>
        <w:rPr>
          <w:rFonts w:hint="default" w:ascii="Times New Roman" w:hAnsi="Times New Roman" w:eastAsia="仿宋_GB2312" w:cs="Times New Roman"/>
          <w:lang w:val="en-US" w:eastAsia="zh-CN"/>
        </w:rPr>
        <w:t>完善连队公共服务与环境整治</w:t>
      </w:r>
      <w:bookmarkEnd w:id="55"/>
    </w:p>
    <w:p w14:paraId="5EAC0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F2329"/>
          <w:kern w:val="0"/>
          <w:sz w:val="32"/>
          <w:szCs w:val="32"/>
          <w:lang w:val="en-US" w:eastAsia="zh-CN"/>
        </w:rPr>
      </w:pPr>
      <w:r>
        <w:rPr>
          <w:rFonts w:hint="default" w:ascii="Times New Roman" w:hAnsi="Times New Roman" w:eastAsia="仿宋_GB2312" w:cs="Times New Roman"/>
          <w:bCs/>
          <w:color w:val="auto"/>
          <w:kern w:val="2"/>
          <w:sz w:val="32"/>
          <w:szCs w:val="32"/>
          <w:highlight w:val="none"/>
          <w:lang w:val="en-US" w:eastAsia="zh-CN" w:bidi="en-US"/>
        </w:rPr>
        <w:t>持续优化连队公共服务资源布局，完善健全养老服务和团、连两级托幼服务等连队公共服务体系。持续实施连队人居环境整治提升行动，推进连队绿化美化，改善连队供给环境，完善连队人居环境整治长效机制。实施连队清洁行动，以“五清三化一改”为重点，扎实推进连队“厕所革命”、生活垃圾污水治理，落实“红黑榜”工作制，实现连队容貌整体提升。健全分类推进连队建设机制，强化生活垃圾、污水、黑臭水体治理。到2030年，连队厕所普及率达到98%以上，连队生活污水治理和有效管护率提升至86%；推进连队生活垃圾“户分类、连收集、团转运、师市处理”，配备垃圾分类箱，建设垃圾中转站，实现垃圾收运率100%；和美连队整团建成比例达到50%以上，连队风貌与生态质量显著改善。聚焦连队基本具备现代生活条件整体要求，分类打造乡村振兴“百连示范工程”连队60个。</w:t>
      </w:r>
    </w:p>
    <w:p w14:paraId="05B587FC">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56" w:name="_Toc23070"/>
      <w:r>
        <w:rPr>
          <w:rFonts w:hint="default" w:ascii="Times New Roman" w:hAnsi="Times New Roman" w:eastAsia="仿宋_GB2312" w:cs="Times New Roman"/>
          <w:lang w:val="en-US" w:eastAsia="zh-CN"/>
        </w:rPr>
        <w:t>第三节 加强数字乡村建设</w:t>
      </w:r>
      <w:bookmarkEnd w:id="56"/>
    </w:p>
    <w:p w14:paraId="25DB8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深入推进数字乡村发展，进一步完善连队网络基础设施，依托师市云计算大数据中心建设，健全农业数字化管理体系，加强农业数字化改造，聚焦农田、种植、畜牧、农机、电商、导航等领域，推动农业技术创新和全产业链数字化改造，逐步完善“农服云”应用功能。</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3F99C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000" w:type="pct"/>
            <w:tcBorders>
              <w:tl2br w:val="nil"/>
              <w:tr2bl w:val="nil"/>
            </w:tcBorders>
            <w:vAlign w:val="center"/>
          </w:tcPr>
          <w:p w14:paraId="718DD9AD">
            <w:pPr>
              <w:pStyle w:val="11"/>
              <w:keepNext w:val="0"/>
              <w:keepLines w:val="0"/>
              <w:pageBreakBefore w:val="0"/>
              <w:widowControl w:val="0"/>
              <w:kinsoku/>
              <w:wordWrap w:val="0"/>
              <w:overflowPunct/>
              <w:topLinePunct w:val="0"/>
              <w:autoSpaceDE/>
              <w:autoSpaceDN/>
              <w:bidi w:val="0"/>
              <w:adjustRightInd/>
              <w:snapToGrid w:val="0"/>
              <w:spacing w:after="0" w:line="240" w:lineRule="auto"/>
              <w:ind w:left="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专栏</w:t>
            </w:r>
            <w:r>
              <w:rPr>
                <w:rFonts w:hint="eastAsia" w:eastAsia="仿宋_GB2312" w:cs="Times New Roman"/>
                <w:b/>
                <w:bCs/>
                <w:sz w:val="28"/>
                <w:szCs w:val="28"/>
                <w:vertAlign w:val="baseline"/>
                <w:lang w:val="en-US" w:eastAsia="zh-CN"/>
              </w:rPr>
              <w:t>9</w:t>
            </w:r>
            <w:r>
              <w:rPr>
                <w:rFonts w:hint="default" w:ascii="Times New Roman" w:hAnsi="Times New Roman" w:eastAsia="仿宋_GB2312" w:cs="Times New Roman"/>
                <w:b/>
                <w:bCs/>
                <w:sz w:val="28"/>
                <w:szCs w:val="28"/>
                <w:vertAlign w:val="baseline"/>
                <w:lang w:val="en-US" w:eastAsia="zh-CN"/>
              </w:rPr>
              <w:t xml:space="preserve">  宜居宜业和美连队建设项目</w:t>
            </w:r>
          </w:p>
        </w:tc>
      </w:tr>
      <w:tr w14:paraId="4D6E9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tcBorders>
              <w:tl2br w:val="nil"/>
              <w:tr2bl w:val="nil"/>
            </w:tcBorders>
          </w:tcPr>
          <w:p w14:paraId="61359155">
            <w:pPr>
              <w:pStyle w:val="11"/>
              <w:keepNext w:val="0"/>
              <w:keepLines w:val="0"/>
              <w:pageBreakBefore w:val="0"/>
              <w:widowControl w:val="0"/>
              <w:kinsoku/>
              <w:wordWrap w:val="0"/>
              <w:overflowPunct/>
              <w:topLinePunct/>
              <w:autoSpaceDE/>
              <w:autoSpaceDN/>
              <w:bidi w:val="0"/>
              <w:adjustRightInd/>
              <w:snapToGrid/>
              <w:spacing w:after="0" w:line="500" w:lineRule="exact"/>
              <w:ind w:left="0" w:firstLine="562"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“百连示范工程”项目</w:t>
            </w:r>
            <w:r>
              <w:rPr>
                <w:rFonts w:hint="default" w:ascii="Times New Roman" w:hAnsi="Times New Roman" w:eastAsia="仿宋_GB2312" w:cs="Times New Roman"/>
                <w:b w:val="0"/>
                <w:bCs w:val="0"/>
                <w:kern w:val="2"/>
                <w:sz w:val="28"/>
                <w:szCs w:val="28"/>
                <w:vertAlign w:val="baseline"/>
                <w:lang w:val="en-US" w:eastAsia="zh-CN" w:bidi="ar-SA"/>
              </w:rPr>
              <w:t>。</w:t>
            </w:r>
          </w:p>
        </w:tc>
      </w:tr>
    </w:tbl>
    <w:p w14:paraId="5E30E679">
      <w:pPr>
        <w:rPr>
          <w:rFonts w:hint="default" w:ascii="Times New Roman" w:hAnsi="Times New Roman" w:cs="Times New Roman"/>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2704D0F">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57" w:name="_Toc18305"/>
      <w:r>
        <w:rPr>
          <w:rFonts w:hint="default" w:ascii="Times New Roman" w:hAnsi="Times New Roman" w:eastAsia="黑体" w:cs="Times New Roman"/>
          <w:b w:val="0"/>
          <w:bCs/>
          <w:color w:val="auto"/>
          <w:sz w:val="36"/>
          <w:szCs w:val="36"/>
          <w:highlight w:val="none"/>
          <w:lang w:val="en-US" w:eastAsia="zh-CN"/>
        </w:rPr>
        <w:t>加</w:t>
      </w:r>
      <w:r>
        <w:rPr>
          <w:rFonts w:hint="eastAsia" w:ascii="Times New Roman" w:hAnsi="Times New Roman" w:cs="Times New Roman"/>
          <w:b w:val="0"/>
          <w:bCs/>
          <w:color w:val="auto"/>
          <w:sz w:val="36"/>
          <w:szCs w:val="36"/>
          <w:highlight w:val="none"/>
          <w:lang w:val="en-US" w:eastAsia="zh-CN"/>
        </w:rPr>
        <w:t>强和</w:t>
      </w:r>
      <w:r>
        <w:rPr>
          <w:rFonts w:hint="default" w:ascii="Times New Roman" w:hAnsi="Times New Roman" w:eastAsia="黑体" w:cs="Times New Roman"/>
          <w:b w:val="0"/>
          <w:bCs/>
          <w:color w:val="auto"/>
          <w:sz w:val="36"/>
          <w:szCs w:val="36"/>
          <w:highlight w:val="none"/>
          <w:lang w:val="en-US" w:eastAsia="zh-CN"/>
        </w:rPr>
        <w:t>改进乡村治理</w:t>
      </w:r>
      <w:bookmarkEnd w:id="57"/>
    </w:p>
    <w:p w14:paraId="77F93E1F">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58" w:name="_Toc17942"/>
      <w:r>
        <w:rPr>
          <w:rFonts w:hint="default" w:ascii="Times New Roman" w:hAnsi="Times New Roman" w:eastAsia="仿宋_GB2312" w:cs="Times New Roman"/>
          <w:lang w:val="en-US" w:eastAsia="zh-CN"/>
        </w:rPr>
        <w:t>第一节 全面提升乡村治理效能</w:t>
      </w:r>
      <w:bookmarkEnd w:id="58"/>
    </w:p>
    <w:p w14:paraId="502FB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坚持和发展新时代“枫桥经验”，以政治为引领、自治为基础、法治为保障、德治为教化、智治为支撑，推动五治融合，全面提升乡村治理效能，打造新时代共建共治共享基层治理格局。着力增强基层党组织政治功能和组织功能，深入推进抓党建促乡村全面振兴，建好建强连队基层党组织，加强连队党员和“两委”教育培训，培养选优配强连队支部书记。落实民主议事程序，将重大项目建设、大额资金使用、公共基础设施建管等内容纳入连队重大事务管理决策范围，充分保障职工群众的知情权和监督权。</w:t>
      </w:r>
    </w:p>
    <w:p w14:paraId="5D5CE7D1">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59" w:name="_Toc25543"/>
      <w:r>
        <w:rPr>
          <w:rFonts w:hint="default" w:ascii="Times New Roman" w:hAnsi="Times New Roman" w:eastAsia="仿宋_GB2312" w:cs="Times New Roman"/>
          <w:lang w:val="en-US" w:eastAsia="zh-CN"/>
        </w:rPr>
        <w:t>第二节 加强精神文明建设</w:t>
      </w:r>
      <w:bookmarkEnd w:id="59"/>
    </w:p>
    <w:p w14:paraId="4E117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弘扬和践行社会主义核心价值观，巩固提升新时代文明实践中心农业农村相关功能建设，大力传承和弘扬中华优秀传统文化，弘扬兵团精神、胡杨精神和老兵精神。加强团场和连队农业农村相关历史文化遗产保护传承和活化利用，办好中国农民丰收节及农业相关节庆活动，落实兵团精神文明建设部署中农业农村相关要求。</w:t>
      </w:r>
    </w:p>
    <w:p w14:paraId="58EF68BC">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60" w:name="_Toc13649"/>
      <w:r>
        <w:rPr>
          <w:rFonts w:hint="default" w:ascii="Times New Roman" w:hAnsi="Times New Roman" w:eastAsia="仿宋_GB2312" w:cs="Times New Roman"/>
          <w:lang w:val="en-US" w:eastAsia="zh-CN"/>
        </w:rPr>
        <w:t>第三节 持续推进连队移风易俗</w:t>
      </w:r>
      <w:bookmarkEnd w:id="60"/>
    </w:p>
    <w:p w14:paraId="233DC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加强文明乡风建设，开展文明连队、文明家庭创建，强化道德教化和激励约束，培育典型模范，以榜样的力量引导凝聚群众崇德向善。推广运用“清单制”“积分制”，选树一批乡村治理典型案例，形成科学可用的经验做法。持续推进连队农业农村领域移风易俗，加强农业农村科普阵地建设，反对封建迷信、人情攀比、大操大办，加强农业农村领域民族团结进步宣传教育。</w:t>
      </w:r>
    </w:p>
    <w:p w14:paraId="701A10AE">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61" w:name="_Toc7180"/>
      <w:bookmarkStart w:id="62" w:name="heading_41"/>
      <w:r>
        <w:rPr>
          <w:rFonts w:hint="default" w:ascii="Times New Roman" w:hAnsi="Times New Roman" w:eastAsia="仿宋_GB2312" w:cs="Times New Roman"/>
          <w:lang w:val="en-US" w:eastAsia="zh-CN"/>
        </w:rPr>
        <w:t>第四节 强化治理管控</w:t>
      </w:r>
      <w:bookmarkEnd w:id="61"/>
      <w:bookmarkEnd w:id="62"/>
    </w:p>
    <w:p w14:paraId="1B3D8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聚焦农业农村领域风险防控，健全涉农矛盾纠纷多元调处机制，重点化解土地承包、农资供应、农产品产销等领域矛盾，依托连队基层党组织、合作社，搭建便捷高效的矛盾调解平台，及时化解职工群众诉求，维护农业生产秩序和职工合法权益。强化农业农村领域法治建设，常态化开展农业普法宣传，重点普及耕地保护、种子管理、农产品质量安全、农机安全等相关法律法规，提升基层党员、职工群众农业法治素养，引导职工依法从事农业生产、依法解决矛盾纠纷。</w:t>
      </w:r>
    </w:p>
    <w:p w14:paraId="0EFC2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default" w:ascii="Times New Roman" w:hAnsi="Times New Roman" w:eastAsia="仿宋_GB2312" w:cs="Times New Roman"/>
          <w:bCs/>
          <w:color w:val="auto"/>
          <w:kern w:val="2"/>
          <w:sz w:val="32"/>
          <w:szCs w:val="32"/>
          <w:highlight w:val="none"/>
          <w:lang w:val="en-US" w:eastAsia="zh-CN" w:bidi="en-US"/>
        </w:rPr>
        <w:t>加强农业生产安全管控，强化农机作业安全、农产品生产安全、畜禽水产养殖安全监管，开展常态化安全排查整治，及时消除安全隐患。规范农资市场秩序，配合相关部门加强农资质量监管，严厉打击假劣种子、化肥、农药等违法违规行为，保障农业生产资料安全。完善农业农村领域应急管理体系，聚焦洪涝、干旱、病虫害等农业灾害，强化气象人影监测预报预警能力，健全监测预警、应急处置机制，加强应急物资储备和技术指导，提升农业防灾减灾能力，助力筑牢屯垦戍边农业安全屏障，推动农业农村领域治理有序、平稳发展。</w:t>
      </w:r>
    </w:p>
    <w:p w14:paraId="5F09E570">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lang w:val="en-US" w:eastAsia="zh-CN"/>
        </w:rPr>
        <w:t xml:space="preserve"> </w:t>
      </w:r>
      <w:bookmarkStart w:id="63" w:name="_Toc1088"/>
      <w:r>
        <w:rPr>
          <w:rFonts w:hint="default" w:ascii="Times New Roman" w:hAnsi="Times New Roman" w:eastAsia="黑体" w:cs="Times New Roman"/>
          <w:b w:val="0"/>
          <w:bCs/>
          <w:color w:val="auto"/>
          <w:sz w:val="36"/>
          <w:szCs w:val="36"/>
          <w:highlight w:val="none"/>
          <w:lang w:val="en-US" w:eastAsia="zh-CN"/>
        </w:rPr>
        <w:t>深化改革与融合发展</w:t>
      </w:r>
      <w:bookmarkEnd w:id="63"/>
    </w:p>
    <w:p w14:paraId="7B30EA39">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64" w:name="_Toc11044"/>
      <w:r>
        <w:rPr>
          <w:rFonts w:hint="default" w:ascii="Times New Roman" w:hAnsi="Times New Roman" w:eastAsia="仿宋_GB2312" w:cs="Times New Roman"/>
          <w:lang w:val="en-US" w:eastAsia="zh-CN"/>
        </w:rPr>
        <w:t>第一节 完善经营与服务体系</w:t>
      </w:r>
      <w:bookmarkEnd w:id="64"/>
    </w:p>
    <w:p w14:paraId="1264F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巩固改革成果，完善以职工承包经营为基础，合作与联合为纽带，社会化服务为支撑，规模化、产业化经营为方向，三位一体”机制与维稳戍边职责使命相适应的连队基本经营制度。利用师市农业社会化服务数字平台，推动身份地经营权流转、经营地竞拍租赁规范有序，实现农用地管理法治化、信息化、规范化。坚持以职工家庭经营为基础，培育家庭农场、合作社等新型经营主体，推广“合作社+家庭农场+职工”模式，构建紧密的利益联结机制。完善农业社会化服务体系，健全师、团、连农业技术服务体系，整合师市农业专家对团场和连队分片包联服务，为职工提供便捷高效的农技、农资、农机等服务。</w:t>
      </w:r>
    </w:p>
    <w:p w14:paraId="4A93420F">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65" w:name="_Toc14826"/>
      <w:r>
        <w:rPr>
          <w:rFonts w:hint="default" w:ascii="Times New Roman" w:hAnsi="Times New Roman" w:eastAsia="仿宋_GB2312" w:cs="Times New Roman"/>
          <w:lang w:val="en-US" w:eastAsia="zh-CN"/>
        </w:rPr>
        <w:t>第二节 强化政策支持与连队经济发展</w:t>
      </w:r>
      <w:bookmarkEnd w:id="65"/>
    </w:p>
    <w:p w14:paraId="5AD21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加大强农惠农政策支持力度，积极争取国家、兵团项目资金，引导金融机构加大对农业农村发展的信贷投入，扩大农业保险保障范围，有效发挥农业补贴政策效用，落实兵团强农惠农政策部署。发展各具特色的团场和连队经济，依托优质农产品供给基地建设，推动一二三产业深度融合，发展壮大特色产业，培育新产业新业态。到2030年，力争亿元产值连队达到40个。</w:t>
      </w:r>
    </w:p>
    <w:p w14:paraId="07ACF953">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66" w:name="_Toc23926"/>
      <w:r>
        <w:rPr>
          <w:rFonts w:hint="default" w:ascii="Times New Roman" w:hAnsi="Times New Roman" w:eastAsia="仿宋_GB2312" w:cs="Times New Roman"/>
          <w:lang w:val="en-US" w:eastAsia="zh-CN"/>
        </w:rPr>
        <w:t>第三节 持续巩固拓展脱贫攻坚成果</w:t>
      </w:r>
      <w:bookmarkEnd w:id="66"/>
    </w:p>
    <w:p w14:paraId="57B31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Cs/>
          <w:sz w:val="32"/>
          <w:szCs w:val="32"/>
          <w:highlight w:val="none"/>
          <w:lang w:val="en-US" w:bidi="en-US"/>
        </w:rPr>
      </w:pPr>
      <w:r>
        <w:rPr>
          <w:rFonts w:hint="default" w:ascii="Times New Roman" w:hAnsi="Times New Roman" w:eastAsia="仿宋_GB2312" w:cs="Times New Roman"/>
          <w:b/>
          <w:bCs w:val="0"/>
          <w:kern w:val="2"/>
          <w:sz w:val="32"/>
          <w:szCs w:val="32"/>
          <w:lang w:val="en-US" w:eastAsia="zh-CN" w:bidi="en-US"/>
        </w:rPr>
        <w:t>健全常态化帮扶机制。</w:t>
      </w:r>
      <w:r>
        <w:rPr>
          <w:rFonts w:hint="default" w:ascii="Times New Roman" w:hAnsi="Times New Roman" w:eastAsia="仿宋_GB2312" w:cs="Times New Roman"/>
          <w:bCs/>
          <w:kern w:val="2"/>
          <w:sz w:val="32"/>
          <w:szCs w:val="32"/>
          <w:lang w:val="en-US" w:eastAsia="zh-CN" w:bidi="en-US"/>
        </w:rPr>
        <w:t>坚持“摘帽不摘责任、摘帽不摘政策、</w:t>
      </w:r>
      <w:r>
        <w:rPr>
          <w:rFonts w:hint="default" w:ascii="Times New Roman" w:hAnsi="Times New Roman" w:eastAsia="仿宋_GB2312" w:cs="Times New Roman"/>
          <w:bCs/>
          <w:kern w:val="2"/>
          <w:sz w:val="32"/>
          <w:szCs w:val="32"/>
          <w:highlight w:val="none"/>
          <w:lang w:val="en-US" w:eastAsia="zh-CN" w:bidi="en-US"/>
        </w:rPr>
        <w:t>摘帽不摘帮扶、摘帽不摘监管”，严格落实兵团巩固拓展脱贫攻坚成果部署，完善防止返贫致贫常态化帮扶机制，健全监测预警体系，定期开展排查监测，精准识别帮扶对象，实行动态精准帮扶。强化产业帮扶，依托优质农产品供给基地建设，引导帮扶对象参与种植、养殖、农产品加工等产业，拓宽增收渠道，增强自我发展能力。完善就业帮扶机制，将高素质农工培训纳入帮扶内容，开展针对性技能培训，推动帮扶对象就近就业、稳定就业，确保不发生规模性返贫，落实兵团防止返贫底线要求。</w:t>
      </w:r>
    </w:p>
    <w:p w14:paraId="1BECB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Cs/>
          <w:sz w:val="32"/>
          <w:szCs w:val="32"/>
          <w:highlight w:val="none"/>
          <w:lang w:val="en-US" w:bidi="en-US"/>
        </w:rPr>
      </w:pPr>
      <w:r>
        <w:rPr>
          <w:rFonts w:hint="default" w:ascii="Times New Roman" w:hAnsi="Times New Roman" w:eastAsia="仿宋_GB2312" w:cs="Times New Roman"/>
          <w:b/>
          <w:bCs w:val="0"/>
          <w:kern w:val="2"/>
          <w:sz w:val="32"/>
          <w:szCs w:val="32"/>
          <w:highlight w:val="none"/>
          <w:lang w:val="en-US" w:eastAsia="zh-CN" w:bidi="en-US"/>
        </w:rPr>
        <w:t>优化帮扶政策与资产管护。</w:t>
      </w:r>
      <w:r>
        <w:rPr>
          <w:rFonts w:hint="default" w:ascii="Times New Roman" w:hAnsi="Times New Roman" w:eastAsia="仿宋_GB2312" w:cs="Times New Roman"/>
          <w:bCs/>
          <w:kern w:val="2"/>
          <w:sz w:val="32"/>
          <w:szCs w:val="32"/>
          <w:highlight w:val="none"/>
          <w:lang w:val="en-US" w:eastAsia="zh-CN" w:bidi="en-US"/>
        </w:rPr>
        <w:t>提升帮扶实效，落实兵团帮扶资金使用要求。加强帮扶项目资产管护，完善资产管理制度，明确管护责任，规范资产运营，确保帮扶项目资产持续发挥效益，带动广大职工群众就近就便就业增收。</w:t>
      </w:r>
    </w:p>
    <w:p w14:paraId="02A1D04B">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67" w:name="_Toc13480"/>
      <w:r>
        <w:rPr>
          <w:rFonts w:hint="default" w:ascii="Times New Roman" w:hAnsi="Times New Roman" w:eastAsia="仿宋_GB2312" w:cs="Times New Roman"/>
          <w:lang w:val="en-US" w:eastAsia="zh-CN"/>
        </w:rPr>
        <w:t>第四节 深化一二三产业融合发展</w:t>
      </w:r>
      <w:bookmarkEnd w:id="67"/>
    </w:p>
    <w:p w14:paraId="5587A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Cs/>
          <w:sz w:val="32"/>
          <w:szCs w:val="32"/>
          <w:lang w:val="en-US" w:bidi="en-US"/>
        </w:rPr>
      </w:pPr>
      <w:r>
        <w:rPr>
          <w:rFonts w:hint="default" w:ascii="Times New Roman" w:hAnsi="Times New Roman" w:eastAsia="仿宋_GB2312" w:cs="Times New Roman"/>
          <w:b/>
          <w:bCs w:val="0"/>
          <w:kern w:val="2"/>
          <w:sz w:val="32"/>
          <w:szCs w:val="32"/>
          <w:lang w:val="en-US" w:eastAsia="zh-CN" w:bidi="en-US"/>
        </w:rPr>
        <w:t>优化空间布局，创新融合发展模式。</w:t>
      </w:r>
      <w:r>
        <w:rPr>
          <w:rFonts w:hint="default" w:ascii="Times New Roman" w:hAnsi="Times New Roman" w:eastAsia="仿宋_GB2312" w:cs="Times New Roman"/>
          <w:bCs/>
          <w:kern w:val="2"/>
          <w:sz w:val="32"/>
          <w:szCs w:val="32"/>
          <w:lang w:val="en-US" w:eastAsia="zh-CN" w:bidi="en-US"/>
        </w:rPr>
        <w:t>立足师市资源禀赋、区位优势和产业基础，以创建国家级现代农业产业园为引领，建设优质粮食供给基地、优质棉供给基地、优质林果供给基地、优质畜牧水产供给基地、现代设施农业高端农产品供给基地、绿色循环优质示范基地，构建“一园六基地”的一二三产业融合发展总体空间格局，统筹生产、加工、流通、服务等功能布局，推动生产要素集聚、区域协同发展，形成全域统筹、链条延伸的融合发展体系。</w:t>
      </w:r>
    </w:p>
    <w:p w14:paraId="68D42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Cs/>
          <w:sz w:val="32"/>
          <w:szCs w:val="32"/>
          <w:highlight w:val="none"/>
          <w:lang w:val="en-US" w:bidi="en-US"/>
        </w:rPr>
      </w:pPr>
      <w:r>
        <w:rPr>
          <w:rFonts w:hint="default" w:ascii="Times New Roman" w:hAnsi="Times New Roman" w:eastAsia="仿宋_GB2312" w:cs="Times New Roman"/>
          <w:b/>
          <w:bCs w:val="0"/>
          <w:kern w:val="2"/>
          <w:sz w:val="32"/>
          <w:szCs w:val="32"/>
          <w:lang w:val="en-US" w:eastAsia="zh-CN" w:bidi="en-US"/>
        </w:rPr>
        <w:t>打造特色产业链，搭建融合服务平台。</w:t>
      </w:r>
      <w:r>
        <w:rPr>
          <w:rFonts w:hint="default" w:ascii="Times New Roman" w:hAnsi="Times New Roman" w:eastAsia="仿宋_GB2312" w:cs="Times New Roman"/>
          <w:bCs/>
          <w:kern w:val="2"/>
          <w:sz w:val="32"/>
          <w:szCs w:val="32"/>
          <w:lang w:val="en-US" w:eastAsia="zh-CN" w:bidi="en-US"/>
        </w:rPr>
        <w:t>围绕师市优势特色产业，重点推动棉花、粮食、林果、生猪、肉牛等重点产业全链条升级，推动农产品从初级生产向精深加工转变，实现各环节增值收益叠加。棉花、粮食、林果产业链聚焦制种、标准化种植、精深加工贸易一体化，生猪、肉牛产业链构建生态循环养殖与肉制品深加工链条。强化农技指导、质量追溯、智慧农业管控等服务，推行生产全</w:t>
      </w:r>
      <w:r>
        <w:rPr>
          <w:rFonts w:hint="default" w:ascii="Times New Roman" w:hAnsi="Times New Roman" w:eastAsia="仿宋_GB2312" w:cs="Times New Roman"/>
          <w:bCs/>
          <w:kern w:val="2"/>
          <w:sz w:val="32"/>
          <w:szCs w:val="32"/>
          <w:highlight w:val="none"/>
          <w:lang w:val="en-US" w:eastAsia="zh-CN" w:bidi="en-US"/>
        </w:rPr>
        <w:t>程标准化。</w:t>
      </w:r>
    </w:p>
    <w:p w14:paraId="6709F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Cs/>
          <w:sz w:val="32"/>
          <w:szCs w:val="32"/>
          <w:lang w:val="en-US" w:bidi="en-US"/>
        </w:rPr>
      </w:pPr>
      <w:r>
        <w:rPr>
          <w:rFonts w:hint="default" w:ascii="Times New Roman" w:hAnsi="Times New Roman" w:eastAsia="仿宋_GB2312" w:cs="Times New Roman"/>
          <w:b/>
          <w:bCs w:val="0"/>
          <w:kern w:val="2"/>
          <w:sz w:val="32"/>
          <w:szCs w:val="32"/>
          <w:highlight w:val="none"/>
          <w:lang w:val="en-US" w:eastAsia="zh-CN" w:bidi="en-US"/>
        </w:rPr>
        <w:t>培育多元经营主体，健全利益联结机制。</w:t>
      </w:r>
      <w:r>
        <w:rPr>
          <w:rFonts w:hint="default" w:ascii="Times New Roman" w:hAnsi="Times New Roman" w:eastAsia="仿宋_GB2312" w:cs="Times New Roman"/>
          <w:bCs/>
          <w:kern w:val="2"/>
          <w:sz w:val="32"/>
          <w:szCs w:val="32"/>
          <w:highlight w:val="none"/>
          <w:lang w:val="en-US" w:eastAsia="zh-CN" w:bidi="en-US"/>
        </w:rPr>
        <w:t>强化合作社、家庭农场的基础作用，支持其发展加工、销售、乡村旅游等业务；培育农业产业化龙头企业，引导其建设标准化原料基地，带动职工开展适度规模经营；发挥供销合作社综合服务优势，推动与新型经营主体对接。坚持保障职工群众利益为核心，推动各类经营主体与职工形成“风险共担、利益共享”的共同体，让职</w:t>
      </w:r>
      <w:r>
        <w:rPr>
          <w:rFonts w:hint="default" w:ascii="Times New Roman" w:hAnsi="Times New Roman" w:eastAsia="仿宋_GB2312" w:cs="Times New Roman"/>
          <w:bCs/>
          <w:kern w:val="2"/>
          <w:sz w:val="32"/>
          <w:szCs w:val="32"/>
          <w:lang w:val="en-US" w:eastAsia="zh-CN" w:bidi="en-US"/>
        </w:rPr>
        <w:t>工群众更多分享产业融合增值收益。</w:t>
      </w:r>
    </w:p>
    <w:p w14:paraId="30B32897">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bCs/>
          <w:kern w:val="2"/>
          <w:sz w:val="32"/>
          <w:szCs w:val="32"/>
          <w:lang w:val="en-US" w:eastAsia="zh-CN" w:bidi="en-US"/>
        </w:rPr>
      </w:pPr>
      <w:bookmarkStart w:id="68" w:name="_Toc5436"/>
      <w:r>
        <w:rPr>
          <w:rFonts w:hint="default" w:ascii="Times New Roman" w:hAnsi="Times New Roman" w:eastAsia="仿宋_GB2312" w:cs="Times New Roman"/>
          <w:lang w:val="en-US" w:eastAsia="zh-CN"/>
        </w:rPr>
        <w:t>第五节 促进城乡融合发展</w:t>
      </w:r>
      <w:bookmarkEnd w:id="68"/>
    </w:p>
    <w:p w14:paraId="6833B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健全完善城乡融合发展体制机制，推动国土空间规划向乡村延伸和覆盖，实现城乡国土空间统一开发和保护。推进农业农村领域公共基础设施向连队覆盖、向户延伸，</w:t>
      </w:r>
      <w:r>
        <w:rPr>
          <w:rFonts w:hint="eastAsia" w:ascii="Times New Roman" w:hAnsi="Times New Roman" w:eastAsia="仿宋_GB2312" w:cs="Times New Roman"/>
          <w:bCs/>
          <w:color w:val="auto"/>
          <w:kern w:val="2"/>
          <w:sz w:val="32"/>
          <w:szCs w:val="32"/>
          <w:highlight w:val="none"/>
          <w:lang w:val="en-US" w:eastAsia="zh-CN" w:bidi="en-US"/>
        </w:rPr>
        <w:t>推动城市资源、技术、人才等向农村倾斜，提升农村发展水平，缩小城乡差距，</w:t>
      </w:r>
      <w:r>
        <w:rPr>
          <w:rFonts w:hint="default" w:ascii="Times New Roman" w:hAnsi="Times New Roman" w:eastAsia="仿宋_GB2312" w:cs="Times New Roman"/>
          <w:bCs/>
          <w:color w:val="auto"/>
          <w:kern w:val="2"/>
          <w:sz w:val="32"/>
          <w:szCs w:val="32"/>
          <w:highlight w:val="none"/>
          <w:lang w:val="en-US" w:eastAsia="zh-CN" w:bidi="en-US"/>
        </w:rPr>
        <w:t>缩小城乡在农业农村基础设施方面的差距，逐步实现城乡居民平等享有社会福利待遇，推动城乡农业农村要素平等交换、双向流动。</w:t>
      </w:r>
    </w:p>
    <w:p w14:paraId="16E00296">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69" w:name="_Toc32241"/>
      <w:r>
        <w:rPr>
          <w:rFonts w:hint="default" w:ascii="Times New Roman" w:hAnsi="Times New Roman" w:eastAsia="仿宋_GB2312" w:cs="Times New Roman"/>
          <w:lang w:val="en-US" w:eastAsia="zh-CN"/>
        </w:rPr>
        <w:t>第六节 深化兵地融合发展</w:t>
      </w:r>
      <w:bookmarkEnd w:id="69"/>
    </w:p>
    <w:p w14:paraId="38759F13">
      <w:pPr>
        <w:keepNext w:val="0"/>
        <w:keepLines w:val="0"/>
        <w:widowControl w:val="0"/>
        <w:suppressLineNumbers w:val="0"/>
        <w:spacing w:before="0" w:beforeAutospacing="0" w:after="0" w:afterAutospacing="0" w:line="560" w:lineRule="exact"/>
        <w:ind w:left="0" w:right="0" w:firstLine="640" w:firstLineChars="200"/>
        <w:jc w:val="both"/>
        <w:rPr>
          <w:rFonts w:hint="eastAsia" w:ascii="Times New Roman" w:hAnsi="Times New Roman" w:eastAsia="仿宋_GB2312" w:cs="Times New Roman"/>
          <w:bCs/>
          <w:kern w:val="2"/>
          <w:sz w:val="32"/>
          <w:szCs w:val="32"/>
          <w:lang w:val="en-US" w:eastAsia="zh-CN" w:bidi="en-US"/>
        </w:rPr>
      </w:pPr>
      <w:r>
        <w:rPr>
          <w:rFonts w:hint="eastAsia" w:ascii="Times New Roman" w:hAnsi="Times New Roman" w:eastAsia="仿宋_GB2312" w:cs="Times New Roman"/>
          <w:bCs/>
          <w:kern w:val="2"/>
          <w:sz w:val="32"/>
          <w:szCs w:val="32"/>
          <w:lang w:val="en-US" w:eastAsia="zh-CN" w:bidi="en-US"/>
        </w:rPr>
        <w:t>深化兵地融合发展，主动融入地方发展大局，加强兵地农业合作，实现资源共享、优势互补、协同发展，推动兵地农业共同高质量发展。加强兵地农业技术合作，建立兵地农业技术交流机制，</w:t>
      </w:r>
      <w:r>
        <w:rPr>
          <w:rFonts w:hint="default" w:ascii="Times New Roman" w:hAnsi="Times New Roman" w:eastAsia="仿宋_GB2312" w:cs="Times New Roman"/>
          <w:bCs/>
          <w:kern w:val="2"/>
          <w:sz w:val="32"/>
          <w:szCs w:val="32"/>
          <w:lang w:val="en-US" w:eastAsia="zh-CN" w:bidi="en-US"/>
        </w:rPr>
        <w:t>共享科研资源</w:t>
      </w:r>
      <w:r>
        <w:rPr>
          <w:rFonts w:hint="eastAsia" w:ascii="Times New Roman" w:hAnsi="Times New Roman" w:eastAsia="仿宋_GB2312" w:cs="Times New Roman"/>
          <w:bCs/>
          <w:kern w:val="2"/>
          <w:sz w:val="32"/>
          <w:szCs w:val="32"/>
          <w:lang w:val="en-US" w:eastAsia="zh-CN" w:bidi="en-US"/>
        </w:rPr>
        <w:t>，共享农业技术成果。推动兵地农业资源共享，加强兵地土地、水利、农机等农业资源整合利用，实现资源优化配置，提高资源利用效率。加强兵地人才交流合作，推动兵地农业人才双向流动，共享人才资源，提升兵地农业人才队伍素质。</w:t>
      </w:r>
    </w:p>
    <w:p w14:paraId="3D3466A0">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仿宋_GB2312" w:cs="Times New Roman"/>
          <w:bCs/>
          <w:kern w:val="2"/>
          <w:sz w:val="32"/>
          <w:szCs w:val="32"/>
          <w:lang w:val="en-US" w:eastAsia="zh-CN" w:bidi="en-US"/>
        </w:rPr>
      </w:pPr>
      <w:r>
        <w:rPr>
          <w:rFonts w:hint="default" w:ascii="Times New Roman" w:hAnsi="Times New Roman" w:eastAsia="仿宋_GB2312" w:cs="Times New Roman"/>
          <w:bCs/>
          <w:kern w:val="2"/>
          <w:sz w:val="32"/>
          <w:szCs w:val="32"/>
          <w:lang w:val="en-US" w:eastAsia="zh-CN" w:bidi="en-US"/>
        </w:rPr>
        <w:t>加强兵地优质农产品品牌共建，整合兵地品牌资源，共同打造区域公共品牌</w:t>
      </w:r>
      <w:r>
        <w:rPr>
          <w:rFonts w:hint="eastAsia" w:ascii="Times New Roman" w:hAnsi="Times New Roman" w:eastAsia="仿宋_GB2312" w:cs="Times New Roman"/>
          <w:bCs/>
          <w:kern w:val="2"/>
          <w:sz w:val="32"/>
          <w:szCs w:val="32"/>
          <w:lang w:val="en-US" w:eastAsia="zh-CN" w:bidi="en-US"/>
        </w:rPr>
        <w:t>，</w:t>
      </w:r>
      <w:r>
        <w:rPr>
          <w:rFonts w:hint="default" w:ascii="Times New Roman" w:hAnsi="Times New Roman" w:eastAsia="仿宋_GB2312" w:cs="Times New Roman"/>
          <w:bCs/>
          <w:kern w:val="2"/>
          <w:sz w:val="32"/>
          <w:szCs w:val="32"/>
          <w:lang w:val="en-US" w:eastAsia="zh-CN" w:bidi="en-US"/>
        </w:rPr>
        <w:t>共享销售渠道。加强兵地农产品质量安全监管协同，建立兵地联合执法机制，加大市场监督力度，确保农资市场安全和农产品质量安全。</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2F6E1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000" w:type="pct"/>
            <w:tcBorders>
              <w:tl2br w:val="nil"/>
              <w:tr2bl w:val="nil"/>
            </w:tcBorders>
            <w:vAlign w:val="center"/>
          </w:tcPr>
          <w:p w14:paraId="6A1DE9F2">
            <w:pPr>
              <w:pStyle w:val="11"/>
              <w:keepNext w:val="0"/>
              <w:keepLines w:val="0"/>
              <w:pageBreakBefore w:val="0"/>
              <w:widowControl w:val="0"/>
              <w:kinsoku/>
              <w:wordWrap w:val="0"/>
              <w:overflowPunct/>
              <w:topLinePunct w:val="0"/>
              <w:autoSpaceDE/>
              <w:autoSpaceDN/>
              <w:bidi w:val="0"/>
              <w:adjustRightInd/>
              <w:snapToGrid/>
              <w:spacing w:after="0" w:line="360" w:lineRule="auto"/>
              <w:ind w:left="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专栏</w:t>
            </w:r>
            <w:r>
              <w:rPr>
                <w:rFonts w:hint="eastAsia" w:eastAsia="仿宋_GB2312" w:cs="Times New Roman"/>
                <w:b/>
                <w:bCs/>
                <w:sz w:val="28"/>
                <w:szCs w:val="28"/>
                <w:vertAlign w:val="baseline"/>
                <w:lang w:val="en-US" w:eastAsia="zh-CN"/>
              </w:rPr>
              <w:t>10</w:t>
            </w:r>
            <w:r>
              <w:rPr>
                <w:rFonts w:hint="default" w:ascii="Times New Roman" w:hAnsi="Times New Roman" w:eastAsia="仿宋_GB2312" w:cs="Times New Roman"/>
                <w:b/>
                <w:bCs/>
                <w:sz w:val="28"/>
                <w:szCs w:val="28"/>
                <w:vertAlign w:val="baseline"/>
                <w:lang w:val="en-US" w:eastAsia="zh-CN"/>
              </w:rPr>
              <w:t xml:space="preserve">  农业产业融合发展重大项目</w:t>
            </w:r>
          </w:p>
        </w:tc>
      </w:tr>
      <w:tr w14:paraId="2E219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0" w:type="pct"/>
            <w:tcBorders>
              <w:tl2br w:val="nil"/>
              <w:tr2bl w:val="nil"/>
            </w:tcBorders>
          </w:tcPr>
          <w:p w14:paraId="2B875A4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农业产业融合发展工程</w:t>
            </w:r>
            <w:r>
              <w:rPr>
                <w:rFonts w:hint="default" w:ascii="Times New Roman" w:hAnsi="Times New Roman" w:eastAsia="仿宋_GB2312" w:cs="Times New Roman"/>
                <w:b w:val="0"/>
                <w:bCs w:val="0"/>
                <w:sz w:val="28"/>
                <w:szCs w:val="28"/>
                <w:vertAlign w:val="baseline"/>
                <w:lang w:val="en-US" w:eastAsia="zh-CN"/>
              </w:rPr>
              <w:t>。</w:t>
            </w:r>
          </w:p>
        </w:tc>
      </w:tr>
    </w:tbl>
    <w:p w14:paraId="488655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en-US"/>
        </w:rPr>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bookmarkStart w:id="78" w:name="_GoBack"/>
      <w:bookmarkEnd w:id="78"/>
    </w:p>
    <w:p w14:paraId="7E48318E">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477" w:beforeLines="150" w:after="180" w:line="360" w:lineRule="auto"/>
        <w:jc w:val="center"/>
        <w:textAlignment w:val="auto"/>
        <w:rPr>
          <w:rFonts w:hint="default" w:ascii="Times New Roman" w:hAnsi="Times New Roman" w:eastAsia="黑体" w:cs="Times New Roman"/>
          <w:b w:val="0"/>
          <w:bCs/>
          <w:color w:val="auto"/>
          <w:sz w:val="36"/>
          <w:szCs w:val="36"/>
          <w:highlight w:val="none"/>
          <w:lang w:val="en-US" w:eastAsia="zh-CN"/>
        </w:rPr>
      </w:pPr>
      <w:bookmarkStart w:id="70" w:name="heading_49"/>
      <w:r>
        <w:rPr>
          <w:rFonts w:hint="default" w:ascii="Times New Roman" w:hAnsi="Times New Roman" w:eastAsia="黑体" w:cs="Times New Roman"/>
          <w:b w:val="0"/>
          <w:bCs/>
          <w:color w:val="auto"/>
          <w:sz w:val="36"/>
          <w:szCs w:val="36"/>
          <w:highlight w:val="none"/>
          <w:lang w:val="en-US" w:eastAsia="zh-CN"/>
        </w:rPr>
        <w:t xml:space="preserve"> </w:t>
      </w:r>
      <w:bookmarkStart w:id="71" w:name="_Toc11697"/>
      <w:r>
        <w:rPr>
          <w:rFonts w:hint="default" w:ascii="Times New Roman" w:hAnsi="Times New Roman" w:eastAsia="黑体" w:cs="Times New Roman"/>
          <w:b w:val="0"/>
          <w:bCs/>
          <w:color w:val="auto"/>
          <w:sz w:val="36"/>
          <w:szCs w:val="36"/>
          <w:highlight w:val="none"/>
          <w:lang w:val="en-US" w:eastAsia="zh-CN"/>
        </w:rPr>
        <w:t>加强党的领导，确保规划实施</w:t>
      </w:r>
      <w:bookmarkEnd w:id="70"/>
      <w:bookmarkEnd w:id="71"/>
    </w:p>
    <w:p w14:paraId="7CDB45AC">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72" w:name="heading_50"/>
      <w:bookmarkStart w:id="73" w:name="_Toc1350"/>
      <w:r>
        <w:rPr>
          <w:rFonts w:hint="default" w:ascii="Times New Roman" w:hAnsi="Times New Roman" w:eastAsia="仿宋_GB2312" w:cs="Times New Roman"/>
          <w:lang w:val="en-US" w:eastAsia="zh-CN"/>
        </w:rPr>
        <w:t>第一节 坚持党的全面领导</w:t>
      </w:r>
      <w:bookmarkEnd w:id="72"/>
      <w:bookmarkEnd w:id="73"/>
    </w:p>
    <w:p w14:paraId="6F812A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深入贯彻习近平新时代中国特色社会主义思想，切实增强“四个意识”、坚定“四个自信”、做到“两个维护”，持续加强党对“三农”工作的全面领导，锚定农业农村现代化目标，推进规划落地。落实乡村振兴责任制，健全师市党委统一领导，农业农村主管部门统筹协调、各团场各部门</w:t>
      </w:r>
      <w:r>
        <w:rPr>
          <w:rFonts w:hint="eastAsia" w:ascii="Times New Roman" w:hAnsi="Times New Roman" w:eastAsia="仿宋_GB2312" w:cs="Times New Roman"/>
          <w:bCs/>
          <w:color w:val="auto"/>
          <w:kern w:val="2"/>
          <w:sz w:val="32"/>
          <w:szCs w:val="32"/>
          <w:highlight w:val="none"/>
          <w:lang w:val="en-US" w:eastAsia="zh-CN" w:bidi="en-US"/>
        </w:rPr>
        <w:t>相互配合</w:t>
      </w:r>
      <w:r>
        <w:rPr>
          <w:rFonts w:hint="default" w:ascii="Times New Roman" w:hAnsi="Times New Roman" w:eastAsia="仿宋_GB2312" w:cs="Times New Roman"/>
          <w:bCs/>
          <w:color w:val="auto"/>
          <w:kern w:val="2"/>
          <w:sz w:val="32"/>
          <w:szCs w:val="32"/>
          <w:highlight w:val="none"/>
          <w:lang w:val="en-US" w:eastAsia="zh-CN" w:bidi="en-US"/>
        </w:rPr>
        <w:t>的规划实施领导机制。坚持以人民为中心把发展同惠民生、聚民心、促稳定紧密联系在一起，推动发展成果更公平惠及职工群众。</w:t>
      </w:r>
    </w:p>
    <w:p w14:paraId="1CC440E5">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74" w:name="_Toc7352"/>
      <w:bookmarkStart w:id="75" w:name="heading_51"/>
      <w:r>
        <w:rPr>
          <w:rFonts w:hint="default" w:ascii="Times New Roman" w:hAnsi="Times New Roman" w:eastAsia="仿宋_GB2312" w:cs="Times New Roman"/>
          <w:lang w:val="en-US" w:eastAsia="zh-CN"/>
        </w:rPr>
        <w:t>第二节 强化政策、资金与人才保障</w:t>
      </w:r>
      <w:bookmarkEnd w:id="74"/>
      <w:bookmarkEnd w:id="75"/>
    </w:p>
    <w:p w14:paraId="3D20A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bookmarkStart w:id="76" w:name="heading_52"/>
      <w:r>
        <w:rPr>
          <w:rFonts w:hint="default" w:ascii="Times New Roman" w:hAnsi="Times New Roman" w:eastAsia="仿宋_GB2312" w:cs="Times New Roman"/>
          <w:bCs/>
          <w:color w:val="auto"/>
          <w:kern w:val="2"/>
          <w:sz w:val="32"/>
          <w:szCs w:val="32"/>
          <w:highlight w:val="none"/>
          <w:lang w:val="en-US" w:eastAsia="zh-CN" w:bidi="en-US"/>
        </w:rPr>
        <w:t>强化政策保障，加大项目申请、招商引资力度，积极争取国家、兵团及对口援疆单位支持政策，整合农业各类专项资金，提高投资使用效率。强化资金保障，争取更多中央、兵团、师市资金投入农业农村领域，引导金融机构支持农业农村重大任务、重大工程，扩大贷款规模。强化人才保障，加强农业科技人才、经营管理人才与技能型人才培育和引进，完善人才培养机制，持续开展高素质农工培训，健全师、团、连农业技术服务体系，整合师市农业专家分片包联服务，为规划实施提供人才支撑。争取农业科技攻关专项资金，支持农作物种植、新品种选育、农牧产品加工等领域科研攻关，推动科技成果转化为生产力。</w:t>
      </w:r>
    </w:p>
    <w:p w14:paraId="1F0A97C5">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仿宋_GB2312" w:cs="Times New Roman"/>
          <w:lang w:val="en-US" w:eastAsia="zh-CN"/>
        </w:rPr>
      </w:pPr>
      <w:bookmarkStart w:id="77" w:name="_Toc17342"/>
      <w:r>
        <w:rPr>
          <w:rFonts w:hint="default" w:ascii="Times New Roman" w:hAnsi="Times New Roman" w:eastAsia="仿宋_GB2312" w:cs="Times New Roman"/>
          <w:lang w:val="en-US" w:eastAsia="zh-CN"/>
        </w:rPr>
        <w:t>第三节 抓好规划衔接与监测评估</w:t>
      </w:r>
      <w:bookmarkEnd w:id="76"/>
      <w:bookmarkEnd w:id="77"/>
    </w:p>
    <w:p w14:paraId="1FC74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en-US"/>
        </w:rPr>
      </w:pPr>
      <w:r>
        <w:rPr>
          <w:rFonts w:hint="default" w:ascii="Times New Roman" w:hAnsi="Times New Roman" w:eastAsia="仿宋_GB2312" w:cs="Times New Roman"/>
          <w:bCs/>
          <w:color w:val="auto"/>
          <w:kern w:val="2"/>
          <w:sz w:val="32"/>
          <w:szCs w:val="32"/>
          <w:highlight w:val="none"/>
          <w:lang w:val="en-US" w:eastAsia="zh-CN" w:bidi="en-US"/>
        </w:rPr>
        <w:t>强化全局统筹和体系衔接，主动衔接兵团农业农村规划、第五师双河市经济社会发展规划、国土空间规划及相关专项规划，各团场（镇）立足自身实际，做好整体规划统筹落实，细化本团场农业农村相关工作任务分工，完善配套措施，构建层次清晰、衔接有序的规划体系，落实兵团规划衔接要求。建立健全规划实施的动态监测机制，开展常态化监测，加强对规划实施的全过程管理，落实监管制度。依据监测结果，对规划实施情况进行督导、评估，解决存在的问题，严格监督考核，确保规划主要目标和战略任务如期完成。</w:t>
      </w:r>
    </w:p>
    <w:p w14:paraId="6F50CFFD">
      <w:pPr>
        <w:pStyle w:val="16"/>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sz w:val="32"/>
          <w:szCs w:val="32"/>
          <w:highlight w:val="none"/>
          <w:lang w:val="en-US" w:eastAsia="zh-CN"/>
        </w:rPr>
      </w:pPr>
    </w:p>
    <w:sectPr>
      <w:pgSz w:w="11905" w:h="16838"/>
      <w:pgMar w:top="1440" w:right="1531" w:bottom="1440" w:left="1531"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16721B-252F-4FAA-A1DB-749313E394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F613BEF-6A77-4FCD-82E2-FF03C4A2BF44}"/>
  </w:font>
  <w:font w:name="方正仿宋_GB2312">
    <w:panose1 w:val="02000000000000000000"/>
    <w:charset w:val="86"/>
    <w:family w:val="auto"/>
    <w:pitch w:val="default"/>
    <w:sig w:usb0="A00002BF" w:usb1="184F6CFA" w:usb2="00000012" w:usb3="00000000" w:csb0="00040001" w:csb1="00000000"/>
    <w:embedRegular r:id="rId3" w:fontKey="{72A44FBD-EE52-429C-83EF-B45492DF48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AE17">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3B4C7">
    <w:pPr>
      <w:pStyle w:val="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76250" cy="2057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76250" cy="205740"/>
                      </a:xfrm>
                      <a:prstGeom prst="rect">
                        <a:avLst/>
                      </a:prstGeom>
                      <a:noFill/>
                      <a:ln>
                        <a:noFill/>
                      </a:ln>
                    </wps:spPr>
                    <wps:txbx>
                      <w:txbxContent>
                        <w:p w14:paraId="3E5DB68B">
                          <w:pPr>
                            <w:pStyle w:val="8"/>
                            <w:ind w:firstLine="360"/>
                            <w:rPr>
                              <w:rFonts w:ascii="Times New Roman" w:hAnsi="Times New Roman" w:eastAsia="宋体"/>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6.2pt;width:37.5pt;mso-position-horizontal:center;mso-position-horizontal-relative:margin;z-index:251660288;mso-width-relative:page;mso-height-relative:page;" filled="f" stroked="f" coordsize="21600,21600" o:gfxdata="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vWrpvUAAAAAwEAAA8AAAAAAAAAAQAgAAAAIgAAAGRycy9kb3ducmV2LnhtbFBLAQIUABQA&#10;AAAIAIdO4kAUPxx+uwEAAHEDAAAOAAAAAAAAAAEAIAAAACMBAABkcnMvZTJvRG9jLnhtbFBLBQYA&#10;AAAABgAGAFkBAABQBQAAAAA=&#10;">
              <v:fill on="f" focussize="0,0"/>
              <v:stroke on="f"/>
              <v:imagedata o:title=""/>
              <o:lock v:ext="edit" aspectratio="f"/>
              <v:textbox inset="0mm,0mm,0mm,0mm">
                <w:txbxContent>
                  <w:p w14:paraId="3E5DB68B">
                    <w:pPr>
                      <w:pStyle w:val="8"/>
                      <w:ind w:firstLine="360"/>
                      <w:rPr>
                        <w:rFonts w:ascii="Times New Roman" w:hAnsi="Times New Roman" w:eastAsia="宋体"/>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F618">
    <w:pPr>
      <w:pStyle w:val="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983393">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0983393">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p>
                </w:txbxContent>
              </v:textbox>
            </v:shape>
          </w:pict>
        </mc:Fallback>
      </mc:AlternateContent>
    </w:r>
  </w:p>
  <w:p w14:paraId="591A61B5">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BF72">
    <w:pPr>
      <w:pStyle w:val="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12CDA1">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3612CDA1">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p>
                </w:txbxContent>
              </v:textbox>
            </v:shape>
          </w:pict>
        </mc:Fallback>
      </mc:AlternateContent>
    </w:r>
  </w:p>
  <w:p w14:paraId="5D9F3E27">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E2E1">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A22D">
    <w:pPr>
      <w:pStyle w:val="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7EB67"/>
    <w:multiLevelType w:val="singleLevel"/>
    <w:tmpl w:val="C437EB6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95512"/>
    <w:rsid w:val="00005402"/>
    <w:rsid w:val="00076699"/>
    <w:rsid w:val="000A2C93"/>
    <w:rsid w:val="004E2611"/>
    <w:rsid w:val="00597FC9"/>
    <w:rsid w:val="005C4F9F"/>
    <w:rsid w:val="0061498A"/>
    <w:rsid w:val="006B5070"/>
    <w:rsid w:val="0078143C"/>
    <w:rsid w:val="007A6B11"/>
    <w:rsid w:val="00823C4F"/>
    <w:rsid w:val="008C6ED7"/>
    <w:rsid w:val="00973FB8"/>
    <w:rsid w:val="009E0DFB"/>
    <w:rsid w:val="00A87F74"/>
    <w:rsid w:val="00C67DD0"/>
    <w:rsid w:val="00DF3300"/>
    <w:rsid w:val="00EB6234"/>
    <w:rsid w:val="00ED5986"/>
    <w:rsid w:val="01113D6B"/>
    <w:rsid w:val="011B68FD"/>
    <w:rsid w:val="0132783D"/>
    <w:rsid w:val="013304EB"/>
    <w:rsid w:val="01514013"/>
    <w:rsid w:val="018964E0"/>
    <w:rsid w:val="0192652E"/>
    <w:rsid w:val="01A319FB"/>
    <w:rsid w:val="01A45959"/>
    <w:rsid w:val="01A71FD9"/>
    <w:rsid w:val="01C42B8B"/>
    <w:rsid w:val="01D17056"/>
    <w:rsid w:val="01E21263"/>
    <w:rsid w:val="01F63F34"/>
    <w:rsid w:val="021B6523"/>
    <w:rsid w:val="0229440D"/>
    <w:rsid w:val="023B0973"/>
    <w:rsid w:val="023F4618"/>
    <w:rsid w:val="025008C3"/>
    <w:rsid w:val="02873BB9"/>
    <w:rsid w:val="02877BB3"/>
    <w:rsid w:val="029772D3"/>
    <w:rsid w:val="02A429BD"/>
    <w:rsid w:val="02B259B0"/>
    <w:rsid w:val="02C1531D"/>
    <w:rsid w:val="02CC4B77"/>
    <w:rsid w:val="02D42584"/>
    <w:rsid w:val="02E02E8E"/>
    <w:rsid w:val="02EB2A6E"/>
    <w:rsid w:val="02EE3C38"/>
    <w:rsid w:val="031F3DF1"/>
    <w:rsid w:val="034A70C0"/>
    <w:rsid w:val="03571FF7"/>
    <w:rsid w:val="035D422C"/>
    <w:rsid w:val="035F6AA0"/>
    <w:rsid w:val="03A41F76"/>
    <w:rsid w:val="03B20051"/>
    <w:rsid w:val="03CD344D"/>
    <w:rsid w:val="03F139E0"/>
    <w:rsid w:val="03FD5238"/>
    <w:rsid w:val="04160396"/>
    <w:rsid w:val="041B172C"/>
    <w:rsid w:val="04363AE8"/>
    <w:rsid w:val="04375CFD"/>
    <w:rsid w:val="043D6C25"/>
    <w:rsid w:val="044B1342"/>
    <w:rsid w:val="044C6E68"/>
    <w:rsid w:val="04510922"/>
    <w:rsid w:val="045D2E23"/>
    <w:rsid w:val="045F408F"/>
    <w:rsid w:val="045F6BAE"/>
    <w:rsid w:val="04634541"/>
    <w:rsid w:val="047168CE"/>
    <w:rsid w:val="047D1717"/>
    <w:rsid w:val="04802032"/>
    <w:rsid w:val="0484076A"/>
    <w:rsid w:val="04AA3F2A"/>
    <w:rsid w:val="04C11604"/>
    <w:rsid w:val="04CE2C85"/>
    <w:rsid w:val="04D37589"/>
    <w:rsid w:val="04DA6C67"/>
    <w:rsid w:val="04DD3F64"/>
    <w:rsid w:val="050414F1"/>
    <w:rsid w:val="05544624"/>
    <w:rsid w:val="05551D4C"/>
    <w:rsid w:val="056D353A"/>
    <w:rsid w:val="05862F5A"/>
    <w:rsid w:val="058648B4"/>
    <w:rsid w:val="05B52566"/>
    <w:rsid w:val="05C0366A"/>
    <w:rsid w:val="05C054C9"/>
    <w:rsid w:val="05CA720D"/>
    <w:rsid w:val="05CD3FD8"/>
    <w:rsid w:val="05D411B5"/>
    <w:rsid w:val="05F17DCE"/>
    <w:rsid w:val="06277B8D"/>
    <w:rsid w:val="06344057"/>
    <w:rsid w:val="063858F6"/>
    <w:rsid w:val="063A78C0"/>
    <w:rsid w:val="06451A56"/>
    <w:rsid w:val="064A6717"/>
    <w:rsid w:val="0656568F"/>
    <w:rsid w:val="065F1696"/>
    <w:rsid w:val="06677F89"/>
    <w:rsid w:val="066E30C6"/>
    <w:rsid w:val="067A1543"/>
    <w:rsid w:val="06A116ED"/>
    <w:rsid w:val="06A37C3B"/>
    <w:rsid w:val="06E94E42"/>
    <w:rsid w:val="06EB4DA2"/>
    <w:rsid w:val="06FE6B3F"/>
    <w:rsid w:val="06FF01C2"/>
    <w:rsid w:val="070D53E3"/>
    <w:rsid w:val="072C7501"/>
    <w:rsid w:val="073A7BA2"/>
    <w:rsid w:val="073B4D87"/>
    <w:rsid w:val="073F1142"/>
    <w:rsid w:val="074B2440"/>
    <w:rsid w:val="07571DAC"/>
    <w:rsid w:val="07802062"/>
    <w:rsid w:val="07814135"/>
    <w:rsid w:val="078F7B8F"/>
    <w:rsid w:val="07A03D00"/>
    <w:rsid w:val="07A64AE1"/>
    <w:rsid w:val="07B23486"/>
    <w:rsid w:val="07B90CB8"/>
    <w:rsid w:val="07BA793D"/>
    <w:rsid w:val="07BF4CF0"/>
    <w:rsid w:val="07C02047"/>
    <w:rsid w:val="07CC279A"/>
    <w:rsid w:val="07E51AAD"/>
    <w:rsid w:val="07F67816"/>
    <w:rsid w:val="07FE2B6F"/>
    <w:rsid w:val="08180A58"/>
    <w:rsid w:val="081F224D"/>
    <w:rsid w:val="082A74C0"/>
    <w:rsid w:val="082F2D28"/>
    <w:rsid w:val="08381BDD"/>
    <w:rsid w:val="083927E0"/>
    <w:rsid w:val="083E2F6B"/>
    <w:rsid w:val="085E716A"/>
    <w:rsid w:val="086B2142"/>
    <w:rsid w:val="086E3851"/>
    <w:rsid w:val="08777FD3"/>
    <w:rsid w:val="08A97E88"/>
    <w:rsid w:val="08AF0E7E"/>
    <w:rsid w:val="08AF79C5"/>
    <w:rsid w:val="08B1198F"/>
    <w:rsid w:val="08B64EB9"/>
    <w:rsid w:val="08D31082"/>
    <w:rsid w:val="08E104C7"/>
    <w:rsid w:val="08E25BE0"/>
    <w:rsid w:val="08ED6E6B"/>
    <w:rsid w:val="08F62DE6"/>
    <w:rsid w:val="09016473"/>
    <w:rsid w:val="09045F63"/>
    <w:rsid w:val="09055912"/>
    <w:rsid w:val="0908551E"/>
    <w:rsid w:val="091B57F8"/>
    <w:rsid w:val="09271C52"/>
    <w:rsid w:val="092B7A7C"/>
    <w:rsid w:val="09350F08"/>
    <w:rsid w:val="09364AD8"/>
    <w:rsid w:val="094516FA"/>
    <w:rsid w:val="09460779"/>
    <w:rsid w:val="09617F19"/>
    <w:rsid w:val="097033D4"/>
    <w:rsid w:val="0994100B"/>
    <w:rsid w:val="09A16B8A"/>
    <w:rsid w:val="09A4661C"/>
    <w:rsid w:val="09AA6B0A"/>
    <w:rsid w:val="09AB2883"/>
    <w:rsid w:val="09B53BED"/>
    <w:rsid w:val="09B94F9F"/>
    <w:rsid w:val="09BE25B6"/>
    <w:rsid w:val="09DF3BF3"/>
    <w:rsid w:val="09E65252"/>
    <w:rsid w:val="09F558AC"/>
    <w:rsid w:val="09F91840"/>
    <w:rsid w:val="09FD34C8"/>
    <w:rsid w:val="0A082C9D"/>
    <w:rsid w:val="0A154F4D"/>
    <w:rsid w:val="0A205775"/>
    <w:rsid w:val="0A2F69EE"/>
    <w:rsid w:val="0A487301"/>
    <w:rsid w:val="0A572A77"/>
    <w:rsid w:val="0A6C0264"/>
    <w:rsid w:val="0A8455AD"/>
    <w:rsid w:val="0A8D0153"/>
    <w:rsid w:val="0A924939"/>
    <w:rsid w:val="0AA759CA"/>
    <w:rsid w:val="0AC2744D"/>
    <w:rsid w:val="0AD8637D"/>
    <w:rsid w:val="0AEC4F01"/>
    <w:rsid w:val="0AF50259"/>
    <w:rsid w:val="0AF8224E"/>
    <w:rsid w:val="0B00401F"/>
    <w:rsid w:val="0B0842B2"/>
    <w:rsid w:val="0B2823DD"/>
    <w:rsid w:val="0B2E5519"/>
    <w:rsid w:val="0B384E81"/>
    <w:rsid w:val="0B582596"/>
    <w:rsid w:val="0B6D5B58"/>
    <w:rsid w:val="0B6E211B"/>
    <w:rsid w:val="0B78424B"/>
    <w:rsid w:val="0B8E7D66"/>
    <w:rsid w:val="0B963927"/>
    <w:rsid w:val="0BA90D2B"/>
    <w:rsid w:val="0BB56F24"/>
    <w:rsid w:val="0BCF0AAA"/>
    <w:rsid w:val="0C006EB6"/>
    <w:rsid w:val="0C14152E"/>
    <w:rsid w:val="0C260C08"/>
    <w:rsid w:val="0C307DD7"/>
    <w:rsid w:val="0C3D49D2"/>
    <w:rsid w:val="0C6F6D8B"/>
    <w:rsid w:val="0C741865"/>
    <w:rsid w:val="0C7F3B02"/>
    <w:rsid w:val="0C8278CB"/>
    <w:rsid w:val="0C9026E8"/>
    <w:rsid w:val="0CA5180B"/>
    <w:rsid w:val="0CA77331"/>
    <w:rsid w:val="0CA933AC"/>
    <w:rsid w:val="0CB37644"/>
    <w:rsid w:val="0CB41A4E"/>
    <w:rsid w:val="0CBF0A93"/>
    <w:rsid w:val="0CDB20FC"/>
    <w:rsid w:val="0CFA3787"/>
    <w:rsid w:val="0CFE6871"/>
    <w:rsid w:val="0D1D3A97"/>
    <w:rsid w:val="0D3938C7"/>
    <w:rsid w:val="0D3D0412"/>
    <w:rsid w:val="0D4C6163"/>
    <w:rsid w:val="0D5A5B43"/>
    <w:rsid w:val="0D731909"/>
    <w:rsid w:val="0DC644EC"/>
    <w:rsid w:val="0DC87928"/>
    <w:rsid w:val="0DCE5836"/>
    <w:rsid w:val="0DD903D0"/>
    <w:rsid w:val="0DD95C10"/>
    <w:rsid w:val="0DE22C21"/>
    <w:rsid w:val="0DE41CB3"/>
    <w:rsid w:val="0DF47221"/>
    <w:rsid w:val="0E440BB0"/>
    <w:rsid w:val="0E6354DA"/>
    <w:rsid w:val="0E6500E1"/>
    <w:rsid w:val="0E7B2823"/>
    <w:rsid w:val="0EAB7A52"/>
    <w:rsid w:val="0ED70A31"/>
    <w:rsid w:val="0EEA1757"/>
    <w:rsid w:val="0F056591"/>
    <w:rsid w:val="0F240D49"/>
    <w:rsid w:val="0F277E44"/>
    <w:rsid w:val="0F2A424A"/>
    <w:rsid w:val="0F2E5AE8"/>
    <w:rsid w:val="0F320D3E"/>
    <w:rsid w:val="0F3D75E0"/>
    <w:rsid w:val="0F6E05DA"/>
    <w:rsid w:val="0F6F09F6"/>
    <w:rsid w:val="0F7200CA"/>
    <w:rsid w:val="0F7C2CF7"/>
    <w:rsid w:val="0F7E7F05"/>
    <w:rsid w:val="0F8E2A2A"/>
    <w:rsid w:val="0F957915"/>
    <w:rsid w:val="0F987405"/>
    <w:rsid w:val="0FAE09D7"/>
    <w:rsid w:val="0FAE5119"/>
    <w:rsid w:val="0FB56209"/>
    <w:rsid w:val="0FCD38A8"/>
    <w:rsid w:val="101A42BE"/>
    <w:rsid w:val="10350C49"/>
    <w:rsid w:val="10394744"/>
    <w:rsid w:val="10401F77"/>
    <w:rsid w:val="10505F32"/>
    <w:rsid w:val="106F0166"/>
    <w:rsid w:val="107C2984"/>
    <w:rsid w:val="108160EB"/>
    <w:rsid w:val="108732EA"/>
    <w:rsid w:val="108B0D18"/>
    <w:rsid w:val="108F6A88"/>
    <w:rsid w:val="10932E5E"/>
    <w:rsid w:val="109408CD"/>
    <w:rsid w:val="10A122E9"/>
    <w:rsid w:val="10B003E4"/>
    <w:rsid w:val="10C34956"/>
    <w:rsid w:val="10C36704"/>
    <w:rsid w:val="10CF560B"/>
    <w:rsid w:val="10D66437"/>
    <w:rsid w:val="10D9250A"/>
    <w:rsid w:val="11050ACA"/>
    <w:rsid w:val="11257345"/>
    <w:rsid w:val="112D6151"/>
    <w:rsid w:val="11354355"/>
    <w:rsid w:val="114710E3"/>
    <w:rsid w:val="117A036C"/>
    <w:rsid w:val="118A2E0A"/>
    <w:rsid w:val="1196550C"/>
    <w:rsid w:val="11C8524A"/>
    <w:rsid w:val="11DC130D"/>
    <w:rsid w:val="11E966D8"/>
    <w:rsid w:val="12093560"/>
    <w:rsid w:val="122074D1"/>
    <w:rsid w:val="122D2A28"/>
    <w:rsid w:val="1240492F"/>
    <w:rsid w:val="12521AED"/>
    <w:rsid w:val="125D2EFA"/>
    <w:rsid w:val="126A32DB"/>
    <w:rsid w:val="128123D2"/>
    <w:rsid w:val="128A1C85"/>
    <w:rsid w:val="128F5BF0"/>
    <w:rsid w:val="129245E0"/>
    <w:rsid w:val="12A00C91"/>
    <w:rsid w:val="12BC165D"/>
    <w:rsid w:val="12C52FCD"/>
    <w:rsid w:val="12E3435D"/>
    <w:rsid w:val="13294F44"/>
    <w:rsid w:val="133124F4"/>
    <w:rsid w:val="134578A4"/>
    <w:rsid w:val="134F427F"/>
    <w:rsid w:val="135460B1"/>
    <w:rsid w:val="135F7587"/>
    <w:rsid w:val="13645F7C"/>
    <w:rsid w:val="137E18E1"/>
    <w:rsid w:val="138008DC"/>
    <w:rsid w:val="13805A3A"/>
    <w:rsid w:val="13B64A2E"/>
    <w:rsid w:val="13B97541"/>
    <w:rsid w:val="13D54E7A"/>
    <w:rsid w:val="13D83CF6"/>
    <w:rsid w:val="13F622F9"/>
    <w:rsid w:val="14027543"/>
    <w:rsid w:val="140C729F"/>
    <w:rsid w:val="1439089B"/>
    <w:rsid w:val="144114C7"/>
    <w:rsid w:val="144813FA"/>
    <w:rsid w:val="14583650"/>
    <w:rsid w:val="14882443"/>
    <w:rsid w:val="148F7029"/>
    <w:rsid w:val="14971B67"/>
    <w:rsid w:val="14974078"/>
    <w:rsid w:val="14A16D5C"/>
    <w:rsid w:val="14AB3737"/>
    <w:rsid w:val="14CC4545"/>
    <w:rsid w:val="14CF3C5D"/>
    <w:rsid w:val="14D53172"/>
    <w:rsid w:val="14FC21E4"/>
    <w:rsid w:val="15051099"/>
    <w:rsid w:val="150572EB"/>
    <w:rsid w:val="15067F4D"/>
    <w:rsid w:val="150D2643"/>
    <w:rsid w:val="152717B5"/>
    <w:rsid w:val="153A7B88"/>
    <w:rsid w:val="1553430C"/>
    <w:rsid w:val="15597637"/>
    <w:rsid w:val="1571672E"/>
    <w:rsid w:val="157E709D"/>
    <w:rsid w:val="159F6641"/>
    <w:rsid w:val="15D171CD"/>
    <w:rsid w:val="15D965DB"/>
    <w:rsid w:val="15E45152"/>
    <w:rsid w:val="160159DE"/>
    <w:rsid w:val="16034ADC"/>
    <w:rsid w:val="160752E5"/>
    <w:rsid w:val="160839B9"/>
    <w:rsid w:val="162B4B2F"/>
    <w:rsid w:val="16331C36"/>
    <w:rsid w:val="163E66FC"/>
    <w:rsid w:val="1672275E"/>
    <w:rsid w:val="16893F4C"/>
    <w:rsid w:val="168E7B34"/>
    <w:rsid w:val="16A3500D"/>
    <w:rsid w:val="16B528E1"/>
    <w:rsid w:val="16B56AEF"/>
    <w:rsid w:val="16B9038D"/>
    <w:rsid w:val="16E17F09"/>
    <w:rsid w:val="16FF2354"/>
    <w:rsid w:val="17071014"/>
    <w:rsid w:val="171C3DAD"/>
    <w:rsid w:val="171E4694"/>
    <w:rsid w:val="17244BF6"/>
    <w:rsid w:val="17317672"/>
    <w:rsid w:val="173E0892"/>
    <w:rsid w:val="174573BC"/>
    <w:rsid w:val="175A645F"/>
    <w:rsid w:val="17780248"/>
    <w:rsid w:val="177F19A4"/>
    <w:rsid w:val="17824EC3"/>
    <w:rsid w:val="1782529E"/>
    <w:rsid w:val="17A74A43"/>
    <w:rsid w:val="17A74E1F"/>
    <w:rsid w:val="17A80A40"/>
    <w:rsid w:val="17DD00AB"/>
    <w:rsid w:val="18023FB5"/>
    <w:rsid w:val="18065E89"/>
    <w:rsid w:val="18090EA0"/>
    <w:rsid w:val="18243F2C"/>
    <w:rsid w:val="183F48C2"/>
    <w:rsid w:val="185D73C4"/>
    <w:rsid w:val="18682758"/>
    <w:rsid w:val="18695DE3"/>
    <w:rsid w:val="188E3E9A"/>
    <w:rsid w:val="18BC4164"/>
    <w:rsid w:val="18BC68EB"/>
    <w:rsid w:val="18D5381A"/>
    <w:rsid w:val="18F56801"/>
    <w:rsid w:val="18F63219"/>
    <w:rsid w:val="18FA4C8D"/>
    <w:rsid w:val="1909144D"/>
    <w:rsid w:val="190B6E9A"/>
    <w:rsid w:val="19153875"/>
    <w:rsid w:val="19235889"/>
    <w:rsid w:val="19241D0A"/>
    <w:rsid w:val="1955119E"/>
    <w:rsid w:val="19600F94"/>
    <w:rsid w:val="196E6A04"/>
    <w:rsid w:val="197B1874"/>
    <w:rsid w:val="19815962"/>
    <w:rsid w:val="19A075E2"/>
    <w:rsid w:val="19C57049"/>
    <w:rsid w:val="19D1379D"/>
    <w:rsid w:val="19D90DBD"/>
    <w:rsid w:val="19EB7814"/>
    <w:rsid w:val="19F0044A"/>
    <w:rsid w:val="19F02EFF"/>
    <w:rsid w:val="19F8014F"/>
    <w:rsid w:val="19FE07AD"/>
    <w:rsid w:val="1A096935"/>
    <w:rsid w:val="1A1A55E6"/>
    <w:rsid w:val="1A1E49AB"/>
    <w:rsid w:val="1A2D2F09"/>
    <w:rsid w:val="1A3B39AB"/>
    <w:rsid w:val="1A3D3083"/>
    <w:rsid w:val="1A4223DF"/>
    <w:rsid w:val="1A4E703E"/>
    <w:rsid w:val="1A734CF7"/>
    <w:rsid w:val="1A7742E3"/>
    <w:rsid w:val="1A7F18ED"/>
    <w:rsid w:val="1AC31707"/>
    <w:rsid w:val="1ADB24ED"/>
    <w:rsid w:val="1ADF413A"/>
    <w:rsid w:val="1AE34745"/>
    <w:rsid w:val="1AE94FB9"/>
    <w:rsid w:val="1AF66954"/>
    <w:rsid w:val="1AF83521"/>
    <w:rsid w:val="1B010952"/>
    <w:rsid w:val="1B100169"/>
    <w:rsid w:val="1B2B55D1"/>
    <w:rsid w:val="1B3202FC"/>
    <w:rsid w:val="1B391A9C"/>
    <w:rsid w:val="1B3B255C"/>
    <w:rsid w:val="1B4B7A22"/>
    <w:rsid w:val="1B513EBB"/>
    <w:rsid w:val="1BA41957"/>
    <w:rsid w:val="1BA82CFD"/>
    <w:rsid w:val="1BBC447B"/>
    <w:rsid w:val="1BBE64D1"/>
    <w:rsid w:val="1BC64593"/>
    <w:rsid w:val="1BD13D6F"/>
    <w:rsid w:val="1BDB0DA5"/>
    <w:rsid w:val="1C0C301E"/>
    <w:rsid w:val="1C136593"/>
    <w:rsid w:val="1C146065"/>
    <w:rsid w:val="1C177904"/>
    <w:rsid w:val="1C550B58"/>
    <w:rsid w:val="1C761126"/>
    <w:rsid w:val="1C981C00"/>
    <w:rsid w:val="1CA03CB4"/>
    <w:rsid w:val="1CBD66FD"/>
    <w:rsid w:val="1CBF2475"/>
    <w:rsid w:val="1CCC3877"/>
    <w:rsid w:val="1CCE70FA"/>
    <w:rsid w:val="1CD975C1"/>
    <w:rsid w:val="1CE0250E"/>
    <w:rsid w:val="1CE974F2"/>
    <w:rsid w:val="1CF13015"/>
    <w:rsid w:val="1CF37AB8"/>
    <w:rsid w:val="1D0460DA"/>
    <w:rsid w:val="1D2E4310"/>
    <w:rsid w:val="1D417246"/>
    <w:rsid w:val="1D526897"/>
    <w:rsid w:val="1D57445C"/>
    <w:rsid w:val="1D7768AC"/>
    <w:rsid w:val="1D994A74"/>
    <w:rsid w:val="1D9E652E"/>
    <w:rsid w:val="1DCB4E4A"/>
    <w:rsid w:val="1DD43CFE"/>
    <w:rsid w:val="1DD4604E"/>
    <w:rsid w:val="1DDA2970"/>
    <w:rsid w:val="1DDF4451"/>
    <w:rsid w:val="1DE90203"/>
    <w:rsid w:val="1DF66D5C"/>
    <w:rsid w:val="1E012619"/>
    <w:rsid w:val="1E1647DA"/>
    <w:rsid w:val="1E2C5A98"/>
    <w:rsid w:val="1E544E5E"/>
    <w:rsid w:val="1E5F2267"/>
    <w:rsid w:val="1E653B6B"/>
    <w:rsid w:val="1E683CC8"/>
    <w:rsid w:val="1EA35820"/>
    <w:rsid w:val="1EA41923"/>
    <w:rsid w:val="1EAC07D7"/>
    <w:rsid w:val="1EB107C7"/>
    <w:rsid w:val="1EB61656"/>
    <w:rsid w:val="1EB76777"/>
    <w:rsid w:val="1ED122D1"/>
    <w:rsid w:val="1F2831B5"/>
    <w:rsid w:val="1F356A1F"/>
    <w:rsid w:val="1F482C35"/>
    <w:rsid w:val="1F737547"/>
    <w:rsid w:val="1F8135B5"/>
    <w:rsid w:val="1F8C0B6C"/>
    <w:rsid w:val="1FC84FAF"/>
    <w:rsid w:val="1FCD30FB"/>
    <w:rsid w:val="1FCF7D37"/>
    <w:rsid w:val="1FE77A1B"/>
    <w:rsid w:val="1FEB3581"/>
    <w:rsid w:val="1FFA4D30"/>
    <w:rsid w:val="20263926"/>
    <w:rsid w:val="205C7FDB"/>
    <w:rsid w:val="20665E37"/>
    <w:rsid w:val="20696A4F"/>
    <w:rsid w:val="2077029B"/>
    <w:rsid w:val="2080016D"/>
    <w:rsid w:val="20A774A8"/>
    <w:rsid w:val="20B86C3B"/>
    <w:rsid w:val="20E23DDF"/>
    <w:rsid w:val="2101341F"/>
    <w:rsid w:val="21026F3C"/>
    <w:rsid w:val="21034AAC"/>
    <w:rsid w:val="2107263D"/>
    <w:rsid w:val="21130FE1"/>
    <w:rsid w:val="21151612"/>
    <w:rsid w:val="211611D8"/>
    <w:rsid w:val="211B1C44"/>
    <w:rsid w:val="21253E93"/>
    <w:rsid w:val="21262AC3"/>
    <w:rsid w:val="212C3E51"/>
    <w:rsid w:val="214B077B"/>
    <w:rsid w:val="215142C5"/>
    <w:rsid w:val="21613AFB"/>
    <w:rsid w:val="217C0EAC"/>
    <w:rsid w:val="21810931"/>
    <w:rsid w:val="218E78C1"/>
    <w:rsid w:val="21BC51D5"/>
    <w:rsid w:val="21D544E9"/>
    <w:rsid w:val="21ED4F0B"/>
    <w:rsid w:val="21EE5FF6"/>
    <w:rsid w:val="220506DB"/>
    <w:rsid w:val="221610DA"/>
    <w:rsid w:val="222209BB"/>
    <w:rsid w:val="2237485C"/>
    <w:rsid w:val="22416737"/>
    <w:rsid w:val="224513FB"/>
    <w:rsid w:val="224F7DF7"/>
    <w:rsid w:val="22561186"/>
    <w:rsid w:val="228D0920"/>
    <w:rsid w:val="22A55C69"/>
    <w:rsid w:val="22AC42F5"/>
    <w:rsid w:val="22BA533A"/>
    <w:rsid w:val="22BB548D"/>
    <w:rsid w:val="22BE6D2B"/>
    <w:rsid w:val="22C63313"/>
    <w:rsid w:val="22CF758B"/>
    <w:rsid w:val="22EA740E"/>
    <w:rsid w:val="22F10EAE"/>
    <w:rsid w:val="22F62969"/>
    <w:rsid w:val="22F8544C"/>
    <w:rsid w:val="22FE649E"/>
    <w:rsid w:val="230706D2"/>
    <w:rsid w:val="23204D36"/>
    <w:rsid w:val="23445482"/>
    <w:rsid w:val="234B131B"/>
    <w:rsid w:val="235D2DD3"/>
    <w:rsid w:val="23630647"/>
    <w:rsid w:val="237E04FB"/>
    <w:rsid w:val="238F22D0"/>
    <w:rsid w:val="23A2454D"/>
    <w:rsid w:val="23B20B3E"/>
    <w:rsid w:val="23BB0126"/>
    <w:rsid w:val="23BC2E26"/>
    <w:rsid w:val="23DA033F"/>
    <w:rsid w:val="23DB33DD"/>
    <w:rsid w:val="23E427C1"/>
    <w:rsid w:val="240A585D"/>
    <w:rsid w:val="24176B18"/>
    <w:rsid w:val="244D176B"/>
    <w:rsid w:val="245B7752"/>
    <w:rsid w:val="245C4A4D"/>
    <w:rsid w:val="246851A0"/>
    <w:rsid w:val="247104F9"/>
    <w:rsid w:val="247E2FB5"/>
    <w:rsid w:val="24800A68"/>
    <w:rsid w:val="249171AF"/>
    <w:rsid w:val="249575BE"/>
    <w:rsid w:val="24A501A2"/>
    <w:rsid w:val="24FF40E5"/>
    <w:rsid w:val="25120FD2"/>
    <w:rsid w:val="253E6EE8"/>
    <w:rsid w:val="25433033"/>
    <w:rsid w:val="25483AE1"/>
    <w:rsid w:val="255F2A47"/>
    <w:rsid w:val="25627E42"/>
    <w:rsid w:val="25744AC4"/>
    <w:rsid w:val="25A52374"/>
    <w:rsid w:val="25D326E0"/>
    <w:rsid w:val="25EA6D64"/>
    <w:rsid w:val="25EE7927"/>
    <w:rsid w:val="25F339E0"/>
    <w:rsid w:val="25F66DE7"/>
    <w:rsid w:val="260929B3"/>
    <w:rsid w:val="260E1D77"/>
    <w:rsid w:val="26156928"/>
    <w:rsid w:val="262F1F9A"/>
    <w:rsid w:val="26320A21"/>
    <w:rsid w:val="26521C05"/>
    <w:rsid w:val="26527EB6"/>
    <w:rsid w:val="26661BB3"/>
    <w:rsid w:val="26871AC1"/>
    <w:rsid w:val="269B7AAF"/>
    <w:rsid w:val="26A72B8E"/>
    <w:rsid w:val="26BE379D"/>
    <w:rsid w:val="26D703BB"/>
    <w:rsid w:val="26D7660D"/>
    <w:rsid w:val="26E31456"/>
    <w:rsid w:val="26E37BD5"/>
    <w:rsid w:val="26FF433E"/>
    <w:rsid w:val="27127826"/>
    <w:rsid w:val="272F71A1"/>
    <w:rsid w:val="273121C1"/>
    <w:rsid w:val="27370B6A"/>
    <w:rsid w:val="273835BD"/>
    <w:rsid w:val="273D0B66"/>
    <w:rsid w:val="273D46C2"/>
    <w:rsid w:val="27840543"/>
    <w:rsid w:val="2790513A"/>
    <w:rsid w:val="279D7857"/>
    <w:rsid w:val="27BA3F65"/>
    <w:rsid w:val="27C11148"/>
    <w:rsid w:val="27C72918"/>
    <w:rsid w:val="280653FC"/>
    <w:rsid w:val="28074CD0"/>
    <w:rsid w:val="281160A2"/>
    <w:rsid w:val="2814202B"/>
    <w:rsid w:val="282E4028"/>
    <w:rsid w:val="28335785"/>
    <w:rsid w:val="285223EF"/>
    <w:rsid w:val="285E6830"/>
    <w:rsid w:val="28702875"/>
    <w:rsid w:val="288F719F"/>
    <w:rsid w:val="289B11F0"/>
    <w:rsid w:val="289B41F2"/>
    <w:rsid w:val="289C366A"/>
    <w:rsid w:val="28A80261"/>
    <w:rsid w:val="28A864B3"/>
    <w:rsid w:val="28B058CA"/>
    <w:rsid w:val="28C416F6"/>
    <w:rsid w:val="28C8445F"/>
    <w:rsid w:val="292D7D66"/>
    <w:rsid w:val="293E2974"/>
    <w:rsid w:val="295201CD"/>
    <w:rsid w:val="295B6D68"/>
    <w:rsid w:val="29736AC1"/>
    <w:rsid w:val="297840D8"/>
    <w:rsid w:val="299448BD"/>
    <w:rsid w:val="29C03AD7"/>
    <w:rsid w:val="29CC61D1"/>
    <w:rsid w:val="29CE019B"/>
    <w:rsid w:val="29DB4666"/>
    <w:rsid w:val="29F37C02"/>
    <w:rsid w:val="29FA689B"/>
    <w:rsid w:val="2A012196"/>
    <w:rsid w:val="2A62174B"/>
    <w:rsid w:val="2A924D25"/>
    <w:rsid w:val="2A9F5694"/>
    <w:rsid w:val="2AA105CA"/>
    <w:rsid w:val="2AAE13DF"/>
    <w:rsid w:val="2AB949A8"/>
    <w:rsid w:val="2AC82E3D"/>
    <w:rsid w:val="2AC84BEB"/>
    <w:rsid w:val="2AD25A69"/>
    <w:rsid w:val="2AD84037"/>
    <w:rsid w:val="2B2F367F"/>
    <w:rsid w:val="2B536BAA"/>
    <w:rsid w:val="2B5715E1"/>
    <w:rsid w:val="2B5A2D2C"/>
    <w:rsid w:val="2B924EA7"/>
    <w:rsid w:val="2B93404B"/>
    <w:rsid w:val="2BA0590C"/>
    <w:rsid w:val="2BA271EA"/>
    <w:rsid w:val="2BAF699B"/>
    <w:rsid w:val="2BBB64FD"/>
    <w:rsid w:val="2BEC6259"/>
    <w:rsid w:val="2BFF5339"/>
    <w:rsid w:val="2C043A01"/>
    <w:rsid w:val="2C4B162F"/>
    <w:rsid w:val="2C610E53"/>
    <w:rsid w:val="2C695F59"/>
    <w:rsid w:val="2C721B51"/>
    <w:rsid w:val="2C75163F"/>
    <w:rsid w:val="2C9A5250"/>
    <w:rsid w:val="2CA33F93"/>
    <w:rsid w:val="2CA54907"/>
    <w:rsid w:val="2CB03EA0"/>
    <w:rsid w:val="2CB573F1"/>
    <w:rsid w:val="2CC808CC"/>
    <w:rsid w:val="2CEE645F"/>
    <w:rsid w:val="2CF3130D"/>
    <w:rsid w:val="2D061FE9"/>
    <w:rsid w:val="2D065E8A"/>
    <w:rsid w:val="2D12039F"/>
    <w:rsid w:val="2D2D1817"/>
    <w:rsid w:val="2D3E4676"/>
    <w:rsid w:val="2D512905"/>
    <w:rsid w:val="2D652BC5"/>
    <w:rsid w:val="2D675E34"/>
    <w:rsid w:val="2D8B221A"/>
    <w:rsid w:val="2DA3549B"/>
    <w:rsid w:val="2DB570E3"/>
    <w:rsid w:val="2DB72CF5"/>
    <w:rsid w:val="2DC42F2F"/>
    <w:rsid w:val="2DD05348"/>
    <w:rsid w:val="2DD85145"/>
    <w:rsid w:val="2DE2142E"/>
    <w:rsid w:val="2DED531B"/>
    <w:rsid w:val="2DFE7B77"/>
    <w:rsid w:val="2E00457B"/>
    <w:rsid w:val="2E0979F4"/>
    <w:rsid w:val="2E2B3512"/>
    <w:rsid w:val="2E3D58F0"/>
    <w:rsid w:val="2E5073D1"/>
    <w:rsid w:val="2E514979"/>
    <w:rsid w:val="2E522BCA"/>
    <w:rsid w:val="2E8838D1"/>
    <w:rsid w:val="2E9755BB"/>
    <w:rsid w:val="2EB306F1"/>
    <w:rsid w:val="2F146650"/>
    <w:rsid w:val="2F191EB9"/>
    <w:rsid w:val="2F415846"/>
    <w:rsid w:val="2F4B7B98"/>
    <w:rsid w:val="2F866E22"/>
    <w:rsid w:val="2F8700D6"/>
    <w:rsid w:val="2F905058"/>
    <w:rsid w:val="2F94153F"/>
    <w:rsid w:val="2FA63021"/>
    <w:rsid w:val="2FA80718"/>
    <w:rsid w:val="2FBB7811"/>
    <w:rsid w:val="2FBF6E64"/>
    <w:rsid w:val="2FC66D5F"/>
    <w:rsid w:val="2FD46D46"/>
    <w:rsid w:val="2FE56EE7"/>
    <w:rsid w:val="2FF827D3"/>
    <w:rsid w:val="2FFB511A"/>
    <w:rsid w:val="301C1552"/>
    <w:rsid w:val="301C3A83"/>
    <w:rsid w:val="304A2AAE"/>
    <w:rsid w:val="304D1074"/>
    <w:rsid w:val="306E0120"/>
    <w:rsid w:val="307E5F4A"/>
    <w:rsid w:val="30803872"/>
    <w:rsid w:val="308B2942"/>
    <w:rsid w:val="309114BF"/>
    <w:rsid w:val="309C68FD"/>
    <w:rsid w:val="30A6768F"/>
    <w:rsid w:val="30DA5678"/>
    <w:rsid w:val="30FC739C"/>
    <w:rsid w:val="310B5831"/>
    <w:rsid w:val="311C17EC"/>
    <w:rsid w:val="312D20D9"/>
    <w:rsid w:val="31350B00"/>
    <w:rsid w:val="315234C6"/>
    <w:rsid w:val="3156058B"/>
    <w:rsid w:val="31B77DC9"/>
    <w:rsid w:val="31BE6C8E"/>
    <w:rsid w:val="31C26583"/>
    <w:rsid w:val="31CF2D03"/>
    <w:rsid w:val="31D676C9"/>
    <w:rsid w:val="31EC006C"/>
    <w:rsid w:val="320C360F"/>
    <w:rsid w:val="321B1AA4"/>
    <w:rsid w:val="321C6486"/>
    <w:rsid w:val="32476F5C"/>
    <w:rsid w:val="325113BA"/>
    <w:rsid w:val="326842EE"/>
    <w:rsid w:val="326E6078"/>
    <w:rsid w:val="3280609D"/>
    <w:rsid w:val="328C29A2"/>
    <w:rsid w:val="32987720"/>
    <w:rsid w:val="329C5C14"/>
    <w:rsid w:val="32AA508A"/>
    <w:rsid w:val="32C43EEA"/>
    <w:rsid w:val="32DE353C"/>
    <w:rsid w:val="332B08F9"/>
    <w:rsid w:val="334B0167"/>
    <w:rsid w:val="334D0383"/>
    <w:rsid w:val="3353526D"/>
    <w:rsid w:val="3360156A"/>
    <w:rsid w:val="337376BE"/>
    <w:rsid w:val="337543C9"/>
    <w:rsid w:val="33AB5C8A"/>
    <w:rsid w:val="33AF4B22"/>
    <w:rsid w:val="33B814AB"/>
    <w:rsid w:val="33CF76A0"/>
    <w:rsid w:val="33D41358"/>
    <w:rsid w:val="33E10ACB"/>
    <w:rsid w:val="34060532"/>
    <w:rsid w:val="341E7629"/>
    <w:rsid w:val="342804A8"/>
    <w:rsid w:val="34767465"/>
    <w:rsid w:val="34847DD4"/>
    <w:rsid w:val="349079A6"/>
    <w:rsid w:val="34B1049E"/>
    <w:rsid w:val="34C401D1"/>
    <w:rsid w:val="34CC52D7"/>
    <w:rsid w:val="34D2441F"/>
    <w:rsid w:val="34D96D32"/>
    <w:rsid w:val="34ED30AB"/>
    <w:rsid w:val="34EE2F66"/>
    <w:rsid w:val="350031D3"/>
    <w:rsid w:val="354E3B8F"/>
    <w:rsid w:val="357F059C"/>
    <w:rsid w:val="359C2EFC"/>
    <w:rsid w:val="35BC534C"/>
    <w:rsid w:val="360109F6"/>
    <w:rsid w:val="363479F9"/>
    <w:rsid w:val="3656754F"/>
    <w:rsid w:val="36656148"/>
    <w:rsid w:val="367906F8"/>
    <w:rsid w:val="36796B6F"/>
    <w:rsid w:val="36D6642B"/>
    <w:rsid w:val="36D67D10"/>
    <w:rsid w:val="36E508D2"/>
    <w:rsid w:val="36FD1B1F"/>
    <w:rsid w:val="370F16D6"/>
    <w:rsid w:val="37126A35"/>
    <w:rsid w:val="371C06DB"/>
    <w:rsid w:val="377E6A82"/>
    <w:rsid w:val="3785627E"/>
    <w:rsid w:val="37AB38CA"/>
    <w:rsid w:val="37C130EE"/>
    <w:rsid w:val="37C91641"/>
    <w:rsid w:val="38135C02"/>
    <w:rsid w:val="38170F5F"/>
    <w:rsid w:val="381B3983"/>
    <w:rsid w:val="383F0638"/>
    <w:rsid w:val="38417D8A"/>
    <w:rsid w:val="38723F9A"/>
    <w:rsid w:val="3876113B"/>
    <w:rsid w:val="387719FE"/>
    <w:rsid w:val="387B329C"/>
    <w:rsid w:val="38BD30D6"/>
    <w:rsid w:val="38D96215"/>
    <w:rsid w:val="38E31F59"/>
    <w:rsid w:val="38FD63A7"/>
    <w:rsid w:val="392C6E77"/>
    <w:rsid w:val="393578EF"/>
    <w:rsid w:val="39435185"/>
    <w:rsid w:val="39615ED1"/>
    <w:rsid w:val="397D3044"/>
    <w:rsid w:val="398C3A6D"/>
    <w:rsid w:val="39930ABA"/>
    <w:rsid w:val="39932868"/>
    <w:rsid w:val="399565E0"/>
    <w:rsid w:val="399D0286"/>
    <w:rsid w:val="39B747A8"/>
    <w:rsid w:val="39C649EB"/>
    <w:rsid w:val="39E22EB8"/>
    <w:rsid w:val="39F01A68"/>
    <w:rsid w:val="3A015A23"/>
    <w:rsid w:val="3A080B60"/>
    <w:rsid w:val="3A090FF0"/>
    <w:rsid w:val="3A217E73"/>
    <w:rsid w:val="3A23639D"/>
    <w:rsid w:val="3A3958F7"/>
    <w:rsid w:val="3A417739"/>
    <w:rsid w:val="3A545380"/>
    <w:rsid w:val="3A6A4C0C"/>
    <w:rsid w:val="3A777A93"/>
    <w:rsid w:val="3A791A5E"/>
    <w:rsid w:val="3A973F1C"/>
    <w:rsid w:val="3AA34D2C"/>
    <w:rsid w:val="3AB458B5"/>
    <w:rsid w:val="3AC058DE"/>
    <w:rsid w:val="3AC21656"/>
    <w:rsid w:val="3AC56A51"/>
    <w:rsid w:val="3AE761B6"/>
    <w:rsid w:val="3AEF7F72"/>
    <w:rsid w:val="3B1840AB"/>
    <w:rsid w:val="3B196CE7"/>
    <w:rsid w:val="3B3360B0"/>
    <w:rsid w:val="3B534FC5"/>
    <w:rsid w:val="3B83362A"/>
    <w:rsid w:val="3B8F1FDF"/>
    <w:rsid w:val="3B9D177C"/>
    <w:rsid w:val="3BA322AD"/>
    <w:rsid w:val="3BBC60A6"/>
    <w:rsid w:val="3BC136BC"/>
    <w:rsid w:val="3BDA29D0"/>
    <w:rsid w:val="3C0F349F"/>
    <w:rsid w:val="3C123F18"/>
    <w:rsid w:val="3C2118D0"/>
    <w:rsid w:val="3C4147FD"/>
    <w:rsid w:val="3C441C8E"/>
    <w:rsid w:val="3C4E0CC8"/>
    <w:rsid w:val="3C664263"/>
    <w:rsid w:val="3C9906F5"/>
    <w:rsid w:val="3CA71654"/>
    <w:rsid w:val="3CC15ABF"/>
    <w:rsid w:val="3CCA65A0"/>
    <w:rsid w:val="3CE458E4"/>
    <w:rsid w:val="3D052E94"/>
    <w:rsid w:val="3D1675EA"/>
    <w:rsid w:val="3D2D1F6F"/>
    <w:rsid w:val="3D3B124C"/>
    <w:rsid w:val="3D637E9D"/>
    <w:rsid w:val="3D687B67"/>
    <w:rsid w:val="3D695DB9"/>
    <w:rsid w:val="3D853684"/>
    <w:rsid w:val="3D89020A"/>
    <w:rsid w:val="3D9B7F3D"/>
    <w:rsid w:val="3D9C255B"/>
    <w:rsid w:val="3DA94A83"/>
    <w:rsid w:val="3DAB4624"/>
    <w:rsid w:val="3DB159B2"/>
    <w:rsid w:val="3DD975E9"/>
    <w:rsid w:val="3DF16571"/>
    <w:rsid w:val="3DFC4244"/>
    <w:rsid w:val="3E02301F"/>
    <w:rsid w:val="3E1157E7"/>
    <w:rsid w:val="3E2972F7"/>
    <w:rsid w:val="3E3A1504"/>
    <w:rsid w:val="3E6A38AD"/>
    <w:rsid w:val="3E952BDE"/>
    <w:rsid w:val="3EDC0354"/>
    <w:rsid w:val="3EDC310D"/>
    <w:rsid w:val="3F0A7128"/>
    <w:rsid w:val="3F18735D"/>
    <w:rsid w:val="3F1D32FF"/>
    <w:rsid w:val="3F2A5A1C"/>
    <w:rsid w:val="3F367F1D"/>
    <w:rsid w:val="3F4C14EF"/>
    <w:rsid w:val="3F4E7BD8"/>
    <w:rsid w:val="3F565C13"/>
    <w:rsid w:val="3F6A4053"/>
    <w:rsid w:val="3F7A38DB"/>
    <w:rsid w:val="3F892FBC"/>
    <w:rsid w:val="3F8C5D8F"/>
    <w:rsid w:val="3FB83028"/>
    <w:rsid w:val="3FC50CA0"/>
    <w:rsid w:val="3FEE6A4A"/>
    <w:rsid w:val="400923E1"/>
    <w:rsid w:val="400D78C2"/>
    <w:rsid w:val="40111DD6"/>
    <w:rsid w:val="404448BC"/>
    <w:rsid w:val="40491ED2"/>
    <w:rsid w:val="40762F0A"/>
    <w:rsid w:val="4076423A"/>
    <w:rsid w:val="407C3BEF"/>
    <w:rsid w:val="407C68B8"/>
    <w:rsid w:val="40851EF5"/>
    <w:rsid w:val="40953369"/>
    <w:rsid w:val="409E3FCC"/>
    <w:rsid w:val="40A62E81"/>
    <w:rsid w:val="40BC6B48"/>
    <w:rsid w:val="40C90468"/>
    <w:rsid w:val="40D21EC7"/>
    <w:rsid w:val="40F72D63"/>
    <w:rsid w:val="40FD28FA"/>
    <w:rsid w:val="410A3974"/>
    <w:rsid w:val="41110C42"/>
    <w:rsid w:val="41150C03"/>
    <w:rsid w:val="4134377D"/>
    <w:rsid w:val="414D154E"/>
    <w:rsid w:val="415603BB"/>
    <w:rsid w:val="41585D7D"/>
    <w:rsid w:val="415F3F89"/>
    <w:rsid w:val="41605725"/>
    <w:rsid w:val="41725B1F"/>
    <w:rsid w:val="41951205"/>
    <w:rsid w:val="41AB4B00"/>
    <w:rsid w:val="41B132F0"/>
    <w:rsid w:val="41DD27B0"/>
    <w:rsid w:val="41F63FCF"/>
    <w:rsid w:val="420936C7"/>
    <w:rsid w:val="421309EA"/>
    <w:rsid w:val="421A58D4"/>
    <w:rsid w:val="421F1292"/>
    <w:rsid w:val="423B584A"/>
    <w:rsid w:val="424D6905"/>
    <w:rsid w:val="42592791"/>
    <w:rsid w:val="425B7376"/>
    <w:rsid w:val="42612228"/>
    <w:rsid w:val="426E295E"/>
    <w:rsid w:val="42703746"/>
    <w:rsid w:val="42802D5D"/>
    <w:rsid w:val="42824EAC"/>
    <w:rsid w:val="42975177"/>
    <w:rsid w:val="42997141"/>
    <w:rsid w:val="42A673A4"/>
    <w:rsid w:val="42D55C9F"/>
    <w:rsid w:val="42DE0D58"/>
    <w:rsid w:val="42DE2DA6"/>
    <w:rsid w:val="42F24B05"/>
    <w:rsid w:val="42F45E23"/>
    <w:rsid w:val="42FA5829"/>
    <w:rsid w:val="43171E14"/>
    <w:rsid w:val="43497CB4"/>
    <w:rsid w:val="434B5F61"/>
    <w:rsid w:val="435155AA"/>
    <w:rsid w:val="4357693E"/>
    <w:rsid w:val="43615785"/>
    <w:rsid w:val="438B0560"/>
    <w:rsid w:val="438C6134"/>
    <w:rsid w:val="439E42E3"/>
    <w:rsid w:val="43A15965"/>
    <w:rsid w:val="43E63452"/>
    <w:rsid w:val="441B5933"/>
    <w:rsid w:val="44216071"/>
    <w:rsid w:val="442A3DC9"/>
    <w:rsid w:val="443A16C8"/>
    <w:rsid w:val="443B5D44"/>
    <w:rsid w:val="444B4EB1"/>
    <w:rsid w:val="445712B3"/>
    <w:rsid w:val="445A645C"/>
    <w:rsid w:val="44694339"/>
    <w:rsid w:val="446C184E"/>
    <w:rsid w:val="448D4A83"/>
    <w:rsid w:val="44A26055"/>
    <w:rsid w:val="44BC0A07"/>
    <w:rsid w:val="44E56EC9"/>
    <w:rsid w:val="4504286C"/>
    <w:rsid w:val="450D1720"/>
    <w:rsid w:val="45120AE5"/>
    <w:rsid w:val="45240ACF"/>
    <w:rsid w:val="453653BC"/>
    <w:rsid w:val="453E1C66"/>
    <w:rsid w:val="454315E6"/>
    <w:rsid w:val="455A06DD"/>
    <w:rsid w:val="45694ED1"/>
    <w:rsid w:val="45961716"/>
    <w:rsid w:val="45992FB4"/>
    <w:rsid w:val="459B31D0"/>
    <w:rsid w:val="45BC3058"/>
    <w:rsid w:val="45BC6CA2"/>
    <w:rsid w:val="45D528B2"/>
    <w:rsid w:val="45DE30BD"/>
    <w:rsid w:val="45F67A32"/>
    <w:rsid w:val="46113014"/>
    <w:rsid w:val="46212CFC"/>
    <w:rsid w:val="4638483E"/>
    <w:rsid w:val="464473C4"/>
    <w:rsid w:val="465E07C8"/>
    <w:rsid w:val="4670640B"/>
    <w:rsid w:val="46715CDF"/>
    <w:rsid w:val="468E6891"/>
    <w:rsid w:val="4690117F"/>
    <w:rsid w:val="46AE0CE1"/>
    <w:rsid w:val="46BB1C33"/>
    <w:rsid w:val="46C7706B"/>
    <w:rsid w:val="46CB53EF"/>
    <w:rsid w:val="46CD03D6"/>
    <w:rsid w:val="46F030A7"/>
    <w:rsid w:val="46F30DEA"/>
    <w:rsid w:val="47064679"/>
    <w:rsid w:val="47296840"/>
    <w:rsid w:val="47335C8B"/>
    <w:rsid w:val="47363AB2"/>
    <w:rsid w:val="47442973"/>
    <w:rsid w:val="477507E3"/>
    <w:rsid w:val="47B37163"/>
    <w:rsid w:val="47BE4F54"/>
    <w:rsid w:val="47E10C42"/>
    <w:rsid w:val="47F00E85"/>
    <w:rsid w:val="47F95F8C"/>
    <w:rsid w:val="48030BB8"/>
    <w:rsid w:val="480F3A01"/>
    <w:rsid w:val="48294087"/>
    <w:rsid w:val="484C118E"/>
    <w:rsid w:val="485674E5"/>
    <w:rsid w:val="487806ED"/>
    <w:rsid w:val="48822425"/>
    <w:rsid w:val="48A71E8C"/>
    <w:rsid w:val="48B645FE"/>
    <w:rsid w:val="48CA7928"/>
    <w:rsid w:val="48D10CB7"/>
    <w:rsid w:val="48DE461B"/>
    <w:rsid w:val="48E7691A"/>
    <w:rsid w:val="48FB54A6"/>
    <w:rsid w:val="49180694"/>
    <w:rsid w:val="491C0184"/>
    <w:rsid w:val="49254C87"/>
    <w:rsid w:val="492B03C7"/>
    <w:rsid w:val="49326C06"/>
    <w:rsid w:val="495D019C"/>
    <w:rsid w:val="497812A2"/>
    <w:rsid w:val="497959A3"/>
    <w:rsid w:val="498A77E3"/>
    <w:rsid w:val="49995C78"/>
    <w:rsid w:val="49B00205"/>
    <w:rsid w:val="49CD06AC"/>
    <w:rsid w:val="49CD3B0E"/>
    <w:rsid w:val="49D3791F"/>
    <w:rsid w:val="49DB003F"/>
    <w:rsid w:val="49E3107C"/>
    <w:rsid w:val="49FF5ABD"/>
    <w:rsid w:val="4A0330F2"/>
    <w:rsid w:val="4A0D5D1E"/>
    <w:rsid w:val="4A180A44"/>
    <w:rsid w:val="4A4D0811"/>
    <w:rsid w:val="4A6C4C78"/>
    <w:rsid w:val="4A6F0787"/>
    <w:rsid w:val="4A7F186A"/>
    <w:rsid w:val="4A834233"/>
    <w:rsid w:val="4A8F1F48"/>
    <w:rsid w:val="4A9D2AB4"/>
    <w:rsid w:val="4AA17AA8"/>
    <w:rsid w:val="4AB85C18"/>
    <w:rsid w:val="4ACF4F73"/>
    <w:rsid w:val="4AEB2504"/>
    <w:rsid w:val="4AFA6BDF"/>
    <w:rsid w:val="4B141254"/>
    <w:rsid w:val="4B3161A2"/>
    <w:rsid w:val="4B4628D6"/>
    <w:rsid w:val="4B481704"/>
    <w:rsid w:val="4B7A3887"/>
    <w:rsid w:val="4B7C7600"/>
    <w:rsid w:val="4B850B76"/>
    <w:rsid w:val="4BC32090"/>
    <w:rsid w:val="4BD55986"/>
    <w:rsid w:val="4BD8768E"/>
    <w:rsid w:val="4BF25EC6"/>
    <w:rsid w:val="4BF453E8"/>
    <w:rsid w:val="4BF93426"/>
    <w:rsid w:val="4C0B2731"/>
    <w:rsid w:val="4C121D12"/>
    <w:rsid w:val="4C2D26A8"/>
    <w:rsid w:val="4C4C6FD2"/>
    <w:rsid w:val="4C5C2F8D"/>
    <w:rsid w:val="4C8765EA"/>
    <w:rsid w:val="4C96788D"/>
    <w:rsid w:val="4C9D50C7"/>
    <w:rsid w:val="4C9F119A"/>
    <w:rsid w:val="4CAC349D"/>
    <w:rsid w:val="4CB703AD"/>
    <w:rsid w:val="4CC34AE1"/>
    <w:rsid w:val="4CDB29F2"/>
    <w:rsid w:val="4CE17F79"/>
    <w:rsid w:val="4CE50CE4"/>
    <w:rsid w:val="4CF457E6"/>
    <w:rsid w:val="4D1114D9"/>
    <w:rsid w:val="4D2A1787"/>
    <w:rsid w:val="4D5048A0"/>
    <w:rsid w:val="4D551EB6"/>
    <w:rsid w:val="4D5B106D"/>
    <w:rsid w:val="4D6245D3"/>
    <w:rsid w:val="4D745CB2"/>
    <w:rsid w:val="4D93530B"/>
    <w:rsid w:val="4DA42125"/>
    <w:rsid w:val="4DD66287"/>
    <w:rsid w:val="4DDC1135"/>
    <w:rsid w:val="4DDC4386"/>
    <w:rsid w:val="4DFB1DA6"/>
    <w:rsid w:val="4E056021"/>
    <w:rsid w:val="4E064A12"/>
    <w:rsid w:val="4E326B11"/>
    <w:rsid w:val="4E3917D8"/>
    <w:rsid w:val="4E597784"/>
    <w:rsid w:val="4E74005A"/>
    <w:rsid w:val="4E764C4B"/>
    <w:rsid w:val="4E854A1D"/>
    <w:rsid w:val="4E8746E7"/>
    <w:rsid w:val="4E924F42"/>
    <w:rsid w:val="4E9662CD"/>
    <w:rsid w:val="4EA330F5"/>
    <w:rsid w:val="4EBE5A2A"/>
    <w:rsid w:val="4EC465C1"/>
    <w:rsid w:val="4EC5306C"/>
    <w:rsid w:val="4ECD2362"/>
    <w:rsid w:val="4ECD36A0"/>
    <w:rsid w:val="4ED17C62"/>
    <w:rsid w:val="4EE2777A"/>
    <w:rsid w:val="4EEF1E97"/>
    <w:rsid w:val="4EF94AC3"/>
    <w:rsid w:val="4F015240"/>
    <w:rsid w:val="4F082F58"/>
    <w:rsid w:val="4F3855EC"/>
    <w:rsid w:val="4F552641"/>
    <w:rsid w:val="4F5A68F2"/>
    <w:rsid w:val="4F6B6332"/>
    <w:rsid w:val="4F7D56F4"/>
    <w:rsid w:val="4F9867AC"/>
    <w:rsid w:val="4FA669F9"/>
    <w:rsid w:val="4FB07255"/>
    <w:rsid w:val="4FBF3D7B"/>
    <w:rsid w:val="4FC41575"/>
    <w:rsid w:val="4FC60E49"/>
    <w:rsid w:val="4FC612F8"/>
    <w:rsid w:val="50110C0A"/>
    <w:rsid w:val="50167074"/>
    <w:rsid w:val="501D51FF"/>
    <w:rsid w:val="50243DC2"/>
    <w:rsid w:val="502E1722"/>
    <w:rsid w:val="506E3F2C"/>
    <w:rsid w:val="509E3184"/>
    <w:rsid w:val="50A867A1"/>
    <w:rsid w:val="50D040BD"/>
    <w:rsid w:val="50D73A8F"/>
    <w:rsid w:val="50D852D8"/>
    <w:rsid w:val="50E62B1A"/>
    <w:rsid w:val="50ED3FD0"/>
    <w:rsid w:val="50EE4AFC"/>
    <w:rsid w:val="510065DD"/>
    <w:rsid w:val="5116195C"/>
    <w:rsid w:val="51181D4C"/>
    <w:rsid w:val="512D78F5"/>
    <w:rsid w:val="5144471C"/>
    <w:rsid w:val="515B3132"/>
    <w:rsid w:val="51621046"/>
    <w:rsid w:val="517843C5"/>
    <w:rsid w:val="51845D15"/>
    <w:rsid w:val="51884C82"/>
    <w:rsid w:val="519F7BA4"/>
    <w:rsid w:val="51C55131"/>
    <w:rsid w:val="51D05FAF"/>
    <w:rsid w:val="51D07D5D"/>
    <w:rsid w:val="51DB6702"/>
    <w:rsid w:val="51DF1BBE"/>
    <w:rsid w:val="51DF61F2"/>
    <w:rsid w:val="51E753DE"/>
    <w:rsid w:val="51EB103B"/>
    <w:rsid w:val="51F45C15"/>
    <w:rsid w:val="5200247B"/>
    <w:rsid w:val="520774F7"/>
    <w:rsid w:val="520806F5"/>
    <w:rsid w:val="520F3519"/>
    <w:rsid w:val="522E2CD6"/>
    <w:rsid w:val="524175D7"/>
    <w:rsid w:val="5256678B"/>
    <w:rsid w:val="5257047F"/>
    <w:rsid w:val="526606C2"/>
    <w:rsid w:val="526B51B8"/>
    <w:rsid w:val="52854FEC"/>
    <w:rsid w:val="52A0126F"/>
    <w:rsid w:val="52A14CE5"/>
    <w:rsid w:val="52B8531C"/>
    <w:rsid w:val="52CF44B9"/>
    <w:rsid w:val="52DE46FC"/>
    <w:rsid w:val="52E55A8A"/>
    <w:rsid w:val="52EF4B5B"/>
    <w:rsid w:val="53103360"/>
    <w:rsid w:val="532C56D6"/>
    <w:rsid w:val="53367B5F"/>
    <w:rsid w:val="533D58C6"/>
    <w:rsid w:val="534E34EE"/>
    <w:rsid w:val="536A2433"/>
    <w:rsid w:val="53852DC9"/>
    <w:rsid w:val="5389670E"/>
    <w:rsid w:val="539948BC"/>
    <w:rsid w:val="53A95310"/>
    <w:rsid w:val="53C52166"/>
    <w:rsid w:val="53D02297"/>
    <w:rsid w:val="53D55AFF"/>
    <w:rsid w:val="53E760BC"/>
    <w:rsid w:val="53EF1AC3"/>
    <w:rsid w:val="53F046E7"/>
    <w:rsid w:val="540168F4"/>
    <w:rsid w:val="541B0B7F"/>
    <w:rsid w:val="54207C23"/>
    <w:rsid w:val="54210D44"/>
    <w:rsid w:val="5437318B"/>
    <w:rsid w:val="544C687D"/>
    <w:rsid w:val="54531311"/>
    <w:rsid w:val="54534C76"/>
    <w:rsid w:val="5474472A"/>
    <w:rsid w:val="547E7F44"/>
    <w:rsid w:val="54817A35"/>
    <w:rsid w:val="54865C83"/>
    <w:rsid w:val="54A13C33"/>
    <w:rsid w:val="54A454D1"/>
    <w:rsid w:val="54B90F7D"/>
    <w:rsid w:val="54C30C68"/>
    <w:rsid w:val="54C31DFB"/>
    <w:rsid w:val="54CB198F"/>
    <w:rsid w:val="54CC6443"/>
    <w:rsid w:val="54DA77FE"/>
    <w:rsid w:val="54EB4EAE"/>
    <w:rsid w:val="54FE2BA5"/>
    <w:rsid w:val="550F0A54"/>
    <w:rsid w:val="551A146C"/>
    <w:rsid w:val="55216B22"/>
    <w:rsid w:val="553410B2"/>
    <w:rsid w:val="555C7B5A"/>
    <w:rsid w:val="558C6691"/>
    <w:rsid w:val="55945546"/>
    <w:rsid w:val="55DA73FC"/>
    <w:rsid w:val="560721BC"/>
    <w:rsid w:val="56173CB6"/>
    <w:rsid w:val="562B40AB"/>
    <w:rsid w:val="563A60ED"/>
    <w:rsid w:val="563F54B2"/>
    <w:rsid w:val="564B3E56"/>
    <w:rsid w:val="56551179"/>
    <w:rsid w:val="565C2507"/>
    <w:rsid w:val="566232CB"/>
    <w:rsid w:val="566E3FE9"/>
    <w:rsid w:val="56716D36"/>
    <w:rsid w:val="56793AFD"/>
    <w:rsid w:val="56860371"/>
    <w:rsid w:val="568606E6"/>
    <w:rsid w:val="56B26385"/>
    <w:rsid w:val="56BE6D1E"/>
    <w:rsid w:val="56D57BC4"/>
    <w:rsid w:val="56E524FD"/>
    <w:rsid w:val="5703268D"/>
    <w:rsid w:val="570404A9"/>
    <w:rsid w:val="570A1F63"/>
    <w:rsid w:val="5715598F"/>
    <w:rsid w:val="577A053C"/>
    <w:rsid w:val="578810DA"/>
    <w:rsid w:val="578877F2"/>
    <w:rsid w:val="578A0528"/>
    <w:rsid w:val="578E3C89"/>
    <w:rsid w:val="579209D4"/>
    <w:rsid w:val="57BD0D84"/>
    <w:rsid w:val="57D224A1"/>
    <w:rsid w:val="57EC1C14"/>
    <w:rsid w:val="57EF3BD4"/>
    <w:rsid w:val="57FD73D2"/>
    <w:rsid w:val="58093FC9"/>
    <w:rsid w:val="58227B4B"/>
    <w:rsid w:val="583F5C3D"/>
    <w:rsid w:val="584D65AC"/>
    <w:rsid w:val="5851771E"/>
    <w:rsid w:val="58555460"/>
    <w:rsid w:val="586A1979"/>
    <w:rsid w:val="588548A0"/>
    <w:rsid w:val="58913FBE"/>
    <w:rsid w:val="589A2E73"/>
    <w:rsid w:val="589E6E07"/>
    <w:rsid w:val="58AC2BA6"/>
    <w:rsid w:val="58B2640F"/>
    <w:rsid w:val="58BC32C2"/>
    <w:rsid w:val="58BF671F"/>
    <w:rsid w:val="58CE6FC1"/>
    <w:rsid w:val="58DB5F88"/>
    <w:rsid w:val="58EA204C"/>
    <w:rsid w:val="58FA1B64"/>
    <w:rsid w:val="590B1FC3"/>
    <w:rsid w:val="590B5B1F"/>
    <w:rsid w:val="59253085"/>
    <w:rsid w:val="592866D1"/>
    <w:rsid w:val="593E4146"/>
    <w:rsid w:val="59401C6C"/>
    <w:rsid w:val="59697C59"/>
    <w:rsid w:val="598729A5"/>
    <w:rsid w:val="59973856"/>
    <w:rsid w:val="599B66D0"/>
    <w:rsid w:val="599B6EA3"/>
    <w:rsid w:val="59A044B9"/>
    <w:rsid w:val="59E85675"/>
    <w:rsid w:val="59F20A8D"/>
    <w:rsid w:val="5A081A2A"/>
    <w:rsid w:val="5A0E4489"/>
    <w:rsid w:val="5A235F34"/>
    <w:rsid w:val="5A2F3A8F"/>
    <w:rsid w:val="5A307F33"/>
    <w:rsid w:val="5A3A1AE4"/>
    <w:rsid w:val="5A3D61AC"/>
    <w:rsid w:val="5A4E660B"/>
    <w:rsid w:val="5A665EC5"/>
    <w:rsid w:val="5A6B4D75"/>
    <w:rsid w:val="5A7122F9"/>
    <w:rsid w:val="5AA705B3"/>
    <w:rsid w:val="5AB53F94"/>
    <w:rsid w:val="5ADC7FA6"/>
    <w:rsid w:val="5AE025A1"/>
    <w:rsid w:val="5AE973A2"/>
    <w:rsid w:val="5B1C04B7"/>
    <w:rsid w:val="5B2232AA"/>
    <w:rsid w:val="5B2D7FCE"/>
    <w:rsid w:val="5B6339F0"/>
    <w:rsid w:val="5B6B1FDA"/>
    <w:rsid w:val="5B70435F"/>
    <w:rsid w:val="5B73155E"/>
    <w:rsid w:val="5B740508"/>
    <w:rsid w:val="5B77749C"/>
    <w:rsid w:val="5B8147BE"/>
    <w:rsid w:val="5B8215C5"/>
    <w:rsid w:val="5BA621B5"/>
    <w:rsid w:val="5BBA00DF"/>
    <w:rsid w:val="5BBB7CD0"/>
    <w:rsid w:val="5BC71AF7"/>
    <w:rsid w:val="5BCB59CC"/>
    <w:rsid w:val="5BF92263"/>
    <w:rsid w:val="5BFD2097"/>
    <w:rsid w:val="5C0C5B29"/>
    <w:rsid w:val="5C1403C9"/>
    <w:rsid w:val="5C4557EC"/>
    <w:rsid w:val="5C6160DC"/>
    <w:rsid w:val="5C690E31"/>
    <w:rsid w:val="5C7E485A"/>
    <w:rsid w:val="5C800B67"/>
    <w:rsid w:val="5C8207EE"/>
    <w:rsid w:val="5C876E84"/>
    <w:rsid w:val="5C9347A9"/>
    <w:rsid w:val="5C936933"/>
    <w:rsid w:val="5CB46100"/>
    <w:rsid w:val="5CC91F79"/>
    <w:rsid w:val="5CD93599"/>
    <w:rsid w:val="5CDC1CAC"/>
    <w:rsid w:val="5CDC7EFE"/>
    <w:rsid w:val="5CDF179C"/>
    <w:rsid w:val="5CE5013A"/>
    <w:rsid w:val="5D2761F8"/>
    <w:rsid w:val="5D46139D"/>
    <w:rsid w:val="5D472B18"/>
    <w:rsid w:val="5D5135E6"/>
    <w:rsid w:val="5D5368C7"/>
    <w:rsid w:val="5D810AA5"/>
    <w:rsid w:val="5D850596"/>
    <w:rsid w:val="5D972077"/>
    <w:rsid w:val="5DB47874"/>
    <w:rsid w:val="5DC11393"/>
    <w:rsid w:val="5DCA7D57"/>
    <w:rsid w:val="5DD105A3"/>
    <w:rsid w:val="5DE1263E"/>
    <w:rsid w:val="5DE548F0"/>
    <w:rsid w:val="5DF72B16"/>
    <w:rsid w:val="5E244E0E"/>
    <w:rsid w:val="5E5166CA"/>
    <w:rsid w:val="5E802B0B"/>
    <w:rsid w:val="5E914D18"/>
    <w:rsid w:val="5EA66A16"/>
    <w:rsid w:val="5EB50A07"/>
    <w:rsid w:val="5EBB2265"/>
    <w:rsid w:val="5EBF1885"/>
    <w:rsid w:val="5EC7698C"/>
    <w:rsid w:val="5ED05841"/>
    <w:rsid w:val="5ED93504"/>
    <w:rsid w:val="5EDA66BF"/>
    <w:rsid w:val="5EE66B0F"/>
    <w:rsid w:val="5EEC7DB1"/>
    <w:rsid w:val="5EEE084A"/>
    <w:rsid w:val="5EFF1C82"/>
    <w:rsid w:val="5F05455A"/>
    <w:rsid w:val="5F163AEB"/>
    <w:rsid w:val="5F24793A"/>
    <w:rsid w:val="5F2675B2"/>
    <w:rsid w:val="5F395327"/>
    <w:rsid w:val="5F4752D6"/>
    <w:rsid w:val="5F546472"/>
    <w:rsid w:val="5F8E1258"/>
    <w:rsid w:val="5FA56CCD"/>
    <w:rsid w:val="5FDB1B85"/>
    <w:rsid w:val="60123C37"/>
    <w:rsid w:val="602045E3"/>
    <w:rsid w:val="603D7DE5"/>
    <w:rsid w:val="603F0DA5"/>
    <w:rsid w:val="6056012F"/>
    <w:rsid w:val="6058682E"/>
    <w:rsid w:val="60643F04"/>
    <w:rsid w:val="60663769"/>
    <w:rsid w:val="606C3347"/>
    <w:rsid w:val="608A1A1F"/>
    <w:rsid w:val="60911247"/>
    <w:rsid w:val="60980A56"/>
    <w:rsid w:val="609C31EC"/>
    <w:rsid w:val="60AF1486"/>
    <w:rsid w:val="60B151FE"/>
    <w:rsid w:val="60C008BC"/>
    <w:rsid w:val="60D91FF3"/>
    <w:rsid w:val="60E65019"/>
    <w:rsid w:val="60EA4E32"/>
    <w:rsid w:val="60EA6962"/>
    <w:rsid w:val="60FE1428"/>
    <w:rsid w:val="6109503A"/>
    <w:rsid w:val="611834CF"/>
    <w:rsid w:val="611A7284"/>
    <w:rsid w:val="611B6B1B"/>
    <w:rsid w:val="61250D22"/>
    <w:rsid w:val="61392F66"/>
    <w:rsid w:val="613E24C6"/>
    <w:rsid w:val="613F5BB5"/>
    <w:rsid w:val="615054C2"/>
    <w:rsid w:val="61555579"/>
    <w:rsid w:val="61675360"/>
    <w:rsid w:val="61694698"/>
    <w:rsid w:val="61997A19"/>
    <w:rsid w:val="61D2123D"/>
    <w:rsid w:val="61E37639"/>
    <w:rsid w:val="61F061FA"/>
    <w:rsid w:val="61F33579"/>
    <w:rsid w:val="622814F0"/>
    <w:rsid w:val="62304E8C"/>
    <w:rsid w:val="623939CA"/>
    <w:rsid w:val="62456CC6"/>
    <w:rsid w:val="62556F61"/>
    <w:rsid w:val="62582C10"/>
    <w:rsid w:val="625B231C"/>
    <w:rsid w:val="62643A48"/>
    <w:rsid w:val="62903AF3"/>
    <w:rsid w:val="62A768B8"/>
    <w:rsid w:val="62C84C3C"/>
    <w:rsid w:val="62E278F0"/>
    <w:rsid w:val="6300246C"/>
    <w:rsid w:val="63097573"/>
    <w:rsid w:val="631E222D"/>
    <w:rsid w:val="632C6E5F"/>
    <w:rsid w:val="632E43E8"/>
    <w:rsid w:val="632E7C88"/>
    <w:rsid w:val="63413B91"/>
    <w:rsid w:val="6348707B"/>
    <w:rsid w:val="634E0CA3"/>
    <w:rsid w:val="6361115D"/>
    <w:rsid w:val="636225B7"/>
    <w:rsid w:val="637D18D6"/>
    <w:rsid w:val="63887FBA"/>
    <w:rsid w:val="638B28E8"/>
    <w:rsid w:val="63960AEB"/>
    <w:rsid w:val="639A288A"/>
    <w:rsid w:val="639A632C"/>
    <w:rsid w:val="63A6642A"/>
    <w:rsid w:val="63AC7EFE"/>
    <w:rsid w:val="63C66884"/>
    <w:rsid w:val="63D0014E"/>
    <w:rsid w:val="63DE466E"/>
    <w:rsid w:val="64075435"/>
    <w:rsid w:val="641A755E"/>
    <w:rsid w:val="641C7EFD"/>
    <w:rsid w:val="64287ECD"/>
    <w:rsid w:val="64295512"/>
    <w:rsid w:val="644B741C"/>
    <w:rsid w:val="64567FEA"/>
    <w:rsid w:val="645A6478"/>
    <w:rsid w:val="64BD0615"/>
    <w:rsid w:val="64C27A7E"/>
    <w:rsid w:val="64E61678"/>
    <w:rsid w:val="653F1F37"/>
    <w:rsid w:val="65440F0D"/>
    <w:rsid w:val="655A0B73"/>
    <w:rsid w:val="658904F7"/>
    <w:rsid w:val="65956E9C"/>
    <w:rsid w:val="65B337C6"/>
    <w:rsid w:val="65D23CA9"/>
    <w:rsid w:val="65F36838"/>
    <w:rsid w:val="65FE2479"/>
    <w:rsid w:val="66134265"/>
    <w:rsid w:val="66293A88"/>
    <w:rsid w:val="666D3BD0"/>
    <w:rsid w:val="66807B4C"/>
    <w:rsid w:val="66A575B3"/>
    <w:rsid w:val="66B31F09"/>
    <w:rsid w:val="66C2477C"/>
    <w:rsid w:val="66C43787"/>
    <w:rsid w:val="66CE6622"/>
    <w:rsid w:val="66DF121A"/>
    <w:rsid w:val="673D77EB"/>
    <w:rsid w:val="67634488"/>
    <w:rsid w:val="67742E26"/>
    <w:rsid w:val="67A36FC6"/>
    <w:rsid w:val="67C83F19"/>
    <w:rsid w:val="67DD70C0"/>
    <w:rsid w:val="67E47547"/>
    <w:rsid w:val="67E96BA2"/>
    <w:rsid w:val="67EB62F7"/>
    <w:rsid w:val="680D74BF"/>
    <w:rsid w:val="68446269"/>
    <w:rsid w:val="684921ED"/>
    <w:rsid w:val="684B24D9"/>
    <w:rsid w:val="684B418A"/>
    <w:rsid w:val="6850354E"/>
    <w:rsid w:val="68572B2F"/>
    <w:rsid w:val="685C438F"/>
    <w:rsid w:val="68605065"/>
    <w:rsid w:val="68A71F82"/>
    <w:rsid w:val="68AD274F"/>
    <w:rsid w:val="68BE0B19"/>
    <w:rsid w:val="68C31F72"/>
    <w:rsid w:val="68D87649"/>
    <w:rsid w:val="68E00D76"/>
    <w:rsid w:val="68E1390B"/>
    <w:rsid w:val="68E7354F"/>
    <w:rsid w:val="68E877BC"/>
    <w:rsid w:val="68FC01D0"/>
    <w:rsid w:val="690115CE"/>
    <w:rsid w:val="691D5D30"/>
    <w:rsid w:val="693144D5"/>
    <w:rsid w:val="69335FEA"/>
    <w:rsid w:val="69580A6D"/>
    <w:rsid w:val="69652762"/>
    <w:rsid w:val="696A0640"/>
    <w:rsid w:val="69714388"/>
    <w:rsid w:val="69784594"/>
    <w:rsid w:val="697D4817"/>
    <w:rsid w:val="698A2A90"/>
    <w:rsid w:val="69967687"/>
    <w:rsid w:val="69A84753"/>
    <w:rsid w:val="69D6000C"/>
    <w:rsid w:val="69E511BA"/>
    <w:rsid w:val="69EB3C59"/>
    <w:rsid w:val="69F2644C"/>
    <w:rsid w:val="69FD7706"/>
    <w:rsid w:val="6A007D41"/>
    <w:rsid w:val="6A0960AB"/>
    <w:rsid w:val="6A0D631B"/>
    <w:rsid w:val="6A5079C7"/>
    <w:rsid w:val="6A612618"/>
    <w:rsid w:val="6A6652AB"/>
    <w:rsid w:val="6A771266"/>
    <w:rsid w:val="6A7C4ACE"/>
    <w:rsid w:val="6AA657E2"/>
    <w:rsid w:val="6AAB7162"/>
    <w:rsid w:val="6ABB435B"/>
    <w:rsid w:val="6ABE7216"/>
    <w:rsid w:val="6AC14886"/>
    <w:rsid w:val="6ACB15B2"/>
    <w:rsid w:val="6AD03813"/>
    <w:rsid w:val="6AE61F48"/>
    <w:rsid w:val="6AED4E26"/>
    <w:rsid w:val="6B0C2CA5"/>
    <w:rsid w:val="6B12537E"/>
    <w:rsid w:val="6B160A7F"/>
    <w:rsid w:val="6B463299"/>
    <w:rsid w:val="6B6D2669"/>
    <w:rsid w:val="6B723CC8"/>
    <w:rsid w:val="6BC8789F"/>
    <w:rsid w:val="6BD11C59"/>
    <w:rsid w:val="6BD91AAD"/>
    <w:rsid w:val="6BE648F5"/>
    <w:rsid w:val="6BF863D7"/>
    <w:rsid w:val="6BF961FA"/>
    <w:rsid w:val="6C132789"/>
    <w:rsid w:val="6C244B8F"/>
    <w:rsid w:val="6C250955"/>
    <w:rsid w:val="6C2B7950"/>
    <w:rsid w:val="6C423C32"/>
    <w:rsid w:val="6C567B8C"/>
    <w:rsid w:val="6C5C575F"/>
    <w:rsid w:val="6C7C7008"/>
    <w:rsid w:val="6C833BBA"/>
    <w:rsid w:val="6C915524"/>
    <w:rsid w:val="6CB93DB8"/>
    <w:rsid w:val="6CB95A5F"/>
    <w:rsid w:val="6CBC7404"/>
    <w:rsid w:val="6CBE13CE"/>
    <w:rsid w:val="6CD05412"/>
    <w:rsid w:val="6CE4695B"/>
    <w:rsid w:val="6CEC361C"/>
    <w:rsid w:val="6CED0A2B"/>
    <w:rsid w:val="6CF367C7"/>
    <w:rsid w:val="6D135585"/>
    <w:rsid w:val="6D1A2978"/>
    <w:rsid w:val="6D1C4AA3"/>
    <w:rsid w:val="6D317DF2"/>
    <w:rsid w:val="6D3C5774"/>
    <w:rsid w:val="6D5702DD"/>
    <w:rsid w:val="6D6C0E2A"/>
    <w:rsid w:val="6DA5433C"/>
    <w:rsid w:val="6DAB3ED0"/>
    <w:rsid w:val="6DB07694"/>
    <w:rsid w:val="6DB143C6"/>
    <w:rsid w:val="6DC5678C"/>
    <w:rsid w:val="6DD074E3"/>
    <w:rsid w:val="6DDD45A2"/>
    <w:rsid w:val="6DE035C6"/>
    <w:rsid w:val="6DF116DC"/>
    <w:rsid w:val="6E0F3FED"/>
    <w:rsid w:val="6E35746E"/>
    <w:rsid w:val="6E377A36"/>
    <w:rsid w:val="6E470F3A"/>
    <w:rsid w:val="6E4846C6"/>
    <w:rsid w:val="6E5A6ED5"/>
    <w:rsid w:val="6E5F2E4C"/>
    <w:rsid w:val="6E6B6E40"/>
    <w:rsid w:val="6E7D0E15"/>
    <w:rsid w:val="6E8E6B7E"/>
    <w:rsid w:val="6E9323E7"/>
    <w:rsid w:val="6E9F0D8B"/>
    <w:rsid w:val="6EAE7221"/>
    <w:rsid w:val="6EBF4F8A"/>
    <w:rsid w:val="6EC30F1E"/>
    <w:rsid w:val="6EC95E08"/>
    <w:rsid w:val="6ED15E86"/>
    <w:rsid w:val="6EF90C69"/>
    <w:rsid w:val="6F0A4EC9"/>
    <w:rsid w:val="6F1352D6"/>
    <w:rsid w:val="6F2E376D"/>
    <w:rsid w:val="6F514471"/>
    <w:rsid w:val="6F7914C3"/>
    <w:rsid w:val="6F9445E6"/>
    <w:rsid w:val="6F9603E0"/>
    <w:rsid w:val="6F983387"/>
    <w:rsid w:val="6FA7614A"/>
    <w:rsid w:val="6FBC771B"/>
    <w:rsid w:val="6FD42741"/>
    <w:rsid w:val="6FED32C9"/>
    <w:rsid w:val="6FF0373D"/>
    <w:rsid w:val="70161521"/>
    <w:rsid w:val="70401F0A"/>
    <w:rsid w:val="70661F49"/>
    <w:rsid w:val="70A408DB"/>
    <w:rsid w:val="70A628A5"/>
    <w:rsid w:val="70A92EB7"/>
    <w:rsid w:val="70C73D22"/>
    <w:rsid w:val="70DA3D32"/>
    <w:rsid w:val="70DE567A"/>
    <w:rsid w:val="70E56387"/>
    <w:rsid w:val="70E62CA2"/>
    <w:rsid w:val="70F058CE"/>
    <w:rsid w:val="71196D59"/>
    <w:rsid w:val="7133409F"/>
    <w:rsid w:val="7157594D"/>
    <w:rsid w:val="71661127"/>
    <w:rsid w:val="71873C57"/>
    <w:rsid w:val="71A1260E"/>
    <w:rsid w:val="71B11502"/>
    <w:rsid w:val="71C408CD"/>
    <w:rsid w:val="71D451F0"/>
    <w:rsid w:val="71D81B94"/>
    <w:rsid w:val="71DE6D28"/>
    <w:rsid w:val="71EE7EBF"/>
    <w:rsid w:val="71EF202A"/>
    <w:rsid w:val="71FC5EFE"/>
    <w:rsid w:val="72077373"/>
    <w:rsid w:val="721E646B"/>
    <w:rsid w:val="7251239D"/>
    <w:rsid w:val="72524874"/>
    <w:rsid w:val="727A7418"/>
    <w:rsid w:val="72886B8D"/>
    <w:rsid w:val="729846D3"/>
    <w:rsid w:val="72C07522"/>
    <w:rsid w:val="72C61B6B"/>
    <w:rsid w:val="72D37256"/>
    <w:rsid w:val="72D82ABE"/>
    <w:rsid w:val="72DD1E82"/>
    <w:rsid w:val="72DF209E"/>
    <w:rsid w:val="72E70F53"/>
    <w:rsid w:val="72FB541B"/>
    <w:rsid w:val="73044E50"/>
    <w:rsid w:val="73206CFA"/>
    <w:rsid w:val="732941AD"/>
    <w:rsid w:val="73367F8A"/>
    <w:rsid w:val="73375A36"/>
    <w:rsid w:val="733A6CBD"/>
    <w:rsid w:val="733F226F"/>
    <w:rsid w:val="733F48EB"/>
    <w:rsid w:val="73620AC3"/>
    <w:rsid w:val="73677AAD"/>
    <w:rsid w:val="736D48B9"/>
    <w:rsid w:val="7370719A"/>
    <w:rsid w:val="73836ECE"/>
    <w:rsid w:val="73857C16"/>
    <w:rsid w:val="73995F87"/>
    <w:rsid w:val="739B4217"/>
    <w:rsid w:val="73C12E76"/>
    <w:rsid w:val="73C81603"/>
    <w:rsid w:val="73CE3DA3"/>
    <w:rsid w:val="740A314B"/>
    <w:rsid w:val="741369EC"/>
    <w:rsid w:val="741A689E"/>
    <w:rsid w:val="74493C73"/>
    <w:rsid w:val="74620891"/>
    <w:rsid w:val="74640101"/>
    <w:rsid w:val="747771CE"/>
    <w:rsid w:val="74784559"/>
    <w:rsid w:val="74795BDB"/>
    <w:rsid w:val="7493587C"/>
    <w:rsid w:val="74970007"/>
    <w:rsid w:val="74977E43"/>
    <w:rsid w:val="749B3DA3"/>
    <w:rsid w:val="74B15375"/>
    <w:rsid w:val="74E21ABB"/>
    <w:rsid w:val="74E53270"/>
    <w:rsid w:val="74F87447"/>
    <w:rsid w:val="751145F2"/>
    <w:rsid w:val="751E3758"/>
    <w:rsid w:val="75226272"/>
    <w:rsid w:val="75243D99"/>
    <w:rsid w:val="753A180E"/>
    <w:rsid w:val="753A419E"/>
    <w:rsid w:val="755328D0"/>
    <w:rsid w:val="755D1591"/>
    <w:rsid w:val="758F1B5A"/>
    <w:rsid w:val="75970A0E"/>
    <w:rsid w:val="75A01F97"/>
    <w:rsid w:val="75A20EAB"/>
    <w:rsid w:val="75C64E50"/>
    <w:rsid w:val="75DC4673"/>
    <w:rsid w:val="75F23243"/>
    <w:rsid w:val="760117C7"/>
    <w:rsid w:val="760D6F22"/>
    <w:rsid w:val="761B5537"/>
    <w:rsid w:val="762A1882"/>
    <w:rsid w:val="76337296"/>
    <w:rsid w:val="763444AF"/>
    <w:rsid w:val="76486BCF"/>
    <w:rsid w:val="765F5DA3"/>
    <w:rsid w:val="76794E52"/>
    <w:rsid w:val="76960CC6"/>
    <w:rsid w:val="76966F18"/>
    <w:rsid w:val="76984A3E"/>
    <w:rsid w:val="769A5B22"/>
    <w:rsid w:val="76B255A9"/>
    <w:rsid w:val="76B4160A"/>
    <w:rsid w:val="76D77B85"/>
    <w:rsid w:val="76E117AA"/>
    <w:rsid w:val="76F66371"/>
    <w:rsid w:val="76FB1E6F"/>
    <w:rsid w:val="77000835"/>
    <w:rsid w:val="77004391"/>
    <w:rsid w:val="772265D8"/>
    <w:rsid w:val="77302EC9"/>
    <w:rsid w:val="773C7083"/>
    <w:rsid w:val="775078EF"/>
    <w:rsid w:val="775841CD"/>
    <w:rsid w:val="775F05F4"/>
    <w:rsid w:val="776112D4"/>
    <w:rsid w:val="777F5BFE"/>
    <w:rsid w:val="778F6202"/>
    <w:rsid w:val="77903967"/>
    <w:rsid w:val="77B05DB7"/>
    <w:rsid w:val="77E86C88"/>
    <w:rsid w:val="77ED700C"/>
    <w:rsid w:val="77FA2FC6"/>
    <w:rsid w:val="78003D06"/>
    <w:rsid w:val="7808174F"/>
    <w:rsid w:val="780E2ADE"/>
    <w:rsid w:val="783C589D"/>
    <w:rsid w:val="7840713B"/>
    <w:rsid w:val="784279C7"/>
    <w:rsid w:val="7847671C"/>
    <w:rsid w:val="784B774A"/>
    <w:rsid w:val="78993069"/>
    <w:rsid w:val="78A471EC"/>
    <w:rsid w:val="78A8010C"/>
    <w:rsid w:val="78D71D10"/>
    <w:rsid w:val="78E35D19"/>
    <w:rsid w:val="78E51F32"/>
    <w:rsid w:val="78EB6DBB"/>
    <w:rsid w:val="78EC1071"/>
    <w:rsid w:val="78EE4DE9"/>
    <w:rsid w:val="790A3D76"/>
    <w:rsid w:val="79214B3D"/>
    <w:rsid w:val="792151BF"/>
    <w:rsid w:val="79306C9B"/>
    <w:rsid w:val="793904A9"/>
    <w:rsid w:val="793B0B04"/>
    <w:rsid w:val="794762A8"/>
    <w:rsid w:val="794B223C"/>
    <w:rsid w:val="795409C4"/>
    <w:rsid w:val="795D1F6F"/>
    <w:rsid w:val="79A27982"/>
    <w:rsid w:val="79B61ECB"/>
    <w:rsid w:val="79CC3562"/>
    <w:rsid w:val="79EA6627"/>
    <w:rsid w:val="7A0423EA"/>
    <w:rsid w:val="7A2C6954"/>
    <w:rsid w:val="7A6335B5"/>
    <w:rsid w:val="7A6D21C7"/>
    <w:rsid w:val="7A85177D"/>
    <w:rsid w:val="7A92514B"/>
    <w:rsid w:val="7A996FD7"/>
    <w:rsid w:val="7AA151A3"/>
    <w:rsid w:val="7AC202DC"/>
    <w:rsid w:val="7AE71AF0"/>
    <w:rsid w:val="7AF24334"/>
    <w:rsid w:val="7B2F195E"/>
    <w:rsid w:val="7B3665D4"/>
    <w:rsid w:val="7B42141C"/>
    <w:rsid w:val="7B8732D3"/>
    <w:rsid w:val="7BA4494E"/>
    <w:rsid w:val="7BB96C82"/>
    <w:rsid w:val="7BD0061C"/>
    <w:rsid w:val="7BD83B2F"/>
    <w:rsid w:val="7C006A05"/>
    <w:rsid w:val="7C037D98"/>
    <w:rsid w:val="7C074CE8"/>
    <w:rsid w:val="7C1F52BA"/>
    <w:rsid w:val="7C2A25DC"/>
    <w:rsid w:val="7C2D5C29"/>
    <w:rsid w:val="7C3B24C6"/>
    <w:rsid w:val="7C497057"/>
    <w:rsid w:val="7C556F2D"/>
    <w:rsid w:val="7C596A1E"/>
    <w:rsid w:val="7C6C58C7"/>
    <w:rsid w:val="7C8F686A"/>
    <w:rsid w:val="7C920181"/>
    <w:rsid w:val="7C94724B"/>
    <w:rsid w:val="7C975798"/>
    <w:rsid w:val="7CA12806"/>
    <w:rsid w:val="7CAA7279"/>
    <w:rsid w:val="7CAE68CF"/>
    <w:rsid w:val="7CB65C1E"/>
    <w:rsid w:val="7CB974BC"/>
    <w:rsid w:val="7CCC5441"/>
    <w:rsid w:val="7CD92401"/>
    <w:rsid w:val="7CDA3206"/>
    <w:rsid w:val="7CF00FCD"/>
    <w:rsid w:val="7CF5309D"/>
    <w:rsid w:val="7D04167F"/>
    <w:rsid w:val="7D140B97"/>
    <w:rsid w:val="7D33726F"/>
    <w:rsid w:val="7D3E3E65"/>
    <w:rsid w:val="7D3F5670"/>
    <w:rsid w:val="7D586CD5"/>
    <w:rsid w:val="7D657644"/>
    <w:rsid w:val="7D781125"/>
    <w:rsid w:val="7D843DC0"/>
    <w:rsid w:val="7D850C3E"/>
    <w:rsid w:val="7D996C29"/>
    <w:rsid w:val="7DA80A50"/>
    <w:rsid w:val="7DBB2EC3"/>
    <w:rsid w:val="7DE92023"/>
    <w:rsid w:val="7DF764EE"/>
    <w:rsid w:val="7E052F9C"/>
    <w:rsid w:val="7E3B4C99"/>
    <w:rsid w:val="7E503BFB"/>
    <w:rsid w:val="7E551467"/>
    <w:rsid w:val="7E603096"/>
    <w:rsid w:val="7E813F71"/>
    <w:rsid w:val="7E8B1409"/>
    <w:rsid w:val="7E8B646A"/>
    <w:rsid w:val="7E900275"/>
    <w:rsid w:val="7EAB1087"/>
    <w:rsid w:val="7EBB576E"/>
    <w:rsid w:val="7EC80CAE"/>
    <w:rsid w:val="7ED67EC7"/>
    <w:rsid w:val="7EEA0AA5"/>
    <w:rsid w:val="7EEC1DCB"/>
    <w:rsid w:val="7EEC391A"/>
    <w:rsid w:val="7F304C14"/>
    <w:rsid w:val="7F385010"/>
    <w:rsid w:val="7F48345D"/>
    <w:rsid w:val="7F594F87"/>
    <w:rsid w:val="7F812C0C"/>
    <w:rsid w:val="7F932247"/>
    <w:rsid w:val="7FA83136"/>
    <w:rsid w:val="7FCA53DD"/>
    <w:rsid w:val="7FCA591C"/>
    <w:rsid w:val="7FF438C6"/>
    <w:rsid w:val="7FFC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ind w:firstLine="0" w:firstLineChars="0"/>
      <w:outlineLvl w:val="0"/>
    </w:pPr>
    <w:rPr>
      <w:rFonts w:ascii="黑体" w:hAnsi="黑体" w:eastAsia="黑体"/>
      <w:kern w:val="44"/>
      <w:sz w:val="36"/>
      <w:szCs w:val="32"/>
    </w:rPr>
  </w:style>
  <w:style w:type="paragraph" w:styleId="3">
    <w:name w:val="heading 2"/>
    <w:basedOn w:val="1"/>
    <w:next w:val="1"/>
    <w:qFormat/>
    <w:uiPriority w:val="9"/>
    <w:pPr>
      <w:ind w:firstLine="0" w:firstLineChars="0"/>
      <w:jc w:val="left"/>
      <w:outlineLvl w:val="1"/>
    </w:pPr>
    <w:rPr>
      <w:rFonts w:ascii="仿宋" w:hAnsi="仿宋"/>
      <w:b/>
      <w:bCs/>
      <w:kern w:val="0"/>
      <w:sz w:val="32"/>
      <w:szCs w:val="32"/>
    </w:rPr>
  </w:style>
  <w:style w:type="paragraph" w:styleId="4">
    <w:name w:val="heading 3"/>
    <w:basedOn w:val="1"/>
    <w:next w:val="1"/>
    <w:qFormat/>
    <w:uiPriority w:val="9"/>
    <w:pPr>
      <w:ind w:firstLine="0" w:firstLineChars="0"/>
      <w:outlineLvl w:val="2"/>
    </w:pPr>
    <w:rPr>
      <w:b/>
      <w:bCs/>
      <w:kern w:val="0"/>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line="0" w:lineRule="atLeast"/>
    </w:pPr>
    <w:rPr>
      <w:rFonts w:eastAsia="小标宋"/>
      <w:sz w:val="44"/>
    </w:rPr>
  </w:style>
  <w:style w:type="paragraph" w:styleId="7">
    <w:name w:val="Body Text Indent"/>
    <w:basedOn w:val="1"/>
    <w:next w:val="1"/>
    <w:qFormat/>
    <w:uiPriority w:val="0"/>
    <w:pPr>
      <w:adjustRightInd/>
      <w:snapToGrid/>
      <w:spacing w:line="240" w:lineRule="auto"/>
      <w:ind w:firstLine="560"/>
    </w:pPr>
    <w:rPr>
      <w:rFonts w:eastAsia="宋体"/>
      <w:sz w:val="28"/>
      <w:szCs w:val="24"/>
    </w:rPr>
  </w:style>
  <w:style w:type="paragraph" w:styleId="8">
    <w:name w:val="footer"/>
    <w:basedOn w:val="1"/>
    <w:unhideWhenUsed/>
    <w:qFormat/>
    <w:uiPriority w:val="99"/>
    <w:pPr>
      <w:tabs>
        <w:tab w:val="center" w:pos="4153"/>
        <w:tab w:val="right" w:pos="8306"/>
      </w:tabs>
    </w:pPr>
    <w:rPr>
      <w:rFonts w:ascii="等线" w:hAnsi="等线" w:eastAsia="等线"/>
      <w:kern w:val="0"/>
      <w:sz w:val="18"/>
      <w:szCs w:val="18"/>
    </w:rPr>
  </w:style>
  <w:style w:type="paragraph" w:styleId="9">
    <w:name w:val="header"/>
    <w:basedOn w:val="1"/>
    <w:next w:val="1"/>
    <w:unhideWhenUsed/>
    <w:qFormat/>
    <w:uiPriority w:val="99"/>
    <w:pPr>
      <w:pBdr>
        <w:bottom w:val="single" w:color="auto" w:sz="6" w:space="1"/>
      </w:pBdr>
      <w:tabs>
        <w:tab w:val="center" w:pos="4153"/>
        <w:tab w:val="right" w:pos="8306"/>
      </w:tabs>
      <w:jc w:val="center"/>
    </w:pPr>
    <w:rPr>
      <w:rFonts w:ascii="等线" w:hAnsi="等线" w:eastAsia="等线"/>
      <w:kern w:val="0"/>
      <w:sz w:val="18"/>
      <w:szCs w:val="18"/>
    </w:rPr>
  </w:style>
  <w:style w:type="paragraph" w:styleId="10">
    <w:name w:val="toc 1"/>
    <w:basedOn w:val="1"/>
    <w:next w:val="1"/>
    <w:unhideWhenUsed/>
    <w:qFormat/>
    <w:uiPriority w:val="39"/>
    <w:pPr>
      <w:spacing w:line="240" w:lineRule="auto"/>
    </w:pPr>
    <w:rPr>
      <w:rFonts w:eastAsia="黑体"/>
      <w:sz w:val="28"/>
    </w:rPr>
  </w:style>
  <w:style w:type="paragraph" w:styleId="11">
    <w:name w:val="Subtitle"/>
    <w:basedOn w:val="1"/>
    <w:next w:val="1"/>
    <w:qFormat/>
    <w:uiPriority w:val="0"/>
    <w:pPr>
      <w:wordWrap w:val="0"/>
      <w:spacing w:after="60"/>
      <w:ind w:left="1024"/>
      <w:jc w:val="center"/>
    </w:pPr>
    <w:rPr>
      <w:rFonts w:ascii="Times New Roman" w:hAnsi="Times New Roman" w:eastAsia="宋体" w:cs="Times New Roman"/>
      <w:lang w:val="en-US" w:eastAsia="zh-CN" w:bidi="ar-SA"/>
    </w:rPr>
  </w:style>
  <w:style w:type="paragraph" w:styleId="12">
    <w:name w:val="toc 2"/>
    <w:basedOn w:val="1"/>
    <w:next w:val="1"/>
    <w:unhideWhenUsed/>
    <w:qFormat/>
    <w:uiPriority w:val="39"/>
    <w:pPr>
      <w:spacing w:line="240" w:lineRule="auto"/>
      <w:ind w:left="200" w:leftChars="200"/>
    </w:pPr>
    <w:rPr>
      <w:rFonts w:eastAsia="楷体"/>
      <w:sz w:val="28"/>
    </w:rPr>
  </w:style>
  <w:style w:type="paragraph" w:styleId="13">
    <w:name w:val="Normal (Web)"/>
    <w:basedOn w:val="1"/>
    <w:qFormat/>
    <w:uiPriority w:val="0"/>
    <w:rPr>
      <w:sz w:val="24"/>
    </w:rPr>
  </w:style>
  <w:style w:type="paragraph" w:styleId="14">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paragraph" w:styleId="15">
    <w:name w:val="Body Text First Indent"/>
    <w:basedOn w:val="6"/>
    <w:next w:val="1"/>
    <w:qFormat/>
    <w:uiPriority w:val="0"/>
  </w:style>
  <w:style w:type="paragraph" w:styleId="16">
    <w:name w:val="Body Text First Indent 2"/>
    <w:basedOn w:val="7"/>
    <w:next w:val="11"/>
    <w:unhideWhenUsed/>
    <w:qFormat/>
    <w:uiPriority w:val="99"/>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font01"/>
    <w:qFormat/>
    <w:uiPriority w:val="0"/>
    <w:rPr>
      <w:rFonts w:hint="eastAsia" w:ascii="宋体" w:hAnsi="宋体" w:eastAsia="宋体" w:cs="宋体"/>
      <w:color w:val="0000FF"/>
      <w:sz w:val="21"/>
      <w:szCs w:val="21"/>
      <w:u w:val="none"/>
    </w:rPr>
  </w:style>
  <w:style w:type="character" w:customStyle="1" w:styleId="22">
    <w:name w:val="font91"/>
    <w:qFormat/>
    <w:uiPriority w:val="0"/>
    <w:rPr>
      <w:rFonts w:hint="default" w:ascii="Times New Roman" w:hAnsi="Times New Roman" w:cs="Times New Roman"/>
      <w:color w:val="0000FF"/>
      <w:sz w:val="21"/>
      <w:szCs w:val="21"/>
      <w:u w:val="none"/>
    </w:rPr>
  </w:style>
  <w:style w:type="paragraph" w:customStyle="1" w:styleId="23">
    <w:name w:val="Default"/>
    <w:basedOn w:val="1"/>
    <w:qFormat/>
    <w:uiPriority w:val="99"/>
    <w:pPr>
      <w:autoSpaceDE w:val="0"/>
      <w:autoSpaceDN w:val="0"/>
      <w:adjustRightInd w:val="0"/>
      <w:jc w:val="left"/>
    </w:pPr>
    <w:rPr>
      <w:rFonts w:ascii="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ca5f9413-adf5-443b-a5e0-a90f56c90c34</errorID>
      <errorWord>核心</errorWord>
      <group>L1_AI</group>
      <groupName>深度校对</groupName>
      <ability>L2_AI_Word</ability>
      <abilityName>字词纠错</abilityName>
      <candidateList>
        <item>的核心</item>
      </candidateList>
      <explain/>
      <paraID>61FFA152</paraID>
      <start>27</start>
      <end>30</end>
      <status>modified</status>
      <modifiedWord>的核心</modifiedWord>
      <trackRevisions>false</trackRevisions>
    </reviewItem>
    <reviewItem>
      <errorID>adf96e9f-1d26-4020-b539-6e7ade707d02</errorID>
      <errorWord>得到</errorWord>
      <group>L1_AI</group>
      <groupName>深度校对</groupName>
      <ability>L2_AI_Grammar</ability>
      <abilityName>语法纠错</abilityName>
      <candidateList>
        <item>水平得到</item>
      </candidateList>
      <explain/>
      <paraID>14BE3114</paraID>
      <start>122</start>
      <end>126</end>
      <status>modified</status>
      <modifiedWord>水平得到</modifiedWord>
      <trackRevisions>false</trackRevisions>
    </reviewItem>
    <reviewItem>
      <errorID>9a5fbcf6-ee68-413b-889a-4f9e26719f19</errorID>
      <errorWord>续</errorWord>
      <group>L1_AI</group>
      <groupName>深度校对</groupName>
      <ability>L2_AI_Word</ability>
      <abilityName>字词纠错</abilityName>
      <candidateList>
        <item>持续</item>
      </candidateList>
      <explain/>
      <paraID>6AE04F65</paraID>
      <start>256</start>
      <end>258</end>
      <status>modified</status>
      <modifiedWord>持续</modifiedWord>
      <trackRevisions>false</trackRevisions>
    </reviewItem>
    <reviewItem>
      <errorID>934b6327-f840-4a2c-90fd-174c15c44f6f</errorID>
      <errorWord>稳重求进</errorWord>
      <group>L1_Political</group>
      <groupName>政治性问题</groupName>
      <ability>L2_Keyword</ability>
      <abilityName>固定表述</abilityName>
      <candidateList>
        <item>稳中求进</item>
      </candidateList>
      <explain>词汇“稳中求进”在特定场景下为固定表述形式，请确认此处的“稳重求进”是否存在不当。</explain>
      <paraID>17F7AF75</paraID>
      <start>121</start>
      <end>125</end>
      <status>modified</status>
      <modifiedWord>稳中求进</modifiedWord>
      <trackRevisions>false</trackRevisions>
    </reviewItem>
    <reviewItem>
      <errorID>3c616a66-96b7-4885-be29-d90fe8d9842e</errorID>
      <errorWord>良田良种良机良法协同增效</errorWord>
      <group>L1_Political</group>
      <groupName>政治性问题</groupName>
      <ability>L2_Keyword</ability>
      <abilityName>固定表述</abilityName>
      <candidateList>
        <item>良田良种良机良法集成增效</item>
      </candidateList>
      <explain>词汇“良田良种良机良法集成增效”在特定场景下为固定表述形式，请确认此处的“良田良种良机良法协同增效”是否存在不当。</explain>
      <paraID>61ACE5BD</paraID>
      <start>33</start>
      <end>45</end>
      <status>modified</status>
      <modifiedWord>良田良种良机良法集成增效</modifiedWord>
      <trackRevisions>false</trackRevisions>
    </reviewItem>
    <reviewItem>
      <errorID>0341abc7-6680-447b-af55-4f5b27c31077</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61ACE5BD</paraID>
      <start>65</start>
      <end>71</end>
      <status>modified</status>
      <modifiedWord>“揭榜挂帅”</modifiedWord>
      <trackRevisions>false</trackRevisions>
    </reviewItem>
    <reviewItem>
      <errorID>a85baf05-3154-4099-99e2-1633be84cd03</errorID>
      <errorWord>加</errorWord>
      <group>L1_Word</group>
      <groupName>字词问题</groupName>
      <ability>L2_Typo</ability>
      <abilityName>字词错误</abilityName>
      <candidateList>
        <item>加快</item>
      </candidateList>
      <explain/>
      <paraID>55FAB3B0</paraID>
      <start>194</start>
      <end>196</end>
      <status>modified</status>
      <modifiedWord>加快</modifiedWord>
      <trackRevisions>false</trackRevisions>
    </reviewItem>
    <reviewItem>
      <errorID>75a8159e-18f5-49ea-91e4-c0c982fb4339</errorID>
      <errorWord>万平米</errorWord>
      <group>L1_Word</group>
      <groupName>字词问题</groupName>
      <ability>L2_Typo</ability>
      <abilityName>字词错误</abilityName>
      <candidateList>
        <item>万平方米</item>
      </candidateList>
      <explain/>
      <paraID> DD7D171</paraID>
      <start>11</start>
      <end>15</end>
      <status>modified</status>
      <modifiedWord>万平方米</modifiedWord>
      <trackRevisions>false</trackRevisions>
    </reviewItem>
    <reviewItem>
      <errorID>670645fc-9738-4ca3-b36d-302232d395df</errorID>
      <errorWord>项</errorWord>
      <group>L1_Word</group>
      <groupName>字词问题</groupName>
      <ability>L2_Typo</ability>
      <abilityName>字词错误</abilityName>
      <candidateList>
        <item>项目</item>
      </candidateList>
      <explain>〈名〉事物分成的门类：服务～｜体育～｜建设～。</explain>
      <paraID>65C809FC</paraID>
      <start>21</start>
      <end>23</end>
      <status>modified</status>
      <modifiedWord>项目</modifiedWord>
      <trackRevisions>false</trackRevisions>
    </reviewItem>
    <reviewItem>
      <errorID>a0e2de51-88d6-456f-b783-7a6d4c4689f1</errorID>
      <errorWord>项</errorWord>
      <group>L1_Word</group>
      <groupName>字词问题</groupName>
      <ability>L2_Typo</ability>
      <abilityName>字词错误</abilityName>
      <candidateList>
        <item>项目</item>
      </candidateList>
      <explain>〈名〉事物分成的门类：服务～｜体育～｜建设～。</explain>
      <paraID>7B6DF85B</paraID>
      <start>22</start>
      <end>24</end>
      <status>modified</status>
      <modifiedWord>项目</modifiedWord>
      <trackRevisions>false</trackRevisions>
    </reviewItem>
    <reviewItem>
      <errorID>a630f91b-1fd8-4c0d-a87a-d9efbb89d88f</errorID>
      <errorWord>强</errorWord>
      <group>L1_Word</group>
      <groupName>字词问题</groupName>
      <ability>L2_Typo</ability>
      <abilityName>字词错误</abilityName>
      <candidateList>
        <item>强和</item>
      </candidateList>
      <explain/>
      <paraID>72704D0F</paraID>
      <start>2</start>
      <end>4</end>
      <status>modified</status>
      <modifiedWord>强和</modifiedWord>
      <trackRevisions>false</trackRevisions>
    </reviewItem>
    <reviewItem>
      <errorID>71f8fb28-0769-4d7b-bc6c-d267f6c88757</errorID>
      <errorWord>蔬莱</errorWord>
      <group>L1_Word</group>
      <groupName>字词问题</groupName>
      <ability>L2_Typo</ability>
      <abilityName>字词错误</abilityName>
      <candidateList>
        <item>蔬菜</item>
      </candidateList>
      <explain/>
      <paraID>25FCD26A</paraID>
      <start>11</start>
      <end>13</end>
      <status>modified</status>
      <modifiedWord>蔬菜</modifiedWord>
      <trackRevisions>false</trackRevisions>
    </reviewItem>
    <reviewItem>
      <errorID>995e09f7-acc6-4546-b236-1ae9dc4d3536</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3FA72F67</paraID>
      <start>9</start>
      <end>16</end>
      <status>modified</status>
      <modifiedWord>一二三产业融合</modifiedWord>
      <trackRevisions>false</trackRevisions>
    </reviewItem>
    <reviewItem>
      <errorID>9a86af97-ad21-43c1-b002-c8c5dc662e80</errorID>
      <errorWord>相关配合</errorWord>
      <group>L1_Word</group>
      <groupName>字词问题</groupName>
      <ability>L2_Typo</ability>
      <abilityName>字词错误</abilityName>
      <candidateList>
        <item>相互配合</item>
      </candidateList>
      <explain/>
      <paraID>6F812A84</paraID>
      <start>127</start>
      <end>131</end>
      <status>modified</status>
      <modifiedWord>相互配合</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ece50-d2f2-4fec-b2f7-097907a9710e}">
  <ds:schemaRefs/>
</ds:datastoreItem>
</file>

<file path=docProps/app.xml><?xml version="1.0" encoding="utf-8"?>
<Properties xmlns="http://schemas.openxmlformats.org/officeDocument/2006/extended-properties" xmlns:vt="http://schemas.openxmlformats.org/officeDocument/2006/docPropsVTypes">
  <Template>Normal.dotm</Template>
  <Pages>46</Pages>
  <Words>9792</Words>
  <Characters>10031</Characters>
  <Lines>0</Lines>
  <Paragraphs>0</Paragraphs>
  <TotalTime>13</TotalTime>
  <ScaleCrop>false</ScaleCrop>
  <LinksUpToDate>false</LinksUpToDate>
  <CharactersWithSpaces>10199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2025-08-12T10:17:00Z</dcterms:created>
  <dc:creator>张艳丽</dc:creator>
  <cp:lastModifiedBy>不凉</cp:lastModifiedBy>
  <cp:lastPrinted>2026-04-23T09:25:00Z</cp:lastPrinted>
  <dcterms:modified xsi:type="dcterms:W3CDTF">2026-04-24T12:16:33Z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3882827030A34505BA80DEAEA7FF25EC_13</vt:lpwstr>
  </property>
  <property fmtid="{D5CDD505-2E9C-101B-9397-08002B2CF9AE}" pid="4" name="KSOTemplateDocerSaveRecord">
    <vt:lpwstr>eyJoZGlkIjoiMmVjNTc0ODI5OWQwMTQ4MDA5ZDA5OTg5MmEzZjc4ZWQiLCJ1c2VySWQiOiIyOTcyNDIyNzgifQ==</vt:lpwstr>
  </property>
</Properties>
</file>