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right="0"/>
        <w:jc w:val="both"/>
        <w:textAlignment w:val="auto"/>
        <w:rPr>
          <w:rFonts w:hint="eastAsia" w:ascii="方正小标宋简体" w:hAnsi="方正小标宋简体" w:eastAsia="方正小标宋简体" w:cs="方正小标宋简体"/>
          <w:color w:val="000000" w:themeColor="text1"/>
          <w:kern w:val="0"/>
          <w:sz w:val="72"/>
          <w:szCs w:val="72"/>
          <w:highlight w:val="none"/>
          <w:lang w:val="en-US" w:eastAsia="zh-CN" w:bidi="ar"/>
          <w14:textFill>
            <w14:solidFill>
              <w14:schemeClr w14:val="tx1"/>
            </w14:solidFill>
          </w14:textFill>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00" w:lineRule="auto"/>
        <w:ind w:right="0"/>
        <w:jc w:val="center"/>
        <w:textAlignment w:val="auto"/>
        <w:rPr>
          <w:rFonts w:hint="eastAsia" w:ascii="方正小标宋简体" w:hAnsi="方正小标宋简体" w:eastAsia="方正小标宋简体" w:cs="方正小标宋简体"/>
          <w:color w:val="000000" w:themeColor="text1"/>
          <w:kern w:val="0"/>
          <w:sz w:val="72"/>
          <w:szCs w:val="72"/>
          <w:highlight w:val="none"/>
          <w:lang w:val="en-US" w:eastAsia="zh-CN" w:bidi="ar"/>
          <w14:textFill>
            <w14:solidFill>
              <w14:schemeClr w14:val="tx1"/>
            </w14:solidFill>
          </w14:textFill>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00" w:lineRule="auto"/>
        <w:ind w:right="0"/>
        <w:jc w:val="center"/>
        <w:textAlignment w:val="auto"/>
        <w:rPr>
          <w:rFonts w:hint="eastAsia" w:ascii="方正小标宋简体" w:hAnsi="方正小标宋简体" w:eastAsia="方正小标宋简体" w:cs="方正小标宋简体"/>
          <w:color w:val="000000" w:themeColor="text1"/>
          <w:kern w:val="0"/>
          <w:sz w:val="72"/>
          <w:szCs w:val="72"/>
          <w:highlight w:val="none"/>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72"/>
          <w:szCs w:val="72"/>
          <w:highlight w:val="none"/>
          <w:lang w:val="en-US" w:eastAsia="zh-CN" w:bidi="ar"/>
          <w14:textFill>
            <w14:solidFill>
              <w14:schemeClr w14:val="tx1"/>
            </w14:solidFill>
          </w14:textFill>
        </w:rPr>
        <w:t>第五师双河市“十五五”</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00" w:lineRule="auto"/>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72"/>
          <w:szCs w:val="72"/>
          <w:highlight w:val="none"/>
          <w:shd w:val="clear"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72"/>
          <w:szCs w:val="72"/>
          <w:highlight w:val="none"/>
          <w:lang w:val="en-US" w:eastAsia="zh-CN" w:bidi="ar"/>
          <w14:textFill>
            <w14:solidFill>
              <w14:schemeClr w14:val="tx1"/>
            </w14:solidFill>
          </w14:textFill>
        </w:rPr>
        <w:t>教育事业发展规划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00" w:lineRule="auto"/>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44"/>
          <w:szCs w:val="44"/>
          <w:highlight w:val="none"/>
          <w:shd w:val="clear" w:fill="FFFFFF"/>
          <w:lang w:val="en-US" w:eastAsia="zh-CN"/>
          <w14:textFill>
            <w14:solidFill>
              <w14:schemeClr w14:val="tx1"/>
            </w14:solidFill>
          </w14:textFill>
        </w:rPr>
        <w:t>（征求意见稿）</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00" w:lineRule="auto"/>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7404"/>
        </w:tabs>
        <w:kinsoku/>
        <w:wordWrap/>
        <w:overflowPunct/>
        <w:topLinePunct w:val="0"/>
        <w:autoSpaceDE/>
        <w:autoSpaceDN/>
        <w:bidi w:val="0"/>
        <w:adjustRightInd/>
        <w:snapToGrid/>
        <w:spacing w:before="0" w:beforeAutospacing="0" w:after="0" w:afterLines="0" w:afterAutospacing="0" w:line="300" w:lineRule="auto"/>
        <w:ind w:right="0"/>
        <w:jc w:val="left"/>
        <w:textAlignment w:val="auto"/>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tab/>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00" w:lineRule="auto"/>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00" w:lineRule="auto"/>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00" w:lineRule="auto"/>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00" w:lineRule="auto"/>
        <w:ind w:right="0"/>
        <w:jc w:val="center"/>
        <w:textAlignment w:val="auto"/>
        <w:rPr>
          <w:rFonts w:hint="eastAsia" w:ascii="楷体_GB2312" w:hAnsi="楷体_GB2312" w:eastAsia="楷体_GB2312" w:cs="楷体_GB2312"/>
          <w:i w:val="0"/>
          <w:iCs w:val="0"/>
          <w:caps w:val="0"/>
          <w:color w:val="000000" w:themeColor="text1"/>
          <w:spacing w:val="0"/>
          <w:sz w:val="44"/>
          <w:szCs w:val="44"/>
          <w:highlight w:val="none"/>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44"/>
          <w:szCs w:val="44"/>
          <w:highlight w:val="none"/>
          <w:shd w:val="clear" w:fill="FFFFFF"/>
          <w:lang w:val="en-US" w:eastAsia="zh-CN"/>
          <w14:textFill>
            <w14:solidFill>
              <w14:schemeClr w14:val="tx1"/>
            </w14:solidFill>
          </w14:textFill>
        </w:rPr>
        <w:t>第五师双河市教育局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00" w:lineRule="auto"/>
        <w:ind w:right="0"/>
        <w:jc w:val="center"/>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48"/>
          <w:szCs w:val="48"/>
          <w:highlight w:val="none"/>
          <w:shd w:val="clear" w:fill="FFFFFF"/>
          <w:lang w:val="en-US" w:eastAsia="zh-CN"/>
          <w14:textFill>
            <w14:solidFill>
              <w14:schemeClr w14:val="tx1"/>
            </w14:solidFill>
          </w14:textFill>
        </w:rPr>
        <w:t>2026年5月</w:t>
      </w:r>
    </w:p>
    <w:p>
      <w:pPr>
        <w:pStyle w:val="11"/>
        <w:tabs>
          <w:tab w:val="right" w:leader="dot" w:pos="8732"/>
        </w:tabs>
        <w:spacing w:afterLines="0" w:line="560" w:lineRule="exact"/>
        <w:ind w:left="0" w:leftChars="0"/>
        <w:jc w:val="cente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p>
    <w:p>
      <w:pPr>
        <w:pStyle w:val="11"/>
        <w:tabs>
          <w:tab w:val="right" w:leader="dot" w:pos="8732"/>
        </w:tabs>
        <w:spacing w:afterLines="0" w:line="560" w:lineRule="exact"/>
        <w:ind w:left="0" w:leftChars="0"/>
        <w:jc w:val="cente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p>
    <w:p>
      <w:pPr>
        <w:pStyle w:val="11"/>
        <w:tabs>
          <w:tab w:val="right" w:leader="dot" w:pos="8732"/>
        </w:tabs>
        <w:spacing w:afterLines="0" w:line="560" w:lineRule="exact"/>
        <w:ind w:left="0" w:leftChars="0"/>
        <w:jc w:val="cente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p>
    <w:p>
      <w:pPr>
        <w:pStyle w:val="11"/>
        <w:tabs>
          <w:tab w:val="right" w:leader="dot" w:pos="8732"/>
        </w:tabs>
        <w:spacing w:afterLines="0" w:line="560" w:lineRule="exact"/>
        <w:ind w:left="0" w:leftChars="0"/>
        <w:jc w:val="cente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sectPr>
          <w:headerReference r:id="rId3" w:type="default"/>
          <w:footerReference r:id="rId4" w:type="default"/>
          <w:pgSz w:w="11906" w:h="16838"/>
          <w:pgMar w:top="2098" w:right="1587" w:bottom="2098" w:left="1587" w:header="851" w:footer="992" w:gutter="0"/>
          <w:pgNumType w:fmt="numberInDash"/>
          <w:cols w:space="425" w:num="1"/>
          <w:docGrid w:type="lines" w:linePitch="312" w:charSpace="0"/>
        </w:sectPr>
      </w:pPr>
    </w:p>
    <w:p>
      <w:pPr>
        <w:pStyle w:val="11"/>
        <w:tabs>
          <w:tab w:val="right" w:leader="dot" w:pos="8732"/>
        </w:tabs>
        <w:spacing w:afterLines="0" w:line="560" w:lineRule="exact"/>
        <w:ind w:left="0" w:leftChars="0"/>
        <w:jc w:val="cente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t>目  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9"/>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TOC \o "1-2" \h \u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_Toc19472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黑体" w:hAnsi="黑体" w:eastAsia="黑体" w:cs="黑体"/>
          <w:color w:val="000000" w:themeColor="text1"/>
          <w:sz w:val="32"/>
          <w:szCs w:val="32"/>
          <w:highlight w:val="none"/>
          <w:lang w:val="en-US" w:eastAsia="zh-CN"/>
          <w14:textFill>
            <w14:solidFill>
              <w14:schemeClr w14:val="tx1"/>
            </w14:solidFill>
          </w14:textFill>
        </w:rPr>
        <w:t>一、发展基础与面临形势</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_Toc19472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_Toc26681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Cs/>
          <w:color w:val="000000" w:themeColor="text1"/>
          <w:sz w:val="32"/>
          <w:szCs w:val="32"/>
          <w:highlight w:val="none"/>
          <w14:textFill>
            <w14:solidFill>
              <w14:schemeClr w14:val="tx1"/>
            </w14:solidFill>
          </w14:textFill>
        </w:rPr>
        <w:t>教育现代化建设取得重要进展</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_Toc26681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_Toc32495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color w:val="000000" w:themeColor="text1"/>
          <w:sz w:val="32"/>
          <w:szCs w:val="32"/>
          <w:highlight w:val="none"/>
          <w:lang w:val="en-US" w:eastAsia="zh-CN"/>
          <w14:textFill>
            <w14:solidFill>
              <w14:schemeClr w14:val="tx1"/>
            </w14:solidFill>
          </w14:textFill>
        </w:rPr>
        <w:t>（二）面临形势</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_Toc32495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- 5 -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9"/>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_Toc11309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黑体" w:hAnsi="黑体" w:eastAsia="黑体" w:cs="黑体"/>
          <w:color w:val="000000" w:themeColor="text1"/>
          <w:sz w:val="32"/>
          <w:szCs w:val="32"/>
          <w:highlight w:val="none"/>
          <w:lang w:val="en-US" w:eastAsia="zh-CN"/>
          <w14:textFill>
            <w14:solidFill>
              <w14:schemeClr w14:val="tx1"/>
            </w14:solidFill>
          </w14:textFill>
        </w:rPr>
        <w:t>二、“十五五”教育发展的主要思路</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_Toc11309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- 6 -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_Toc30594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color w:val="000000" w:themeColor="text1"/>
          <w:sz w:val="32"/>
          <w:szCs w:val="32"/>
          <w:highlight w:val="none"/>
          <w:lang w:val="en-US" w:eastAsia="zh-CN"/>
          <w14:textFill>
            <w14:solidFill>
              <w14:schemeClr w14:val="tx1"/>
            </w14:solidFill>
          </w14:textFill>
        </w:rPr>
        <w:t>（一）指导思想</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_Toc30594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- 6 -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_Toc26308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color w:val="000000" w:themeColor="text1"/>
          <w:sz w:val="32"/>
          <w:szCs w:val="32"/>
          <w:highlight w:val="none"/>
          <w:lang w:val="en-US" w:eastAsia="zh-CN"/>
          <w14:textFill>
            <w14:solidFill>
              <w14:schemeClr w14:val="tx1"/>
            </w14:solidFill>
          </w14:textFill>
        </w:rPr>
        <w:t>（二）基本原则</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_Toc26308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- 7 -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_Toc1515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color w:val="000000" w:themeColor="text1"/>
          <w:sz w:val="32"/>
          <w:szCs w:val="32"/>
          <w:highlight w:val="none"/>
          <w:lang w:val="en-US" w:eastAsia="zh-CN"/>
          <w14:textFill>
            <w14:solidFill>
              <w14:schemeClr w14:val="tx1"/>
            </w14:solidFill>
          </w14:textFill>
        </w:rPr>
        <w:t>（三）发展目标</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_Toc1515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- 8 -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9"/>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_Toc32666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黑体" w:hAnsi="黑体" w:eastAsia="黑体" w:cs="黑体"/>
          <w:bCs/>
          <w:color w:val="000000" w:themeColor="text1"/>
          <w:sz w:val="32"/>
          <w:szCs w:val="32"/>
          <w:highlight w:val="none"/>
          <w:lang w:val="en-US" w:eastAsia="zh-CN"/>
          <w14:textFill>
            <w14:solidFill>
              <w14:schemeClr w14:val="tx1"/>
            </w14:solidFill>
          </w14:textFill>
        </w:rPr>
        <w:t>三、持续完善</w:t>
      </w:r>
      <w:r>
        <w:rPr>
          <w:rFonts w:hint="eastAsia" w:ascii="黑体" w:hAnsi="黑体" w:eastAsia="黑体" w:cs="黑体"/>
          <w:bCs/>
          <w:color w:val="000000" w:themeColor="text1"/>
          <w:sz w:val="32"/>
          <w:szCs w:val="32"/>
          <w:highlight w:val="none"/>
          <w14:textFill>
            <w14:solidFill>
              <w14:schemeClr w14:val="tx1"/>
            </w14:solidFill>
          </w14:textFill>
        </w:rPr>
        <w:t>立德树人</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落实机制</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_Toc32666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- 10 -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_Toc29522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加强学校思想政治教育</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_Toc29522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- 10 -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_Toc844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实施强健学生体质计划</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_Toc844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- 11 -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_Toc10665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（三）</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实施美育浸润行动</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_Toc10665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- 12 -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_Toc11431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（四）</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实施</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劳动习惯养成计划</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_Toc11431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- 13 -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_Toc5794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（五）普及心理健康教育</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_Toc5794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- 14 -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_Toc16449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（六）</w:t>
      </w:r>
      <w:r>
        <w:rPr>
          <w:rFonts w:hint="eastAsia" w:ascii="楷体_GB2312" w:hAnsi="楷体_GB2312" w:eastAsia="楷体_GB2312" w:cs="楷体_GB2312"/>
          <w:bCs w:val="0"/>
          <w:color w:val="auto"/>
          <w:sz w:val="32"/>
          <w:szCs w:val="32"/>
          <w:highlight w:val="none"/>
        </w:rPr>
        <w:t>培育科学素养</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_Toc16449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- 14 -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9"/>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_Toc2916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黑体" w:hAnsi="黑体" w:eastAsia="黑体" w:cs="黑体"/>
          <w:bCs/>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bCs/>
          <w:color w:val="000000" w:themeColor="text1"/>
          <w:sz w:val="32"/>
          <w:szCs w:val="32"/>
          <w:highlight w:val="none"/>
          <w14:textFill>
            <w14:solidFill>
              <w14:schemeClr w14:val="tx1"/>
            </w14:solidFill>
          </w14:textFill>
        </w:rPr>
        <w:t>推进各类教育</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高质量</w:t>
      </w:r>
      <w:r>
        <w:rPr>
          <w:rFonts w:hint="eastAsia" w:ascii="黑体" w:hAnsi="黑体" w:eastAsia="黑体" w:cs="黑体"/>
          <w:bCs/>
          <w:color w:val="000000" w:themeColor="text1"/>
          <w:sz w:val="32"/>
          <w:szCs w:val="32"/>
          <w:highlight w:val="none"/>
          <w14:textFill>
            <w14:solidFill>
              <w14:schemeClr w14:val="tx1"/>
            </w14:solidFill>
          </w14:textFill>
        </w:rPr>
        <w:t>发展</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_Toc2916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- 15 -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_Toc5611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）推进</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学前教育优质普惠</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_Toc5611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- 15 -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_Toc9911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深化义务教育扩优提质</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_Toc9911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- 16 -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_Toc18075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推动师域普通高中优质多元发展</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_Toc18075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- 16 -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_Toc1476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四</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促进职业教育提质</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扩容</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_Toc1476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- 17 -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_Toc27327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五</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）构建服务全民终身学习体系</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_Toc27327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- 18 -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_Toc6040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（六）健全特殊</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教育和专门教育保障机制</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_Toc6040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- 19 -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9"/>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_Toc29725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黑体" w:hAnsi="黑体" w:eastAsia="黑体" w:cs="黑体"/>
          <w:bCs/>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bCs/>
          <w:color w:val="000000" w:themeColor="text1"/>
          <w:sz w:val="32"/>
          <w:szCs w:val="32"/>
          <w:highlight w:val="none"/>
          <w14:textFill>
            <w14:solidFill>
              <w14:schemeClr w14:val="tx1"/>
            </w14:solidFill>
          </w14:textFill>
        </w:rPr>
        <w:t>建设更高质量教师队伍</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_Toc29725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- 19 -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_Toc4624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强化师德师风建设</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_Toc4624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- 19 -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_Toc18339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）实施教师教育能力提升工程</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_Toc18339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- 20 -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_Toc15064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保障教师地位待遇</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_Toc15064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- 21 -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9"/>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_Toc7899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黑体" w:hAnsi="黑体" w:eastAsia="黑体" w:cs="黑体"/>
          <w:bCs/>
          <w:color w:val="000000" w:themeColor="text1"/>
          <w:sz w:val="32"/>
          <w:szCs w:val="32"/>
          <w:highlight w:val="none"/>
          <w:lang w:val="en-US" w:eastAsia="zh-CN"/>
          <w14:textFill>
            <w14:solidFill>
              <w14:schemeClr w14:val="tx1"/>
            </w14:solidFill>
          </w14:textFill>
        </w:rPr>
        <w:t>六、大力</w:t>
      </w:r>
      <w:r>
        <w:rPr>
          <w:rFonts w:hint="eastAsia" w:ascii="黑体" w:hAnsi="黑体" w:eastAsia="黑体" w:cs="黑体"/>
          <w:bCs/>
          <w:color w:val="000000" w:themeColor="text1"/>
          <w:sz w:val="32"/>
          <w:szCs w:val="32"/>
          <w:highlight w:val="none"/>
          <w14:textFill>
            <w14:solidFill>
              <w14:schemeClr w14:val="tx1"/>
            </w14:solidFill>
          </w14:textFill>
        </w:rPr>
        <w:t>提升办学品质内涵</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_Toc7899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- 22 -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_Toc3487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优化教育资源布局</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_Toc3487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- 22 -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_Toc13790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创新内涵建设</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_Toc13790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- 22 -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_Toc20656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（三）推进教育数字化建设</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_Toc20656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- 23 -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9"/>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_Toc12794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黑体" w:hAnsi="黑体" w:eastAsia="黑体" w:cs="黑体"/>
          <w:bCs/>
          <w:color w:val="000000" w:themeColor="text1"/>
          <w:sz w:val="32"/>
          <w:szCs w:val="32"/>
          <w:highlight w:val="none"/>
          <w:lang w:val="en-US" w:eastAsia="zh-CN"/>
          <w14:textFill>
            <w14:solidFill>
              <w14:schemeClr w14:val="tx1"/>
            </w14:solidFill>
          </w14:textFill>
        </w:rPr>
        <w:t>七、深化</w:t>
      </w:r>
      <w:r>
        <w:rPr>
          <w:rFonts w:hint="eastAsia" w:ascii="黑体" w:hAnsi="黑体" w:eastAsia="黑体" w:cs="黑体"/>
          <w:bCs/>
          <w:color w:val="000000" w:themeColor="text1"/>
          <w:sz w:val="32"/>
          <w:szCs w:val="32"/>
          <w:highlight w:val="none"/>
          <w14:textFill>
            <w14:solidFill>
              <w14:schemeClr w14:val="tx1"/>
            </w14:solidFill>
          </w14:textFill>
        </w:rPr>
        <w:t>协同</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发展和教育开放</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_Toc12794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- 23 -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_Toc29583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深入推进兵地教育融合</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_Toc29583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- 23 -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_Toc20069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（二）优化教育援疆协作</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_Toc20069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- 24 -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_Toc12113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（三）扩大教育对外开放</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_Toc12113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- 25 -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9"/>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_Toc1975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黑体" w:hAnsi="黑体" w:eastAsia="黑体" w:cs="黑体"/>
          <w:bCs w:val="0"/>
          <w:color w:val="000000" w:themeColor="text1"/>
          <w:sz w:val="32"/>
          <w:szCs w:val="32"/>
          <w:highlight w:val="none"/>
          <w:shd w:val="clear" w:fill="FFFFFF"/>
          <w:lang w:val="en-US" w:eastAsia="zh-CN"/>
          <w14:textFill>
            <w14:solidFill>
              <w14:schemeClr w14:val="tx1"/>
            </w14:solidFill>
          </w14:textFill>
        </w:rPr>
        <w:t>八、</w:t>
      </w:r>
      <w:r>
        <w:rPr>
          <w:rFonts w:hint="eastAsia" w:ascii="黑体" w:hAnsi="黑体" w:eastAsia="黑体" w:cs="黑体"/>
          <w:bCs w:val="0"/>
          <w:i w:val="0"/>
          <w:iCs w:val="0"/>
          <w:caps w:val="0"/>
          <w:color w:val="000000" w:themeColor="text1"/>
          <w:spacing w:val="0"/>
          <w:sz w:val="32"/>
          <w:szCs w:val="32"/>
          <w:highlight w:val="none"/>
          <w:shd w:val="clear" w:fill="FFFFFF"/>
          <w:lang w:val="en-US" w:eastAsia="zh-CN"/>
          <w14:textFill>
            <w14:solidFill>
              <w14:schemeClr w14:val="tx1"/>
            </w14:solidFill>
          </w14:textFill>
        </w:rPr>
        <w:t>提高教育治理现代化能力</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_Toc1975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- 25 -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_Toc24250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（一）提高依法治教能力</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_Toc24250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- 25 -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_Toc1022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深化教育综合改革</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_Toc1022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- 26 -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_Toc29815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加强治理队伍能力建设</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_Toc29815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- 27 -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_Toc9386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（四）提升校园安防保障能力</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_Toc9386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- 27 -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9"/>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_Toc26598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黑体" w:hAnsi="黑体" w:eastAsia="黑体" w:cs="黑体"/>
          <w:color w:val="000000" w:themeColor="text1"/>
          <w:sz w:val="32"/>
          <w:szCs w:val="32"/>
          <w:highlight w:val="none"/>
          <w:lang w:val="en-US" w:eastAsia="zh-CN"/>
          <w14:textFill>
            <w14:solidFill>
              <w14:schemeClr w14:val="tx1"/>
            </w14:solidFill>
          </w14:textFill>
        </w:rPr>
        <w:t>九、以高质量党建引领教育高质量发展</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_Toc26598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- 28 -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_Toc22693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（一）坚持党对教育的全面领导</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_Toc22693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- 28 -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_Toc30018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（二）统筹推进教育系统党的建设</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_Toc30018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- 29 -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_Toc14412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color w:val="000000" w:themeColor="text1"/>
          <w:sz w:val="32"/>
          <w:szCs w:val="32"/>
          <w:highlight w:val="none"/>
          <w:lang w:val="en-US" w:eastAsia="zh-CN"/>
          <w14:textFill>
            <w14:solidFill>
              <w14:schemeClr w14:val="tx1"/>
            </w14:solidFill>
          </w14:textFill>
        </w:rPr>
        <w:t>（三）持之以恒推进党风廉政和作风建设</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_Toc14412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- 29 -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9"/>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_Toc13372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黑体" w:hAnsi="黑体" w:eastAsia="黑体" w:cs="黑体"/>
          <w:color w:val="000000" w:themeColor="text1"/>
          <w:sz w:val="32"/>
          <w:szCs w:val="32"/>
          <w:highlight w:val="none"/>
          <w:lang w:val="en-US" w:eastAsia="zh-CN"/>
          <w14:textFill>
            <w14:solidFill>
              <w14:schemeClr w14:val="tx1"/>
            </w14:solidFill>
          </w14:textFill>
        </w:rPr>
        <w:t>十、实施保障</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_Toc13372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- 30 -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_Toc559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（一）完善教育经费投入机制</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_Toc559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- 30 -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_Toc24642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（二）充分发挥教育督导作用</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_Toc24642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- 31 -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1"/>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\l _Toc1720 </w:instrTex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（三）营造规划实施良好氛围</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_Toc1720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- 32 -</w:t>
      </w:r>
      <w:r>
        <w:rPr>
          <w:color w:val="000000" w:themeColor="text1"/>
          <w:sz w:val="32"/>
          <w:szCs w:val="32"/>
          <w:highlight w:val="none"/>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Cs w:val="32"/>
          <w:highlight w:val="none"/>
          <w:shd w:val="clear" w:fill="FFFFFF"/>
          <w:lang w:val="en-US" w:eastAsia="zh-CN"/>
          <w14:textFill>
            <w14:solidFill>
              <w14:schemeClr w14:val="tx1"/>
            </w14:solidFill>
          </w14:textFill>
        </w:rPr>
        <w:fldChar w:fldCharType="end"/>
      </w:r>
    </w:p>
    <w:p>
      <w:pPr>
        <w:keepNext w:val="0"/>
        <w:keepLines w:val="0"/>
        <w:pageBreakBefore w:val="0"/>
        <w:widowControl w:val="0"/>
        <w:kinsoku/>
        <w:wordWrap/>
        <w:overflowPunct/>
        <w:autoSpaceDE/>
        <w:autoSpaceDN/>
        <w:bidi w:val="0"/>
        <w:spacing w:afterLines="0" w:line="56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autoSpaceDE/>
        <w:autoSpaceDN/>
        <w:bidi w:val="0"/>
        <w:spacing w:afterLines="0" w:line="56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autoSpaceDE/>
        <w:autoSpaceDN/>
        <w:bidi w:val="0"/>
        <w:spacing w:afterLines="0" w:line="56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autoSpaceDE/>
        <w:autoSpaceDN/>
        <w:bidi w:val="0"/>
        <w:spacing w:afterLines="0" w:line="56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autoSpaceDE/>
        <w:autoSpaceDN/>
        <w:bidi w:val="0"/>
        <w:spacing w:afterLines="0" w:line="56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autoSpaceDE/>
        <w:autoSpaceDN/>
        <w:bidi w:val="0"/>
        <w:spacing w:afterLines="0" w:line="56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autoSpaceDE/>
        <w:autoSpaceDN/>
        <w:bidi w:val="0"/>
        <w:spacing w:afterLines="0" w:line="56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autoSpaceDE/>
        <w:autoSpaceDN/>
        <w:bidi w:val="0"/>
        <w:spacing w:afterLines="0" w:line="560" w:lineRule="exact"/>
        <w:textAlignment w:val="auto"/>
        <w:rPr>
          <w:color w:val="000000" w:themeColor="text1"/>
          <w:highlight w:val="none"/>
          <w14:textFill>
            <w14:solidFill>
              <w14:schemeClr w14:val="tx1"/>
            </w14:solidFill>
          </w14:textFill>
        </w:rPr>
      </w:pPr>
    </w:p>
    <w:p>
      <w:pPr>
        <w:pStyle w:val="14"/>
        <w:keepNext w:val="0"/>
        <w:keepLines w:val="0"/>
        <w:pageBreakBefore w:val="0"/>
        <w:widowControl w:val="0"/>
        <w:kinsoku/>
        <w:wordWrap/>
        <w:overflowPunct/>
        <w:autoSpaceDE/>
        <w:autoSpaceDN/>
        <w:bidi w:val="0"/>
        <w:spacing w:after="0" w:line="560" w:lineRule="exact"/>
        <w:ind w:left="0" w:leftChars="0"/>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sectPr>
          <w:footerReference r:id="rId5" w:type="default"/>
          <w:pgSz w:w="11906" w:h="16838"/>
          <w:pgMar w:top="2098" w:right="1587" w:bottom="2098" w:left="1587" w:header="851" w:footer="992" w:gutter="0"/>
          <w:pgNumType w:fmt="upperRoman"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0" w:firstLineChars="200"/>
        <w:jc w:val="both"/>
        <w:textAlignment w:val="auto"/>
        <w:outlineLvl w:val="9"/>
        <w:rPr>
          <w:rFonts w:hint="eastAsia" w:ascii="黑体" w:hAnsi="黑体" w:eastAsia="黑体" w:cs="黑体"/>
          <w:color w:val="000000" w:themeColor="text1"/>
          <w:sz w:val="32"/>
          <w:szCs w:val="32"/>
          <w:highlight w:val="none"/>
          <w:u w:val="none"/>
          <w:lang w:eastAsia="zh-CN"/>
          <w14:textFill>
            <w14:solidFill>
              <w14:schemeClr w14:val="tx1"/>
            </w14:solidFill>
          </w14:textFill>
        </w:rPr>
      </w:pPr>
      <w:bookmarkStart w:id="0" w:name="heading_0"/>
      <w:bookmarkStart w:id="1" w:name="_Toc18246"/>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为办好</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人民满意的教育,</w:t>
      </w:r>
      <w:r>
        <w:rPr>
          <w:rFonts w:hint="eastAsia" w:ascii="仿宋_GB2312" w:hAnsi="仿宋_GB2312" w:eastAsia="仿宋_GB2312" w:cs="仿宋_GB2312"/>
          <w:color w:val="auto"/>
          <w:sz w:val="32"/>
          <w:szCs w:val="32"/>
          <w:highlight w:val="none"/>
          <w:u w:val="none"/>
        </w:rPr>
        <w:t>加快构建更现代、更开放、更优质、更富活力的教育体系</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促进学生全面发展与个性成长,有效服务职工群众终身学习,显著提升教育服务经济社会发展的能</w:t>
      </w:r>
      <w:r>
        <w:rPr>
          <w:rFonts w:hint="eastAsia" w:ascii="仿宋_GB2312" w:hAnsi="仿宋_GB2312" w:eastAsia="仿宋_GB2312" w:cs="仿宋_GB2312"/>
          <w:color w:val="auto"/>
          <w:sz w:val="32"/>
          <w:szCs w:val="32"/>
          <w:highlight w:val="none"/>
          <w:u w:val="none"/>
          <w:lang w:eastAsia="zh-CN"/>
        </w:rPr>
        <w:t>力</w:t>
      </w:r>
      <w:r>
        <w:rPr>
          <w:rFonts w:hint="eastAsia" w:ascii="仿宋_GB2312" w:hAnsi="仿宋_GB2312" w:eastAsia="仿宋_GB2312" w:cs="仿宋_GB2312"/>
          <w:color w:val="auto"/>
          <w:sz w:val="32"/>
          <w:szCs w:val="32"/>
          <w:highlight w:val="none"/>
          <w:u w:val="none"/>
        </w:rPr>
        <w:t>和水平，依据《</w:t>
      </w:r>
      <w:r>
        <w:rPr>
          <w:rFonts w:hint="eastAsia" w:ascii="仿宋_GB2312" w:hAnsi="仿宋_GB2312" w:eastAsia="仿宋_GB2312" w:cs="仿宋_GB2312"/>
          <w:color w:val="auto"/>
          <w:sz w:val="32"/>
          <w:szCs w:val="32"/>
          <w:highlight w:val="none"/>
          <w:u w:val="none"/>
          <w:lang w:val="en-US" w:eastAsia="zh-CN"/>
        </w:rPr>
        <w:t>教育强国建设规划纲要（2024-2035年）</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新</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疆生产建设</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兵团教育</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事业发展“十五五”规划</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第五师双河市</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国民经济和社会发展第十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个五年规划</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,制定本规划。</w:t>
      </w: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0" w:firstLineChars="200"/>
        <w:jc w:val="both"/>
        <w:textAlignment w:val="auto"/>
        <w:outlineLvl w:val="0"/>
        <w:rPr>
          <w:rFonts w:hint="eastAsia" w:ascii="楷体_GB2312" w:hAnsi="楷体_GB2312" w:eastAsia="楷体_GB2312" w:cs="楷体_GB2312"/>
          <w:color w:val="000000" w:themeColor="text1"/>
          <w:sz w:val="32"/>
          <w:szCs w:val="32"/>
          <w:highlight w:val="none"/>
          <w:u w:val="none"/>
          <w:lang w:val="en-US" w:eastAsia="zh-CN"/>
          <w14:textFill>
            <w14:solidFill>
              <w14:schemeClr w14:val="tx1"/>
            </w14:solidFill>
          </w14:textFill>
        </w:rPr>
      </w:pPr>
      <w:bookmarkStart w:id="2" w:name="_Toc22455"/>
      <w:bookmarkStart w:id="3" w:name="_Toc32698"/>
      <w:bookmarkStart w:id="4" w:name="_Toc649329154"/>
      <w:bookmarkStart w:id="5" w:name="_Toc10675"/>
      <w:bookmarkStart w:id="6" w:name="_Toc28747"/>
      <w:bookmarkStart w:id="7" w:name="_Toc19472"/>
      <w:bookmarkStart w:id="8" w:name="_Toc17117"/>
      <w:bookmarkStart w:id="9" w:name="_Toc31304"/>
      <w:bookmarkStart w:id="10" w:name="_Toc18443"/>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一、</w:t>
      </w:r>
      <w:bookmarkEnd w:id="2"/>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发展基础与面临形势</w:t>
      </w:r>
      <w:bookmarkEnd w:id="3"/>
      <w:bookmarkEnd w:id="4"/>
      <w:bookmarkEnd w:id="5"/>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3" w:firstLineChars="200"/>
        <w:jc w:val="both"/>
        <w:textAlignment w:val="auto"/>
        <w:outlineLvl w:val="1"/>
        <w:rPr>
          <w:rFonts w:hint="default" w:ascii="楷体_GB2312" w:hAnsi="楷体_GB2312" w:cs="楷体_GB2312" w:eastAsiaTheme="minorEastAsia"/>
          <w:b/>
          <w:bCs/>
          <w:color w:val="000000" w:themeColor="text1"/>
          <w:sz w:val="32"/>
          <w:szCs w:val="32"/>
          <w:highlight w:val="none"/>
          <w:u w:val="none"/>
          <w:lang w:val="en-US" w:eastAsia="zh-CN"/>
          <w14:textFill>
            <w14:solidFill>
              <w14:schemeClr w14:val="tx1"/>
            </w14:solidFill>
          </w14:textFill>
        </w:rPr>
      </w:pPr>
      <w:bookmarkStart w:id="11" w:name="_Toc20542"/>
      <w:bookmarkStart w:id="12" w:name="_Toc1479050670"/>
      <w:bookmarkStart w:id="13" w:name="_Toc31025"/>
      <w:bookmarkStart w:id="14" w:name="_Toc19881"/>
      <w:bookmarkStart w:id="15" w:name="_Toc774"/>
      <w:bookmarkStart w:id="16" w:name="_Toc28192"/>
      <w:bookmarkStart w:id="17" w:name="_Toc26681"/>
      <w:bookmarkStart w:id="18" w:name="_Toc17714"/>
      <w:bookmarkStart w:id="19" w:name="_Toc9478"/>
      <w:r>
        <w:rPr>
          <w:rFonts w:hint="eastAsia" w:ascii="楷体_GB2312" w:hAnsi="楷体_GB2312" w:eastAsia="楷体_GB2312" w:cs="楷体_GB2312"/>
          <w:b/>
          <w:bCs/>
          <w:color w:val="000000" w:themeColor="text1"/>
          <w:sz w:val="32"/>
          <w:szCs w:val="32"/>
          <w:highlight w:val="none"/>
          <w:u w:val="none"/>
          <w:lang w:val="en-US" w:eastAsia="zh-CN"/>
          <w14:textFill>
            <w14:solidFill>
              <w14:schemeClr w14:val="tx1"/>
            </w14:solidFill>
          </w14:textFill>
        </w:rPr>
        <w:t>（一）</w:t>
      </w:r>
      <w:bookmarkEnd w:id="11"/>
      <w:r>
        <w:rPr>
          <w:rFonts w:hint="eastAsia" w:ascii="楷体_GB2312" w:hAnsi="楷体_GB2312" w:eastAsia="楷体_GB2312" w:cs="楷体_GB2312"/>
          <w:b/>
          <w:bCs/>
          <w:color w:val="000000" w:themeColor="text1"/>
          <w:sz w:val="32"/>
          <w:szCs w:val="32"/>
          <w:highlight w:val="none"/>
          <w:u w:val="none"/>
          <w14:textFill>
            <w14:solidFill>
              <w14:schemeClr w14:val="tx1"/>
            </w14:solidFill>
          </w14:textFill>
        </w:rPr>
        <w:t>教育现代化建设取得重要进展</w:t>
      </w:r>
      <w:bookmarkEnd w:id="12"/>
      <w:bookmarkEnd w:id="13"/>
      <w:bookmarkEnd w:id="14"/>
      <w:bookmarkEnd w:id="15"/>
      <w:bookmarkEnd w:id="16"/>
      <w:bookmarkEnd w:id="17"/>
      <w:bookmarkEnd w:id="18"/>
      <w:bookmarkEnd w:id="19"/>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0" w:firstLineChars="200"/>
        <w:jc w:val="both"/>
        <w:textAlignment w:val="auto"/>
        <w:outlineLvl w:val="9"/>
        <w:rPr>
          <w:rFonts w:hint="default" w:ascii="仿宋_GB2312" w:hAnsi="仿宋_GB2312" w:eastAsia="仿宋_GB2312" w:cs="仿宋_GB2312"/>
          <w:b/>
          <w:bCs/>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lang w:val="en-US" w:eastAsia="zh-CN"/>
        </w:rPr>
        <w:t>“十四五”时期，第五师双河市坚持和加强党对教育事业的全面领导,强化师市统筹,深化教育综合改革,在一系列重点领域和关键环节取得重要突破,积极探索教育实践模式创新，形成了一批可复制、可推广的教育实践成果。育人基础持续夯实、办学质量稳步提升，在兵团率先通过学前教育普及普惠、义务教育优质均衡国家评估认定，职工群众</w:t>
      </w:r>
      <w:r>
        <w:rPr>
          <w:rFonts w:hint="default" w:ascii="仿宋_GB2312" w:hAnsi="仿宋_GB2312" w:eastAsia="仿宋_GB2312" w:cs="仿宋_GB2312"/>
          <w:color w:val="auto"/>
          <w:sz w:val="32"/>
          <w:szCs w:val="32"/>
          <w:highlight w:val="none"/>
          <w:u w:val="none"/>
          <w:lang w:val="en-US" w:eastAsia="zh-CN"/>
        </w:rPr>
        <w:t>对教育的满意度和获得感持续提升</w:t>
      </w:r>
      <w:r>
        <w:rPr>
          <w:rFonts w:hint="eastAsia" w:ascii="仿宋_GB2312" w:hAnsi="仿宋_GB2312" w:eastAsia="仿宋_GB2312" w:cs="仿宋_GB2312"/>
          <w:color w:val="auto"/>
          <w:sz w:val="32"/>
          <w:szCs w:val="32"/>
          <w:highlight w:val="none"/>
          <w:u w:val="none"/>
          <w:lang w:val="en-US" w:eastAsia="zh-CN"/>
        </w:rPr>
        <w:t>。基础教育、职业教育主要指标圆满完成,</w:t>
      </w:r>
      <w:r>
        <w:rPr>
          <w:rFonts w:hint="default" w:ascii="仿宋_GB2312" w:hAnsi="仿宋_GB2312" w:eastAsia="仿宋_GB2312" w:cs="仿宋_GB2312"/>
          <w:color w:val="auto"/>
          <w:sz w:val="32"/>
          <w:szCs w:val="32"/>
          <w:highlight w:val="none"/>
          <w:u w:val="none"/>
          <w:lang w:val="en-US" w:eastAsia="zh-CN"/>
        </w:rPr>
        <w:t>为“十五五”时期加快建设教育强师市奠定了坚实基础。</w:t>
      </w: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3"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i w:val="0"/>
          <w:iCs w:val="0"/>
          <w:caps w:val="0"/>
          <w:color w:val="000000" w:themeColor="text1"/>
          <w:spacing w:val="0"/>
          <w:sz w:val="32"/>
          <w:szCs w:val="32"/>
          <w:highlight w:val="none"/>
          <w:u w:val="none"/>
          <w:shd w:val="clear" w:color="auto" w:fill="FFFFFF"/>
          <w14:textFill>
            <w14:solidFill>
              <w14:schemeClr w14:val="tx1"/>
            </w14:solidFill>
          </w14:textFill>
        </w:rPr>
        <w:t>党对教育的全面领导</w:t>
      </w:r>
      <w:r>
        <w:rPr>
          <w:rFonts w:hint="eastAsia" w:ascii="仿宋_GB2312" w:hAnsi="仿宋_GB2312" w:eastAsia="仿宋_GB2312" w:cs="仿宋_GB2312"/>
          <w:b/>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持续加强</w:t>
      </w:r>
      <w:r>
        <w:rPr>
          <w:rFonts w:hint="eastAsia" w:ascii="仿宋_GB2312" w:hAnsi="仿宋_GB2312" w:eastAsia="仿宋_GB2312" w:cs="仿宋_GB2312"/>
          <w:b/>
          <w:bCs/>
          <w:i w:val="0"/>
          <w:iCs w:val="0"/>
          <w:caps w:val="0"/>
          <w:color w:val="000000" w:themeColor="text1"/>
          <w:spacing w:val="0"/>
          <w:sz w:val="32"/>
          <w:szCs w:val="32"/>
          <w:highlight w:val="none"/>
          <w:u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习近平新时代中国特色社会主义思想学习宣传工作深入开展，贯彻落实党组织领导的校长负责制，党对教育工作的领导体制机制不断健全。构建了“四融合两提升”党建工作模式，教育系统党的建设全面加强，科学化水平持续提升，学校党组织全面从严治党主体责任全面落</w:t>
      </w:r>
      <w:r>
        <w:rPr>
          <w:rFonts w:hint="eastAsia" w:ascii="仿宋_GB2312" w:hAnsi="仿宋_GB2312" w:eastAsia="仿宋_GB2312" w:cs="仿宋_GB2312"/>
          <w:color w:val="auto"/>
          <w:sz w:val="32"/>
          <w:szCs w:val="32"/>
          <w:highlight w:val="none"/>
          <w:u w:val="none"/>
          <w:lang w:val="en-US" w:eastAsia="zh-CN"/>
        </w:rPr>
        <w:t>实，教育系统意识形态阵地持续巩固。</w:t>
      </w:r>
      <w:r>
        <w:rPr>
          <w:rFonts w:hint="default" w:ascii="仿宋_GB2312" w:hAnsi="仿宋_GB2312" w:eastAsia="仿宋_GB2312" w:cs="仿宋_GB2312"/>
          <w:color w:val="auto"/>
          <w:sz w:val="32"/>
          <w:szCs w:val="32"/>
          <w:highlight w:val="none"/>
          <w:u w:val="none"/>
          <w:lang w:val="en-US" w:eastAsia="zh-CN"/>
        </w:rPr>
        <w:t>坚持德才兼备、以德为先，持续优化班子结构，</w:t>
      </w:r>
      <w:r>
        <w:rPr>
          <w:rFonts w:hint="eastAsia" w:ascii="仿宋_GB2312" w:hAnsi="仿宋_GB2312" w:eastAsia="仿宋_GB2312" w:cs="仿宋_GB2312"/>
          <w:color w:val="auto"/>
          <w:sz w:val="32"/>
          <w:szCs w:val="32"/>
          <w:highlight w:val="none"/>
          <w:u w:val="none"/>
          <w:lang w:val="en-US" w:eastAsia="zh-CN"/>
        </w:rPr>
        <w:t>“十四五”期间累计调整干部*批*人次、</w:t>
      </w:r>
      <w:r>
        <w:rPr>
          <w:rFonts w:hint="default" w:ascii="仿宋_GB2312" w:hAnsi="仿宋_GB2312" w:eastAsia="仿宋_GB2312" w:cs="仿宋_GB2312"/>
          <w:color w:val="auto"/>
          <w:sz w:val="32"/>
          <w:szCs w:val="32"/>
          <w:highlight w:val="none"/>
          <w:u w:val="none"/>
          <w:lang w:val="en-US" w:eastAsia="zh-CN"/>
        </w:rPr>
        <w:t>调训干部</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人次</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储备优秀年轻后备干部</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人，为教育事业长远发展筑牢人才根基。优化党员队伍结构，发展党员</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人、选树</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两优一先</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人（个），凝聚起教育系统奋进合力。</w:t>
      </w: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3" w:firstLineChars="200"/>
        <w:jc w:val="both"/>
        <w:textAlignment w:val="auto"/>
        <w:outlineLvl w:val="9"/>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立德树人根本任务有效落实</w:t>
      </w:r>
      <w:r>
        <w:rPr>
          <w:rFonts w:hint="eastAsia" w:ascii="仿宋_GB2312" w:hAnsi="仿宋_GB2312" w:eastAsia="仿宋_GB2312" w:cs="仿宋_GB2312"/>
          <w:b/>
          <w:bCs/>
          <w:i w:val="0"/>
          <w:iCs w:val="0"/>
          <w:caps w:val="0"/>
          <w:color w:val="000000" w:themeColor="text1"/>
          <w:spacing w:val="0"/>
          <w:sz w:val="32"/>
          <w:szCs w:val="32"/>
          <w:highlight w:val="none"/>
          <w:u w:val="none"/>
          <w:shd w:val="clear" w:color="auto" w:fill="FFFFFF"/>
          <w14:textFill>
            <w14:solidFill>
              <w14:schemeClr w14:val="tx1"/>
            </w14:solidFill>
          </w14:textFill>
        </w:rPr>
        <w:t>。</w:t>
      </w:r>
      <w:r>
        <w:rPr>
          <w:rFonts w:hint="eastAsia" w:ascii="仿宋_GB2312" w:hAnsi="仿宋_GB2312" w:eastAsia="仿宋_GB2312" w:cs="仿宋_GB2312"/>
          <w:color w:val="auto"/>
          <w:sz w:val="32"/>
          <w:szCs w:val="32"/>
          <w:highlight w:val="none"/>
          <w:u w:val="none"/>
          <w:lang w:val="en-US" w:eastAsia="zh-CN"/>
        </w:rPr>
        <w:t>坚持把立德树人作为“一号工程”，注重学生德智体美劳全面发展，五育并举成效明显。配齐配强大中小学思政课教师，全面推进大中小学思政课一体化建设。充分发挥课堂主阵地、主渠道作用，持续深化“三全育人”综合改革，形成了特色鲜明的“成长导师”德育模式。建成*个“大思政”实践教学基地、*个研学基地、*个劳动基地，打造特色校本课程*余门、社团*个、课程基地*间。加大国家通用语言文字推广普及力度，建设师市普通话水平测试站，师市31所学校、幼儿园完成语言文字达标建设工作。常态化开展“三进两联一交友”活动，“铸牢中华民族共同体意识+德育教育”教学模式效果良好，学生思想道德</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素养显著提升。</w:t>
      </w: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3" w:firstLineChars="200"/>
        <w:jc w:val="both"/>
        <w:textAlignment w:val="auto"/>
        <w:outlineLvl w:val="9"/>
        <w:rPr>
          <w:rFonts w:hint="default"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lang w:val="en-US" w:eastAsia="zh-CN" w:bidi="ar-SA"/>
          <w14:textFill>
            <w14:solidFill>
              <w14:schemeClr w14:val="tx1"/>
            </w14:solidFill>
          </w14:textFill>
        </w:rPr>
        <w:t>教育公共服务体系更加健全。</w:t>
      </w:r>
      <w:r>
        <w:rPr>
          <w:rFonts w:hint="eastAsia" w:ascii="仿宋_GB2312" w:hAnsi="仿宋_GB2312" w:eastAsia="仿宋_GB2312" w:cs="仿宋_GB2312"/>
          <w:color w:val="auto"/>
          <w:sz w:val="32"/>
          <w:szCs w:val="32"/>
          <w:highlight w:val="none"/>
          <w:u w:val="none"/>
          <w:lang w:val="en-US" w:eastAsia="zh-CN"/>
        </w:rPr>
        <w:t>各级各类教育实现全面普及,建立广覆盖、保基本、有质量的教育公共服务体系。“十四五”期间，新建、改扩建*所幼儿园，较“十三五”末新增学位*余个，公办园在园幼儿占比*%，普惠园</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覆盖率*%，学前教育三年毛入园</w:t>
      </w:r>
      <w:r>
        <w:rPr>
          <w:rFonts w:hint="eastAsia" w:ascii="仿宋_GB2312" w:hAnsi="仿宋_GB2312" w:eastAsia="仿宋_GB2312" w:cs="仿宋_GB2312"/>
          <w:color w:val="auto"/>
          <w:sz w:val="32"/>
          <w:szCs w:val="32"/>
          <w:highlight w:val="none"/>
          <w:u w:val="none"/>
          <w:lang w:val="en-US" w:eastAsia="zh-CN"/>
        </w:rPr>
        <w:t>率*%，较“十三五”末提高*个百分点。新建第五师双河市实验学校，新增学位*个，全面改善*所义务教育学校办学条件，学校</w:t>
      </w:r>
      <w:r>
        <w:rPr>
          <w:rStyle w:val="17"/>
          <w:rFonts w:hint="eastAsia" w:ascii="仿宋_GB2312" w:hAnsi="仿宋_GB2312" w:eastAsia="仿宋_GB2312" w:cs="仿宋_GB2312"/>
          <w:color w:val="auto"/>
          <w:sz w:val="32"/>
          <w:szCs w:val="32"/>
          <w:highlight w:val="none"/>
        </w:rPr>
        <w:t>办学标准化水平显著提升</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实行免试就近入学，划片招生，随迁子女在公办学校就读比例*%，九年义务教育巩固率*%，</w:t>
      </w:r>
      <w:r>
        <w:rPr>
          <w:rFonts w:hint="eastAsia" w:ascii="仿宋_GB2312" w:hAnsi="仿宋_GB2312" w:eastAsia="仿宋_GB2312" w:cs="仿宋_GB2312"/>
          <w:color w:val="auto"/>
          <w:sz w:val="32"/>
          <w:szCs w:val="32"/>
          <w:highlight w:val="none"/>
          <w:u w:val="none"/>
        </w:rPr>
        <w:t>较“十三五”末提高</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个百分点。普通高中特色化、多样化发展取得新进展，第五师高级中学被认定为“新疆优质普通高中”，高考成绩“十四年连升”，一本上线率</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%，较“十三五”末提高</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个百分点。第</w:t>
      </w:r>
      <w:r>
        <w:rPr>
          <w:rFonts w:hint="eastAsia" w:ascii="仿宋_GB2312" w:hAnsi="仿宋_GB2312" w:eastAsia="仿宋_GB2312" w:cs="仿宋_GB2312"/>
          <w:color w:val="auto"/>
          <w:sz w:val="32"/>
          <w:szCs w:val="32"/>
          <w:highlight w:val="none"/>
          <w:u w:val="none"/>
          <w:lang w:val="en-US" w:eastAsia="zh-CN"/>
        </w:rPr>
        <w:t>五师</w:t>
      </w:r>
      <w:r>
        <w:rPr>
          <w:rFonts w:hint="eastAsia" w:ascii="仿宋_GB2312" w:hAnsi="仿宋_GB2312" w:eastAsia="仿宋_GB2312" w:cs="仿宋_GB2312"/>
          <w:color w:val="auto"/>
          <w:sz w:val="32"/>
          <w:szCs w:val="32"/>
          <w:highlight w:val="none"/>
          <w:u w:val="none"/>
        </w:rPr>
        <w:t>八十九团中学特色艺体高中办学成效显著，本科上线率逐年提升，成功承办兵团高中篮球特色班。第五师双河职业技术学校整体搬</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迁至新校址，“十四五”期间在校生规模峰值超过</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人，较“十三五”末增长至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倍。双河职业技术学院获批成立，实现师市高等职业教育零的突破，在校生规模接近</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人。师市开放大学持续推进综合改革，“十四五”期间累计招生</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人，为完善终身教育体系建设提供了有力支撑。</w:t>
      </w:r>
    </w:p>
    <w:p>
      <w:pPr>
        <w:pStyle w:val="35"/>
        <w:keepNext w:val="0"/>
        <w:keepLines w:val="0"/>
        <w:pageBreakBefore w:val="0"/>
        <w:widowControl w:val="0"/>
        <w:numPr>
          <w:ilvl w:val="0"/>
          <w:numId w:val="0"/>
        </w:numPr>
        <w:kinsoku/>
        <w:wordWrap/>
        <w:overflowPunct/>
        <w:topLinePunct/>
        <w:autoSpaceDE/>
        <w:autoSpaceDN/>
        <w:bidi w:val="0"/>
        <w:adjustRightInd w:val="0"/>
        <w:snapToGrid w:val="0"/>
        <w:spacing w:before="0" w:after="0" w:afterLines="0" w:line="560" w:lineRule="exact"/>
        <w:ind w:right="0" w:firstLine="643" w:firstLineChars="200"/>
        <w:jc w:val="both"/>
        <w:textAlignment w:val="auto"/>
        <w:outlineLvl w:val="9"/>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教师队伍建设不断优化。</w:t>
      </w:r>
      <w:r>
        <w:rPr>
          <w:rFonts w:hint="eastAsia"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教师</w:t>
      </w:r>
      <w:r>
        <w:rPr>
          <w:rFonts w:hint="eastAsia" w:ascii="Times New Roman" w:hAnsi="Times New Roman" w:eastAsia="仿宋_GB2312" w:cs="Times New Roman"/>
          <w:b w:val="0"/>
          <w:bCs w:val="0"/>
          <w:color w:val="auto"/>
          <w:kern w:val="2"/>
          <w:sz w:val="32"/>
          <w:szCs w:val="32"/>
          <w:highlight w:val="none"/>
          <w:u w:val="none"/>
          <w:lang w:val="en-US" w:eastAsia="zh-CN" w:bidi="ar-SA"/>
        </w:rPr>
        <w:t>队伍规模不断扩大，</w:t>
      </w:r>
      <w:r>
        <w:rPr>
          <w:rFonts w:hint="default" w:ascii="Times New Roman" w:hAnsi="Times New Roman" w:eastAsia="仿宋_GB2312" w:cs="Times New Roman"/>
          <w:color w:val="auto"/>
          <w:sz w:val="32"/>
          <w:szCs w:val="32"/>
          <w:highlight w:val="none"/>
          <w:lang w:val="en-US" w:eastAsia="zh-CN"/>
        </w:rPr>
        <w:t>通过“师管校聘”、交流轮岗等方式，不断优化教师资源配置，拓宽教师成长路径。通过校招和社招双通道累计引进中小学教师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val="en-US" w:eastAsia="zh-CN"/>
        </w:rPr>
        <w:t>，其中</w:t>
      </w:r>
      <w:r>
        <w:rPr>
          <w:rFonts w:hint="eastAsia" w:ascii="仿宋_GB2312" w:hAnsi="仿宋_GB2312" w:eastAsia="仿宋_GB2312" w:cs="仿宋_GB2312"/>
          <w:color w:val="auto"/>
          <w:kern w:val="2"/>
          <w:sz w:val="32"/>
          <w:szCs w:val="32"/>
          <w:highlight w:val="none"/>
          <w:u w:val="none"/>
          <w:lang w:val="en-US" w:eastAsia="zh-CN" w:bidi="ar-SA"/>
        </w:rPr>
        <w:t>招录特岗教师*人。教师学历层次</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稳步提升，2025年城镇专任教师本科及以上学历占比达*%，</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较“十三五”末提高*个百分点。</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团场专任教师本科及以上学历占比达*%，</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较“十三五”末提高*个百分点；中职专任教师研究生及以上学历比例提升至*%。</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中职“双师型”教师比例提升至*%，高职“双师型”教师比例达*%。</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“十四五”期间，</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累计组织教师培训*人次，师资队伍补充与能力提升同步推进。义务教育教师年均工资待遇持续提高，从2021年的*元增至2025年的*元，始终保持高于同期当地公务员平均工资水平。</w:t>
      </w: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3" w:firstLineChars="200"/>
        <w:jc w:val="both"/>
        <w:textAlignment w:val="auto"/>
        <w:outlineLvl w:val="9"/>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基础教育</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综合改革</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纵深推进</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深化教育改革和依法治校，印发《第五师双河市中小学教师“师管校聘”管理体制改革实施方案》，持续巩固团场学校“师办师管”改革成果，进一步激发办学活力。实施《第五师双河市基础教育内涵发展项目化建设三年行动计划（2022-2025）》，推广“互助课堂”教学模式，师市义务教育质量持续提升，2025年成功被教育部确定为兵团唯一国家义务教育质量监测结果应用实验区II类。“十四五”期间，义务段学校累计完成教师交流轮岗*人次，非义务段教师交流*人次，实现了全学段师资的优化配置。教育评价改革模式迈出新步伐。全面落实“双减”政策，</w:t>
      </w:r>
      <w:r>
        <w:rPr>
          <w:rFonts w:hint="eastAsia" w:ascii="仿宋_GB2312" w:hAnsi="仿宋_GB2312" w:eastAsia="仿宋_GB2312" w:cs="仿宋_GB2312"/>
          <w:color w:val="auto"/>
          <w:sz w:val="32"/>
          <w:szCs w:val="32"/>
          <w:highlight w:val="none"/>
          <w:u w:val="none"/>
          <w:lang w:val="en-US" w:eastAsia="zh-CN"/>
        </w:rPr>
        <w:t>构建具有师市特色的小学生综合素养评价体系</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高考改革落地见效。稳步推进“新课程、新教材、新高考”建设，艺考类考生实现文化课、专业课“双达标”。督政、督学和评估监测“三位一体”的教育督导职能体系初步形成。构建起*名责任督学包联*所学校（幼儿园）的督导网络，累计完成国家、兵团级专项督导*余次，形成“查问题—促整改—提质量”的闭环管理机制。</w:t>
      </w: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3" w:firstLineChars="200"/>
        <w:jc w:val="both"/>
        <w:textAlignment w:val="auto"/>
        <w:outlineLvl w:val="9"/>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val="en-US" w:bidi="zh-CN"/>
          <w14:textFill>
            <w14:solidFill>
              <w14:schemeClr w14:val="tx1"/>
            </w14:solidFill>
          </w14:textFill>
        </w:rPr>
        <w:t>教育援疆成效显著。</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在湖北援疆力量的大力支持下，*名湖北骨干教师持续开展“组团式”援疆，实现了师市各学段援疆教师“全覆盖”，有力推动教学质量稳步提升。武汉交通职业学院、湖北幼儿师范高等专科学校、湖北大学、黄冈师范学院等院校的优质教育资源相继落地五师双河市，通过挂牌设立附属学校，构建了一条从学前教育到高等教育的全链条“名校办分校”长效机制。累计投入援疆资金*万元，重点用于改善办学条件、提升信息化水平、资助家庭经济困难学生，并有效促进两地学生的交流互访，为五师双河市教育事业高质量发展注入了强劲动力。</w:t>
      </w: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同时也应看到,师市教育发展也存在一些短板和薄弱环节。主要是教育评价</w:t>
      </w:r>
      <w:r>
        <w:rPr>
          <w:rFonts w:hint="eastAsia" w:ascii="仿宋_GB2312" w:hAnsi="仿宋_GB2312" w:eastAsia="仿宋_GB2312" w:cs="仿宋_GB2312"/>
          <w:color w:val="auto"/>
          <w:sz w:val="32"/>
          <w:szCs w:val="32"/>
          <w:highlight w:val="none"/>
          <w:lang w:val="en-US" w:eastAsia="zh-CN"/>
        </w:rPr>
        <w:t>改革推进相对缓慢,教育治理体制机制仍需进一步健全；科学的教育理念和模式尚未完全落实,以学习者为中心的教育生态有待进一步培育;职业教育与产业发展的适配性和社会吸引力有待增强；教师激励、评价机制及高水平教师队伍建设的政策体系需要进一步完善;学校家庭社会协同育人机制有待强化,全社会参与育人的工作体制需要进一步健全;新技术赋能教育亟需加速推进,教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投入保障水平需要进一步提高。</w:t>
      </w: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3" w:firstLineChars="200"/>
        <w:jc w:val="both"/>
        <w:textAlignment w:val="auto"/>
        <w:outlineLvl w:val="1"/>
        <w:rPr>
          <w:rFonts w:hint="default"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bookmarkStart w:id="20" w:name="_Toc20947"/>
      <w:bookmarkStart w:id="21" w:name="_Toc25720"/>
      <w:bookmarkStart w:id="22" w:name="_Toc21885"/>
      <w:bookmarkStart w:id="23" w:name="_Toc2063175804"/>
      <w:bookmarkStart w:id="24" w:name="_Toc15333"/>
      <w:bookmarkStart w:id="25" w:name="_Toc14548"/>
      <w:bookmarkStart w:id="26" w:name="_Toc15176"/>
      <w:bookmarkStart w:id="27" w:name="_Toc20890"/>
      <w:bookmarkStart w:id="28" w:name="_Toc32495"/>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（二）面临</w:t>
      </w:r>
      <w:bookmarkEnd w:id="20"/>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形势</w:t>
      </w:r>
      <w:bookmarkEnd w:id="21"/>
      <w:bookmarkEnd w:id="22"/>
      <w:bookmarkEnd w:id="23"/>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“十五五”时期是我国基本实现社会主义现代化夯实基础、全面发力的关键时期，是我国建设教育强国的关键攻坚期，是推动师市教育综合改革走向纵深的重要窗口期。展望未来五年，师市教育发展</w:t>
      </w:r>
      <w:r>
        <w:rPr>
          <w:rFonts w:hint="eastAsia" w:ascii="仿宋_GB2312" w:hAnsi="仿宋_GB2312" w:eastAsia="仿宋_GB2312" w:cs="仿宋_GB2312"/>
          <w:color w:val="auto"/>
          <w:sz w:val="32"/>
          <w:szCs w:val="32"/>
          <w:highlight w:val="none"/>
          <w:lang w:val="en-US" w:eastAsia="zh-CN"/>
        </w:rPr>
        <w:t>既面临提质升级的战略机遇，也需直面错综复杂的现实挑战。</w:t>
      </w:r>
    </w:p>
    <w:p>
      <w:pPr>
        <w:pStyle w:val="35"/>
        <w:keepNext w:val="0"/>
        <w:keepLines w:val="0"/>
        <w:pageBreakBefore w:val="0"/>
        <w:widowControl w:val="0"/>
        <w:numPr>
          <w:ilvl w:val="0"/>
          <w:numId w:val="0"/>
        </w:numPr>
        <w:kinsoku/>
        <w:wordWrap/>
        <w:overflowPunct/>
        <w:topLinePunct/>
        <w:autoSpaceDE/>
        <w:autoSpaceDN/>
        <w:bidi w:val="0"/>
        <w:adjustRightInd w:val="0"/>
        <w:snapToGrid w:val="0"/>
        <w:spacing w:before="0" w:after="0" w:afterLines="0" w:line="560" w:lineRule="exact"/>
        <w:ind w:left="0" w:right="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从机遇看。</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随着教育强国战略全面深化，政策红利密集释放，教育科技人才一体化推进机制加速完善，高校、科研院所与产业界协同创新通道更畅通，为教育高质量发展提供顶层支撑。新一轮科</w:t>
      </w:r>
      <w:r>
        <w:rPr>
          <w:rFonts w:hint="eastAsia" w:ascii="仿宋_GB2312" w:hAnsi="仿宋_GB2312" w:eastAsia="仿宋_GB2312" w:cs="仿宋_GB2312"/>
          <w:color w:val="auto"/>
          <w:kern w:val="2"/>
          <w:sz w:val="32"/>
          <w:szCs w:val="32"/>
          <w:highlight w:val="none"/>
          <w:lang w:val="en-US" w:eastAsia="zh-CN" w:bidi="ar-SA"/>
        </w:rPr>
        <w:t>技革命赋能教育变革。人工智能、大数据、虚拟现实等技术深度融入教育教学全链条，推动个性化学习、智慧校园、终身学习体系建设，催生教育模式与评价方式的系统性创新。人口结构变化带来多元需求，老年人口增长带动终身学习、老年教育等新业态，教育服务边界不断拓展。</w:t>
      </w:r>
    </w:p>
    <w:p>
      <w:pPr>
        <w:numPr>
          <w:ilvl w:val="0"/>
          <w:numId w:val="0"/>
        </w:numPr>
        <w:spacing w:afterLines="0" w:line="560" w:lineRule="exact"/>
        <w:ind w:leftChars="0" w:firstLine="643" w:firstLineChars="20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从挑战看。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教育现</w:t>
      </w:r>
      <w:r>
        <w:rPr>
          <w:rFonts w:hint="eastAsia" w:ascii="仿宋_GB2312" w:hAnsi="仿宋_GB2312" w:eastAsia="仿宋_GB2312" w:cs="仿宋_GB2312"/>
          <w:color w:val="auto"/>
          <w:sz w:val="32"/>
          <w:szCs w:val="32"/>
          <w:highlight w:val="none"/>
          <w:lang w:val="en-US" w:eastAsia="zh-CN"/>
        </w:rPr>
        <w:t>代化理念更新加速，如何破解传统应试教育的路径依赖，将“育人为本”的理念切实转化为评价体系、管理机制、课堂教学的具体实践，成为未来五年需优先破解的瓶颈问题。人工智能、大数据等技术重塑教育形态，新型人工智能技术快速发展，给学习方式带来深刻变革。人口分布呈现减少趋势，尤其边远团场受出生率下降的影响，小规模学校将不断增多，教育资源优化配置与均衡发展面临更大压力。</w:t>
      </w: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leftChars="0" w:firstLine="640" w:firstLineChars="200"/>
        <w:jc w:val="both"/>
        <w:textAlignment w:val="auto"/>
        <w:outlineLvl w:val="0"/>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29" w:name="_Toc910"/>
      <w:bookmarkStart w:id="30" w:name="_Toc10143"/>
      <w:bookmarkStart w:id="31" w:name="_Toc22008"/>
      <w:bookmarkStart w:id="32" w:name="_Toc4119"/>
      <w:bookmarkStart w:id="33" w:name="_Toc14132"/>
      <w:bookmarkStart w:id="34" w:name="_Toc9939"/>
      <w:bookmarkStart w:id="35" w:name="_Toc1290658395"/>
      <w:bookmarkStart w:id="36" w:name="_Toc11309"/>
      <w:r>
        <w:rPr>
          <w:rFonts w:hint="eastAsia" w:ascii="黑体" w:hAnsi="黑体" w:eastAsia="黑体" w:cs="黑体"/>
          <w:color w:val="000000" w:themeColor="text1"/>
          <w:sz w:val="32"/>
          <w:szCs w:val="32"/>
          <w:highlight w:val="none"/>
          <w:lang w:val="en-US" w:eastAsia="zh-CN"/>
          <w14:textFill>
            <w14:solidFill>
              <w14:schemeClr w14:val="tx1"/>
            </w14:solidFill>
          </w14:textFill>
        </w:rPr>
        <w:t>二、“十五五”教育发展的主要思路</w:t>
      </w:r>
      <w:bookmarkEnd w:id="29"/>
      <w:bookmarkEnd w:id="30"/>
      <w:bookmarkEnd w:id="31"/>
      <w:bookmarkEnd w:id="32"/>
      <w:bookmarkEnd w:id="33"/>
      <w:bookmarkEnd w:id="34"/>
      <w:bookmarkEnd w:id="35"/>
      <w:bookmarkEnd w:id="36"/>
    </w:p>
    <w:p>
      <w:pPr>
        <w:keepNext w:val="0"/>
        <w:keepLines w:val="0"/>
        <w:pageBreakBefore w:val="0"/>
        <w:widowControl w:val="0"/>
        <w:numPr>
          <w:ilvl w:val="-1"/>
          <w:numId w:val="0"/>
        </w:numPr>
        <w:kinsoku/>
        <w:wordWrap/>
        <w:overflowPunct/>
        <w:topLinePunct w:val="0"/>
        <w:autoSpaceDE/>
        <w:autoSpaceDN/>
        <w:bidi w:val="0"/>
        <w:adjustRightInd w:val="0"/>
        <w:snapToGrid w:val="0"/>
        <w:spacing w:afterLines="0" w:line="560" w:lineRule="exact"/>
        <w:ind w:left="0" w:leftChars="0" w:firstLine="643" w:firstLineChars="200"/>
        <w:jc w:val="both"/>
        <w:textAlignment w:val="auto"/>
        <w:outlineLvl w:val="1"/>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bookmarkStart w:id="37" w:name="_Toc30594"/>
      <w:bookmarkStart w:id="38" w:name="_Toc16064"/>
      <w:bookmarkStart w:id="39" w:name="_Toc12810"/>
      <w:bookmarkStart w:id="40" w:name="_Toc24225"/>
      <w:bookmarkStart w:id="41" w:name="_Toc26779"/>
      <w:bookmarkStart w:id="42" w:name="_Toc14832"/>
      <w:bookmarkStart w:id="43" w:name="_Toc1462812400"/>
      <w:bookmarkStart w:id="44" w:name="_Toc9779"/>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（一）指导思想</w:t>
      </w:r>
      <w:bookmarkEnd w:id="0"/>
      <w:bookmarkEnd w:id="1"/>
      <w:bookmarkEnd w:id="37"/>
      <w:bookmarkEnd w:id="38"/>
      <w:bookmarkEnd w:id="39"/>
      <w:bookmarkEnd w:id="40"/>
      <w:bookmarkEnd w:id="41"/>
      <w:bookmarkEnd w:id="42"/>
      <w:bookmarkEnd w:id="43"/>
      <w:bookmarkEnd w:id="44"/>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坚持以习近平新时代中国特色社会主义思想为指导，全面贯彻党的二十大和二十届历次全会精神，深入贯彻落实习近平总书记关于教育的重要论述，牢牢把握教育的政治属性、人民属性、战略属性，坚持为党育人、为国育才的初心使命。紧扣教育强国建设“六大特质”“八大体系”战略部署，以立德树人为根本任务，以高质量发展为核心主题，以深化教育综合改革为根本动力，以服务师市经济社会发展和国家区域重大战略需求为导向，统筹推进教育科技人才一体发展。主动适应人口结构变化趋势，积极回应人民群众对优质教育的期盼，全面提升教育治理体系和治理能力现代化水平，培养德智体美劳全面发展的社会主义建设者和接班人</w:t>
      </w:r>
      <w:r>
        <w:rPr>
          <w:rFonts w:hint="eastAsia" w:ascii="仿宋_GB2312" w:hAnsi="仿宋_GB2312" w:eastAsia="仿宋_GB2312" w:cs="仿宋_GB2312"/>
          <w:color w:val="auto"/>
          <w:sz w:val="32"/>
          <w:szCs w:val="32"/>
          <w:highlight w:val="none"/>
          <w:lang w:val="en-US" w:eastAsia="zh-CN"/>
        </w:rPr>
        <w:t>，为加快建设教育强师市提供坚实支撑。</w:t>
      </w:r>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left="0" w:firstLine="643" w:firstLineChars="200"/>
        <w:jc w:val="both"/>
        <w:textAlignment w:val="auto"/>
        <w:outlineLvl w:val="1"/>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bookmarkStart w:id="45" w:name="_Toc28135"/>
      <w:bookmarkStart w:id="46" w:name="_Toc26753"/>
      <w:bookmarkStart w:id="47" w:name="_Toc30905"/>
      <w:bookmarkStart w:id="48" w:name="_Toc7587"/>
      <w:bookmarkStart w:id="49" w:name="_Toc25030"/>
      <w:bookmarkStart w:id="50" w:name="_Toc26308"/>
      <w:bookmarkStart w:id="51" w:name="_Toc1262706069"/>
      <w:bookmarkStart w:id="52" w:name="_Toc16809"/>
      <w:bookmarkStart w:id="53" w:name="_Toc26066"/>
      <w:bookmarkStart w:id="54" w:name="heading_1"/>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（二）基本原则</w:t>
      </w:r>
      <w:bookmarkEnd w:id="45"/>
      <w:bookmarkEnd w:id="46"/>
      <w:bookmarkEnd w:id="47"/>
      <w:bookmarkEnd w:id="48"/>
      <w:bookmarkEnd w:id="49"/>
      <w:bookmarkEnd w:id="50"/>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55" w:name="heading_2"/>
      <w:bookmarkStart w:id="56" w:name="_Toc28439"/>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坚持党对教育的全面领导。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将党的领导贯穿于教育事业发展全过程、各领域，健全党对教育工作的全面领导体制机制，夯实基层党建，强化党的创新理论武装，持续深化党风廉政建设和师德师风建设，确保教育系统成为坚持党领导的坚强阵地。</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坚持以立德树人为根本任务。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围绕“培养什么人、怎样培养人、为谁培养人”根本问题，高质量实施新时代立德树人工程，构</w:t>
      </w:r>
      <w:r>
        <w:rPr>
          <w:rFonts w:hint="eastAsia" w:ascii="仿宋_GB2312" w:hAnsi="仿宋_GB2312" w:eastAsia="仿宋_GB2312" w:cs="仿宋_GB2312"/>
          <w:color w:val="auto"/>
          <w:sz w:val="32"/>
          <w:szCs w:val="32"/>
          <w:highlight w:val="none"/>
          <w:lang w:val="en-US" w:eastAsia="zh-CN"/>
        </w:rPr>
        <w:t>建全员、全过程、全方位育人体系。强化思想政治教育，推进“思政小课堂”与“社会大课堂”深度融合。</w:t>
      </w:r>
      <w:r>
        <w:rPr>
          <w:rFonts w:hint="eastAsia" w:ascii="仿宋_GB2312" w:hAnsi="仿宋_GB2312" w:eastAsia="仿宋_GB2312" w:cs="仿宋_GB2312"/>
          <w:color w:val="auto"/>
          <w:sz w:val="32"/>
          <w:szCs w:val="32"/>
          <w:highlight w:val="none"/>
          <w:u w:val="none"/>
          <w:lang w:val="en-US" w:eastAsia="zh-CN"/>
        </w:rPr>
        <w:t>强化体育、美育、劳动教育的协同推进。</w:t>
      </w:r>
      <w:r>
        <w:rPr>
          <w:rFonts w:hint="eastAsia" w:ascii="仿宋_GB2312" w:hAnsi="仿宋_GB2312" w:eastAsia="仿宋_GB2312" w:cs="仿宋_GB2312"/>
          <w:color w:val="auto"/>
          <w:sz w:val="32"/>
          <w:szCs w:val="32"/>
          <w:highlight w:val="none"/>
          <w:lang w:val="en-US" w:eastAsia="zh-CN"/>
        </w:rPr>
        <w:t>完善教育评价体系，促进学生身心健康和全面发展。</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坚持以人民为中心发展教育。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让职工群众满意”作为教育工作的出发点和落脚点。健全与人口结构变化相适应的教育资源配置机制，重点向学龄人口净流入区域和基础薄弱学校倾斜，缩小城乡、校际差距。持续巩固学前教育优质普惠、义务教育优质均衡、推进普通高中特色多样发展，办好特殊教育，保障每一名学生享有公平而有质量的教育。</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坚持教育改革创新。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以攻坚克难的精神深化教育综合改革，</w:t>
      </w:r>
      <w:r>
        <w:rPr>
          <w:rFonts w:hint="eastAsia" w:ascii="仿宋_GB2312" w:hAnsi="仿宋_GB2312" w:eastAsia="仿宋_GB2312" w:cs="仿宋_GB2312"/>
          <w:color w:val="auto"/>
          <w:sz w:val="32"/>
          <w:szCs w:val="32"/>
          <w:highlight w:val="none"/>
          <w:lang w:val="en-US" w:eastAsia="zh-CN"/>
        </w:rPr>
        <w:t>着力破解制约教育高质量发展的体制机制障碍。积极推进人工智能等技术赋能教育教学，提升教育数字化水平。深化教育评价、学科专业、人才培养等关键领域的改革。鼓励学校探索特色发展路径，全面激发教育系统内生动力和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展活力。</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坚持服务发展大局。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主动对接师市产业发展和国家区域重大战略需求，统筹推进教育、科技、人</w:t>
      </w:r>
      <w:r>
        <w:rPr>
          <w:rFonts w:hint="eastAsia" w:ascii="仿宋_GB2312" w:hAnsi="仿宋_GB2312" w:eastAsia="仿宋_GB2312" w:cs="仿宋_GB2312"/>
          <w:color w:val="auto"/>
          <w:sz w:val="32"/>
          <w:szCs w:val="32"/>
          <w:highlight w:val="none"/>
          <w:lang w:val="en-US" w:eastAsia="zh-CN"/>
        </w:rPr>
        <w:t>才协同融合发展。优化教育结构布局，强化职业教育与产业需求精准对接，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提升高等教育服务科技创新和成果转化能力，围绕重点领域培养造就高素质人才队伍。将教育资源转化为发展新质生产力的有效动能，为师市经济社会高质量发展提供战略支撑。</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坚持统筹协调。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立足师市教育发展实际，兼顾当前与长远目标，增强教育改革的系统性、整体性、协同性。统筹各级各类教育协调发展，健全政府、学校、家庭、社会协同育人机制，强化政策与资源统筹，确保推进教育事业持续健康发展。</w:t>
      </w:r>
      <w:bookmarkEnd w:id="55"/>
      <w:bookmarkEnd w:id="56"/>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left="0" w:firstLine="643" w:firstLineChars="200"/>
        <w:jc w:val="both"/>
        <w:textAlignment w:val="auto"/>
        <w:outlineLvl w:val="1"/>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bookmarkStart w:id="57" w:name="_Toc1869198378"/>
      <w:bookmarkStart w:id="58" w:name="_Toc14468"/>
      <w:bookmarkStart w:id="59" w:name="_Toc27516"/>
      <w:bookmarkStart w:id="60" w:name="_Toc11715"/>
      <w:bookmarkStart w:id="61" w:name="_Toc30485"/>
      <w:bookmarkStart w:id="62" w:name="heading_8"/>
      <w:bookmarkStart w:id="63" w:name="_Toc32572"/>
      <w:bookmarkStart w:id="64" w:name="_Toc1515"/>
      <w:bookmarkStart w:id="65" w:name="_Toc8636"/>
      <w:bookmarkStart w:id="66" w:name="_Toc8984"/>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（三）发展目标</w:t>
      </w:r>
      <w:bookmarkEnd w:id="57"/>
      <w:bookmarkEnd w:id="58"/>
      <w:bookmarkEnd w:id="59"/>
      <w:bookmarkEnd w:id="60"/>
      <w:bookmarkEnd w:id="61"/>
      <w:bookmarkEnd w:id="62"/>
      <w:bookmarkEnd w:id="63"/>
      <w:bookmarkEnd w:id="64"/>
      <w:bookmarkEnd w:id="65"/>
      <w:bookmarkEnd w:id="66"/>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到2030年，基本建成与师市现代化</w:t>
      </w:r>
      <w:r>
        <w:rPr>
          <w:rFonts w:hint="eastAsia" w:ascii="仿宋_GB2312" w:hAnsi="仿宋_GB2312" w:eastAsia="仿宋_GB2312" w:cs="仿宋_GB2312"/>
          <w:color w:val="auto"/>
          <w:sz w:val="32"/>
          <w:szCs w:val="32"/>
          <w:highlight w:val="none"/>
          <w:lang w:val="en-US" w:eastAsia="zh-CN"/>
        </w:rPr>
        <w:t>建设相适应、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具有区域特色的高质量教育体系，教育公平和质量显著提升，教育治理体系和治理能力现代化水平明显提高，服务师市经济社会发展和国家战略需求的能力全面增强，初步建成教育强师市，办好人民满意的教育。</w:t>
      </w:r>
    </w:p>
    <w:p>
      <w:pPr>
        <w:keepNext w:val="0"/>
        <w:keepLines w:val="0"/>
        <w:pageBreakBefore w:val="0"/>
        <w:widowControl w:val="0"/>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67" w:name="heading_11"/>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育</w:t>
      </w:r>
      <w:r>
        <w:rPr>
          <w:rFonts w:hint="eastAsia" w:ascii="仿宋_GB2312" w:hAnsi="仿宋_GB2312" w:eastAsia="仿宋_GB2312" w:cs="仿宋_GB2312"/>
          <w:b/>
          <w:color w:val="000000" w:themeColor="text1"/>
          <w:sz w:val="32"/>
          <w:szCs w:val="32"/>
          <w:highlight w:val="none"/>
          <w14:textFill>
            <w14:solidFill>
              <w14:schemeClr w14:val="tx1"/>
            </w14:solidFill>
          </w14:textFill>
        </w:rPr>
        <w:t>人</w:t>
      </w:r>
      <w:bookmarkEnd w:id="67"/>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体系更加完备</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社会主义核心价值观融入教育教学全过程的机制更加完善，大中小学思政课一体化建设成效显著。学生理想信念、道德品质、法治意识和社会责任感明显增强。德智体美劳全面发展的育人格局更加稳固，培养更多担当民族复兴大任的时代新人。</w:t>
      </w:r>
    </w:p>
    <w:p>
      <w:pPr>
        <w:keepNext w:val="0"/>
        <w:keepLines w:val="0"/>
        <w:pageBreakBefore w:val="0"/>
        <w:widowControl w:val="0"/>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68" w:name="heading_12"/>
      <w:r>
        <w:rPr>
          <w:rFonts w:hint="eastAsia" w:ascii="仿宋_GB2312" w:hAnsi="仿宋_GB2312" w:eastAsia="仿宋_GB2312" w:cs="仿宋_GB2312"/>
          <w:b/>
          <w:color w:val="000000" w:themeColor="text1"/>
          <w:sz w:val="32"/>
          <w:szCs w:val="32"/>
          <w:highlight w:val="none"/>
          <w14:textFill>
            <w14:solidFill>
              <w14:schemeClr w14:val="tx1"/>
            </w14:solidFill>
          </w14:textFill>
        </w:rPr>
        <w:t>资源配置更加</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科学</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巩固学前教育普及普惠创建成果，普惠园覆盖率保持在*%，提高优质园的覆盖率。巩固义务教育优质均衡成果，</w:t>
      </w:r>
      <w:r>
        <w:rPr>
          <w:rFonts w:hint="eastAsia" w:ascii="仿宋_GB2312" w:hAnsi="仿宋_GB2312" w:eastAsia="仿宋_GB2312" w:cs="仿宋_GB2312"/>
          <w:color w:val="auto"/>
          <w:sz w:val="32"/>
          <w:szCs w:val="32"/>
          <w:highlight w:val="none"/>
          <w:lang w:val="en-US" w:eastAsia="zh-CN"/>
        </w:rPr>
        <w:t>稳妥有序推进小规模学校整合。高中阶段教育特色多样发展路径更加清晰，多样化育人模式不断完善。</w:t>
      </w:r>
      <w:r>
        <w:rPr>
          <w:rFonts w:hint="eastAsia" w:ascii="仿宋_GB2312" w:hAnsi="仿宋_GB2312" w:eastAsia="仿宋_GB2312" w:cs="仿宋_GB2312"/>
          <w:color w:val="auto"/>
          <w:sz w:val="32"/>
          <w:szCs w:val="32"/>
          <w:highlight w:val="none"/>
          <w:lang w:val="en-US" w:eastAsia="en-US"/>
        </w:rPr>
        <w:t>实施职业教育产教融合工程</w:t>
      </w:r>
      <w:r>
        <w:rPr>
          <w:rFonts w:hint="eastAsia" w:ascii="仿宋_GB2312" w:hAnsi="仿宋_GB2312" w:eastAsia="仿宋_GB2312" w:cs="仿宋_GB2312"/>
          <w:color w:val="auto"/>
          <w:sz w:val="32"/>
          <w:szCs w:val="32"/>
          <w:highlight w:val="none"/>
          <w:lang w:val="en-US" w:eastAsia="zh-CN"/>
        </w:rPr>
        <w:t>，加快职业教育产教融合实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训基地项目建设。特殊教育保障能力全面增强，专门教育规范发展，基本满足各类群体多元化教育需求。</w:t>
      </w:r>
    </w:p>
    <w:bookmarkEnd w:id="68"/>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69" w:name="heading_13"/>
      <w:r>
        <w:rPr>
          <w:rFonts w:hint="eastAsia" w:ascii="仿宋_GB2312" w:hAnsi="仿宋_GB2312" w:eastAsia="仿宋_GB2312" w:cs="仿宋_GB2312"/>
          <w:b/>
          <w:color w:val="000000" w:themeColor="text1"/>
          <w:sz w:val="32"/>
          <w:szCs w:val="32"/>
          <w:highlight w:val="none"/>
          <w14:textFill>
            <w14:solidFill>
              <w14:schemeClr w14:val="tx1"/>
            </w14:solidFill>
          </w14:textFill>
        </w:rPr>
        <w:t>教育质量</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整体提</w:t>
      </w:r>
      <w:r>
        <w:rPr>
          <w:rFonts w:hint="eastAsia" w:ascii="仿宋_GB2312" w:hAnsi="仿宋_GB2312" w:eastAsia="仿宋_GB2312" w:cs="仿宋_GB2312"/>
          <w:b/>
          <w:color w:val="000000" w:themeColor="text1"/>
          <w:sz w:val="32"/>
          <w:szCs w:val="32"/>
          <w:highlight w:val="none"/>
          <w14:textFill>
            <w14:solidFill>
              <w14:schemeClr w14:val="tx1"/>
            </w14:solidFill>
          </w14:textFill>
        </w:rPr>
        <w:t>升</w:t>
      </w:r>
      <w:bookmarkEnd w:id="69"/>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基础教育育人质量和学生综合素养位居区域前列。积极探索与疆内外应用型本科高校的“高职3年+本科2年”（3+2）联合培养模式，进一步畅通技术技能人才成长通道。高等教育学科结构与服务能力进一步优化，形成区域优势学科，服务科技创新和成果转化能力明显增强。</w:t>
      </w:r>
      <w:bookmarkStart w:id="70" w:name="heading_14"/>
    </w:p>
    <w:p>
      <w:pPr>
        <w:keepNext w:val="0"/>
        <w:keepLines w:val="0"/>
        <w:pageBreakBefore w:val="0"/>
        <w:widowControl w:val="0"/>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教师队伍</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素质</w:t>
      </w:r>
      <w:r>
        <w:rPr>
          <w:rFonts w:hint="eastAsia" w:ascii="仿宋_GB2312" w:hAnsi="仿宋_GB2312" w:eastAsia="仿宋_GB2312" w:cs="仿宋_GB2312"/>
          <w:b/>
          <w:color w:val="000000" w:themeColor="text1"/>
          <w:sz w:val="32"/>
          <w:szCs w:val="32"/>
          <w:highlight w:val="none"/>
          <w14:textFill>
            <w14:solidFill>
              <w14:schemeClr w14:val="tx1"/>
            </w14:solidFill>
          </w14:textFill>
        </w:rPr>
        <w:t>显著</w:t>
      </w:r>
      <w:bookmarkEnd w:id="70"/>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提高</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践行教育家精神，教师思想政治素质、师德师风、专业能力全面提升。推进教师专业能力素养工程，构建全员全周期阶梯式培养体系，实施学历提升计划，扩大高层次人才规模。师资培养、激励机制更加健全，骨干教师和学科带头人队伍不断壮大，城乡师资流动顺畅，建成一支高素质、专业化、创新型教师队伍。</w:t>
      </w:r>
    </w:p>
    <w:p>
      <w:pPr>
        <w:keepNext w:val="0"/>
        <w:keepLines w:val="0"/>
        <w:pageBreakBefore w:val="0"/>
        <w:widowControl w:val="0"/>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71" w:name="heading_15"/>
      <w:r>
        <w:rPr>
          <w:rFonts w:hint="eastAsia" w:ascii="仿宋_GB2312" w:hAnsi="仿宋_GB2312" w:eastAsia="仿宋_GB2312" w:cs="仿宋_GB2312"/>
          <w:b/>
          <w:color w:val="000000" w:themeColor="text1"/>
          <w:sz w:val="32"/>
          <w:szCs w:val="32"/>
          <w:highlight w:val="none"/>
          <w14:textFill>
            <w14:solidFill>
              <w14:schemeClr w14:val="tx1"/>
            </w14:solidFill>
          </w14:textFill>
        </w:rPr>
        <w:t>改革创新</w:t>
      </w:r>
      <w:bookmarkEnd w:id="71"/>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活力充分迸发</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育评价改革取得实质性突破，科学的评价体系基本建立。探索育人模式改革，构建协同育人的新型育人模式。深入推进集团化办学，促进教育集团形成合作共享的常态。教育数字化战略深入实施，智慧校园、数字教育资源全覆盖基本实现，人工智能与教育教学深度融合</w:t>
      </w:r>
      <w:r>
        <w:rPr>
          <w:rFonts w:hint="eastAsia" w:ascii="仿宋_GB2312" w:hAnsi="仿宋_GB2312" w:eastAsia="仿宋_GB2312" w:cs="仿宋_GB2312"/>
          <w:color w:val="000000" w:themeColor="text1"/>
          <w:kern w:val="2"/>
          <w:sz w:val="32"/>
          <w:szCs w:val="32"/>
          <w:highlight w:val="none"/>
          <w:u w:val="none"/>
          <w:lang w:val="en-US" w:eastAsia="zh-CN" w:bidi="ar"/>
          <w14:textFill>
            <w14:solidFill>
              <w14:schemeClr w14:val="tx1"/>
            </w14:solidFill>
          </w14:textFill>
        </w:rPr>
        <w:t>、全面应用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。教育综合改革的系统性、整体性、协同性显著增强，教育发展活力持续迸发。</w:t>
      </w:r>
    </w:p>
    <w:p>
      <w:pPr>
        <w:keepNext w:val="0"/>
        <w:keepLines w:val="0"/>
        <w:pageBreakBefore w:val="0"/>
        <w:widowControl w:val="0"/>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72" w:name="heading_16"/>
      <w:r>
        <w:rPr>
          <w:rFonts w:hint="eastAsia" w:ascii="仿宋_GB2312" w:hAnsi="仿宋_GB2312" w:eastAsia="仿宋_GB2312" w:cs="仿宋_GB2312"/>
          <w:b/>
          <w:color w:val="000000" w:themeColor="text1"/>
          <w:sz w:val="32"/>
          <w:szCs w:val="32"/>
          <w:highlight w:val="none"/>
          <w14:textFill>
            <w14:solidFill>
              <w14:schemeClr w14:val="tx1"/>
            </w14:solidFill>
          </w14:textFill>
        </w:rPr>
        <w:t>服务发展能力全面增强</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育与区域产业发展、科技创新的协同育人机制更加健全，职业教育与重点产业需求精准对接。人才培养结构与区域经济社会发展需求高度适配，每年为区域培养输送一批高素质急需紧缺人才。终身学习公共服务体系更加完善，满足社会成员多样化、个性化学习需求，形成学习型社会建设取得新进展。</w:t>
      </w:r>
    </w:p>
    <w:bookmarkEnd w:id="72"/>
    <w:p>
      <w:pPr>
        <w:keepNext w:val="0"/>
        <w:keepLines w:val="0"/>
        <w:pageBreakBefore w:val="0"/>
        <w:widowControl w:val="0"/>
        <w:kinsoku/>
        <w:wordWrap/>
        <w:overflowPunct/>
        <w:topLinePunct w:val="0"/>
        <w:autoSpaceDE/>
        <w:autoSpaceDN/>
        <w:bidi w:val="0"/>
        <w:adjustRightInd/>
        <w:snapToGrid/>
        <w:spacing w:afterLines="0"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73" w:name="heading_17"/>
      <w:r>
        <w:rPr>
          <w:rFonts w:hint="eastAsia" w:ascii="仿宋_GB2312" w:hAnsi="仿宋_GB2312" w:eastAsia="仿宋_GB2312" w:cs="仿宋_GB2312"/>
          <w:b/>
          <w:color w:val="000000" w:themeColor="text1"/>
          <w:sz w:val="32"/>
          <w:szCs w:val="32"/>
          <w:highlight w:val="none"/>
          <w14:textFill>
            <w14:solidFill>
              <w14:schemeClr w14:val="tx1"/>
            </w14:solidFill>
          </w14:textFill>
        </w:rPr>
        <w:t>教育治理效能持续优化</w:t>
      </w:r>
      <w:bookmarkEnd w:id="73"/>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党对教育工作的领导体制机制更加健全，依法治教水平全面提升。教育督导评估体系更加科学高效，全过程监管机制不断完善。学校自主管理、自主发展能力明显增强，现代学校制度建设取得突破性进展。家校社协同育人机制更加成熟，教育发展环境更加和谐有序。</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outlineLvl w:val="0"/>
        <w:rPr>
          <w:rFonts w:hint="eastAsia" w:ascii="黑体" w:hAnsi="黑体" w:eastAsia="黑体" w:cs="黑体"/>
          <w:b w:val="0"/>
          <w:bCs/>
          <w:color w:val="000000" w:themeColor="text1"/>
          <w:sz w:val="32"/>
          <w:szCs w:val="32"/>
          <w:highlight w:val="none"/>
          <w:lang w:eastAsia="zh-CN"/>
          <w14:textFill>
            <w14:solidFill>
              <w14:schemeClr w14:val="tx1"/>
            </w14:solidFill>
          </w14:textFill>
        </w:rPr>
      </w:pPr>
      <w:bookmarkStart w:id="74" w:name="_Toc20261"/>
      <w:bookmarkStart w:id="75" w:name="_Toc24466"/>
      <w:bookmarkStart w:id="76" w:name="_Toc12551"/>
      <w:bookmarkStart w:id="77" w:name="_Toc32666"/>
      <w:bookmarkStart w:id="78" w:name="_Toc137387322"/>
      <w:bookmarkStart w:id="79" w:name="_Toc18184"/>
      <w:bookmarkStart w:id="80" w:name="_Toc9882"/>
      <w:bookmarkStart w:id="81" w:name="_Toc14689"/>
      <w:r>
        <w:rPr>
          <w:rFonts w:hint="eastAsia" w:ascii="黑体" w:hAnsi="黑体" w:eastAsia="黑体" w:cs="黑体"/>
          <w:bCs/>
          <w:color w:val="000000" w:themeColor="text1"/>
          <w:sz w:val="32"/>
          <w:szCs w:val="32"/>
          <w:highlight w:val="none"/>
          <w:lang w:val="en-US" w:eastAsia="zh-CN"/>
          <w14:textFill>
            <w14:solidFill>
              <w14:schemeClr w14:val="tx1"/>
            </w14:solidFill>
          </w14:textFill>
        </w:rPr>
        <w:t>三、持续完</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善</w:t>
      </w:r>
      <w:r>
        <w:rPr>
          <w:rFonts w:hint="eastAsia" w:ascii="黑体" w:hAnsi="黑体" w:eastAsia="黑体" w:cs="黑体"/>
          <w:b w:val="0"/>
          <w:bCs/>
          <w:color w:val="000000" w:themeColor="text1"/>
          <w:sz w:val="32"/>
          <w:szCs w:val="32"/>
          <w:highlight w:val="none"/>
          <w14:textFill>
            <w14:solidFill>
              <w14:schemeClr w14:val="tx1"/>
            </w14:solidFill>
          </w14:textFill>
        </w:rPr>
        <w:t>立德树人</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落实机制</w:t>
      </w:r>
      <w:bookmarkEnd w:id="74"/>
      <w:bookmarkEnd w:id="75"/>
      <w:bookmarkEnd w:id="76"/>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82" w:name="_Toc18886"/>
      <w:bookmarkStart w:id="83" w:name="_Toc347"/>
      <w:bookmarkStart w:id="84" w:name="_Toc28415"/>
      <w:bookmarkStart w:id="85" w:name="_Toc29522"/>
      <w:bookmarkStart w:id="86" w:name="_Toc5463"/>
      <w:bookmarkStart w:id="87" w:name="_Toc24754"/>
      <w:bookmarkStart w:id="88" w:name="_Toc18119"/>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加强学校思想政治教育</w:t>
      </w:r>
      <w:bookmarkEnd w:id="82"/>
      <w:bookmarkEnd w:id="83"/>
      <w:bookmarkEnd w:id="84"/>
      <w:bookmarkEnd w:id="85"/>
      <w:bookmarkEnd w:id="86"/>
      <w:bookmarkEnd w:id="87"/>
      <w:bookmarkEnd w:id="88"/>
    </w:p>
    <w:p>
      <w:pPr>
        <w:keepNext w:val="0"/>
        <w:keepLines w:val="0"/>
        <w:pageBreakBefore w:val="0"/>
        <w:widowControl w:val="0"/>
        <w:pBdr>
          <w:top w:val="none" w:color="auto" w:sz="0" w:space="0"/>
          <w:left w:val="none" w:color="auto" w:sz="0" w:space="0"/>
          <w:right w:val="none" w:color="auto" w:sz="0" w:space="0"/>
        </w:pBdr>
        <w:kinsoku/>
        <w:wordWrap/>
        <w:overflowPunct/>
        <w:topLinePunct w:val="0"/>
        <w:autoSpaceDE/>
        <w:autoSpaceDN/>
        <w:bidi w:val="0"/>
        <w:adjustRightInd w:val="0"/>
        <w:snapToGrid w:val="0"/>
        <w:spacing w:afterLines="0"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以习近平新时代中国特色社会主义思想为指导，全面贯彻党的教育方针，落实立德树人根本任务，完善大中小学思政课一体化建设机制，推动思政教育向学前教育延伸，构建学段衔接、内容完整的思政课程体系，为双河职业技术学院配齐配强专职思政课老师和辅导员队伍。创新案例、情景、体验式等多元教学方式，融合现代教育技术，增强思政课思想性与亲和力，着力培养具有“兵”的意识、“兵”的能力的新时代青少年。持续加强中华优秀传统文化教育，深化兵团精神和胡杨精神、老兵精神教育，依托师市“千年边疆治理史、百年红色革命史、十年建城戍边史”</w:t>
      </w:r>
      <w:r>
        <w:rPr>
          <w:rFonts w:hint="eastAsia" w:ascii="仿宋_GB2312" w:hAnsi="仿宋_GB2312" w:eastAsia="仿宋_GB2312" w:cs="仿宋_GB2312"/>
          <w:b w:val="0"/>
          <w:bCs w:val="0"/>
          <w:color w:val="auto"/>
          <w:kern w:val="0"/>
          <w:sz w:val="32"/>
          <w:szCs w:val="32"/>
          <w:highlight w:val="none"/>
          <w:lang w:val="en-US" w:eastAsia="zh-CN"/>
        </w:rPr>
        <w:t>底蕴，深入挖掘罗少伟烈士革命事迹，将其融入校本课程和思政课堂，组建“罗少伟仪仗队”研学社团，常态化开展实践活动，传承英</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雄精神，激励师生发扬兵团人艰苦奋斗、忠诚戍边的优良传统。紧扣兵团维稳戍边职责，将国防教育融入思政体系，培育学生国防观念与国家安全意识。充分发挥天安门国旗育人作用，开展系列爱国主义活动，将国旗精神融入校园文化与教育全过程，厚植师生爱国情怀。到2030年，力争打造1—2个兵团乃至全疆有影响力的大思政课品牌，培育3—5所兵团示范级优质品牌学校。</w:t>
      </w:r>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89" w:name="_Toc8557"/>
      <w:bookmarkStart w:id="90" w:name="_Toc22432"/>
      <w:bookmarkStart w:id="91" w:name="_Toc21057"/>
      <w:bookmarkStart w:id="92" w:name="_Toc2703"/>
      <w:bookmarkStart w:id="93" w:name="_Toc844"/>
      <w:bookmarkStart w:id="94" w:name="_Toc21965"/>
      <w:bookmarkStart w:id="95" w:name="_Toc1308"/>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实施强健学生体质计划</w:t>
      </w:r>
      <w:bookmarkEnd w:id="89"/>
      <w:bookmarkEnd w:id="90"/>
      <w:bookmarkEnd w:id="91"/>
      <w:bookmarkEnd w:id="92"/>
      <w:bookmarkEnd w:id="93"/>
      <w:bookmarkEnd w:id="94"/>
      <w:bookmarkEnd w:id="95"/>
    </w:p>
    <w:p>
      <w:pPr>
        <w:keepNext w:val="0"/>
        <w:keepLines w:val="0"/>
        <w:pageBreakBefore w:val="0"/>
        <w:widowControl w:val="0"/>
        <w:numPr>
          <w:ilvl w:val="-1"/>
          <w:numId w:val="0"/>
        </w:numPr>
        <w:kinsoku/>
        <w:wordWrap/>
        <w:overflowPunct/>
        <w:topLinePunct w:val="0"/>
        <w:autoSpaceDE/>
        <w:autoSpaceDN/>
        <w:bidi w:val="0"/>
        <w:adjustRightInd w:val="0"/>
        <w:snapToGrid w:val="0"/>
        <w:spacing w:afterLines="0" w:line="560" w:lineRule="exact"/>
        <w:ind w:left="0" w:lef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auto"/>
          <w:sz w:val="32"/>
          <w:szCs w:val="32"/>
          <w:highlight w:val="none"/>
        </w:rPr>
        <w:t>牢固树立“健康第一”教育理念，</w:t>
      </w:r>
      <w:r>
        <w:rPr>
          <w:rFonts w:hint="eastAsia" w:ascii="仿宋_GB2312" w:hAnsi="仿宋_GB2312" w:eastAsia="仿宋_GB2312" w:cs="仿宋_GB2312"/>
          <w:color w:val="auto"/>
          <w:sz w:val="32"/>
          <w:szCs w:val="32"/>
          <w:highlight w:val="none"/>
          <w:lang w:eastAsia="zh-CN"/>
        </w:rPr>
        <w:t>有效控制近视率、肥胖率，</w:t>
      </w:r>
      <w:r>
        <w:rPr>
          <w:rFonts w:hint="eastAsia" w:ascii="仿宋_GB2312" w:hAnsi="仿宋_GB2312" w:eastAsia="仿宋_GB2312" w:cs="仿宋_GB2312"/>
          <w:color w:val="auto"/>
          <w:sz w:val="32"/>
          <w:szCs w:val="32"/>
          <w:highlight w:val="none"/>
        </w:rPr>
        <w:t>构建科学完善、贴合师市实际的体育教学模式，确保中小学生每天综合体育活动时间不低于</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小时，聚焦“教会、勤练、常赛”，帮助学生掌握1—2项终身受益的运动技能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0"/>
          <w:kern w:val="2"/>
          <w:sz w:val="32"/>
          <w:szCs w:val="32"/>
          <w:highlight w:val="none"/>
          <w:shd w:val="clear"/>
          <w:lang w:val="en-US" w:eastAsia="zh-CN" w:bidi="ar-SA"/>
        </w:rPr>
        <w:t>充分利用好“</w:t>
      </w: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智慧体育”平台</w:t>
      </w:r>
      <w:r>
        <w:rPr>
          <w:rFonts w:hint="eastAsia" w:ascii="仿宋_GB2312" w:hAnsi="仿宋_GB2312" w:eastAsia="仿宋_GB2312" w:cs="仿宋_GB2312"/>
          <w:color w:val="auto"/>
          <w:spacing w:val="0"/>
          <w:kern w:val="2"/>
          <w:sz w:val="32"/>
          <w:szCs w:val="32"/>
          <w:highlight w:val="none"/>
          <w:shd w:val="clear"/>
          <w:lang w:val="en-US" w:eastAsia="zh-CN" w:bidi="ar-SA"/>
        </w:rPr>
        <w:t>推动学校体育活</w:t>
      </w:r>
      <w:r>
        <w:rPr>
          <w:rFonts w:hint="eastAsia" w:ascii="仿宋_GB2312" w:hAnsi="仿宋_GB2312" w:eastAsia="仿宋_GB2312" w:cs="仿宋_GB2312"/>
          <w:color w:val="000000" w:themeColor="text1"/>
          <w:spacing w:val="0"/>
          <w:kern w:val="2"/>
          <w:sz w:val="32"/>
          <w:szCs w:val="32"/>
          <w:highlight w:val="none"/>
          <w:shd w:val="clear"/>
          <w:lang w:val="en-US" w:eastAsia="zh-CN" w:bidi="ar-SA"/>
          <w14:textFill>
            <w14:solidFill>
              <w14:schemeClr w14:val="tx1"/>
            </w14:solidFill>
          </w14:textFill>
        </w:rPr>
        <w:t>动开展</w:t>
      </w:r>
      <w:r>
        <w:rPr>
          <w:rFonts w:hint="eastAsia" w:ascii="仿宋_GB2312" w:hAnsi="仿宋_GB2312" w:eastAsia="仿宋_GB2312" w:cs="仿宋_GB2312"/>
          <w:color w:val="000000" w:themeColor="text1"/>
          <w:sz w:val="32"/>
          <w:szCs w:val="32"/>
          <w:highlight w:val="none"/>
          <w14:textFill>
            <w14:solidFill>
              <w14:schemeClr w14:val="tx1"/>
            </w14:solidFill>
          </w14:textFill>
        </w:rPr>
        <w:t>。完善体教融合机制与体育竞赛体系，联动师市文体广旅局等部门，定期举办师市级中小学生足球、篮球、乒乓球等赛事，搭建学生运动竞技平台，提升学生运动参与度和竞技水平。发挥88团学校、第五师小学等篮球、乒乓球、足球特色学校示范引领作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提升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双河职业技术学院</w:t>
      </w:r>
      <w:r>
        <w:rPr>
          <w:rFonts w:hint="eastAsia" w:ascii="仿宋_GB2312" w:hAnsi="仿宋_GB2312" w:eastAsia="仿宋_GB2312" w:cs="仿宋_GB2312"/>
          <w:color w:val="000000" w:themeColor="text1"/>
          <w:sz w:val="32"/>
          <w:szCs w:val="32"/>
          <w:highlight w:val="none"/>
          <w14:textFill>
            <w14:solidFill>
              <w14:schemeClr w14:val="tx1"/>
            </w14:solidFill>
          </w14:textFill>
        </w:rPr>
        <w:t>学生身体素质和职业适配体能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结合专业特点设计体育教学内容，常态化开展体育社团活动和职业特色体育竞赛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。利用</w:t>
      </w:r>
      <w:r>
        <w:rPr>
          <w:rFonts w:hint="eastAsia" w:ascii="仿宋_GB2312" w:hAnsi="仿宋_GB2312" w:eastAsia="仿宋_GB2312" w:cs="仿宋_GB2312"/>
          <w:color w:val="000000" w:themeColor="text1"/>
          <w:sz w:val="32"/>
          <w:szCs w:val="32"/>
          <w:highlight w:val="none"/>
          <w14:textFill>
            <w14:solidFill>
              <w14:schemeClr w14:val="tx1"/>
            </w14:solidFill>
          </w14:textFill>
        </w:rPr>
        <w:t>青少年宫体育资源，弥补校内体育教学短板，开设体育拓展课程，联动团镇文体活动中心、户外场地打造校外体育实践基地。结合师市兵团特色与地域特点，探索开设骑马、射箭等特色体育社团</w:t>
      </w:r>
      <w:r>
        <w:rPr>
          <w:rFonts w:hint="eastAsia" w:ascii="仿宋_GB2312" w:hAnsi="仿宋_GB2312" w:eastAsia="仿宋_GB2312" w:cs="仿宋_GB2312"/>
          <w:color w:val="auto"/>
          <w:sz w:val="32"/>
          <w:szCs w:val="32"/>
          <w:highlight w:val="none"/>
        </w:rPr>
        <w:t>，做优做强跆拳</w:t>
      </w:r>
      <w:r>
        <w:rPr>
          <w:rFonts w:hint="eastAsia" w:ascii="仿宋_GB2312" w:hAnsi="仿宋_GB2312" w:eastAsia="仿宋_GB2312" w:cs="仿宋_GB2312"/>
          <w:color w:val="000000" w:themeColor="text1"/>
          <w:sz w:val="32"/>
          <w:szCs w:val="32"/>
          <w:highlight w:val="none"/>
          <w14:textFill>
            <w14:solidFill>
              <w14:schemeClr w14:val="tx1"/>
            </w14:solidFill>
          </w14:textFill>
        </w:rPr>
        <w:t>道、冰雪运动等优势精品社团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到2030年，建成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所以上兵团级体育特色学校，全面提升学生体质健康水平，培育体魄强健、意志坚定的新时代青少年。</w:t>
      </w: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96" w:name="_Toc10665"/>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（三）</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实施美育浸润行动</w:t>
      </w:r>
      <w:bookmarkEnd w:id="96"/>
    </w:p>
    <w:p>
      <w:pPr>
        <w:keepNext w:val="0"/>
        <w:keepLines w:val="0"/>
        <w:pageBreakBefore w:val="0"/>
        <w:widowControl w:val="0"/>
        <w:numPr>
          <w:ilvl w:val="-1"/>
          <w:numId w:val="0"/>
        </w:numPr>
        <w:kinsoku/>
        <w:wordWrap/>
        <w:overflowPunct/>
        <w:topLinePunct w:val="0"/>
        <w:autoSpaceDE/>
        <w:autoSpaceDN/>
        <w:bidi w:val="0"/>
        <w:adjustRightInd w:val="0"/>
        <w:snapToGrid w:val="0"/>
        <w:spacing w:afterLines="0" w:line="560" w:lineRule="exact"/>
        <w:ind w:left="0" w:lef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完善多元美育教学方式，开齐开足美育课程，培养学生审美素养和艺术表现力。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充分发挥师市第一批非遗名录的83团二中芦苇画、86团一中棉花画项目的示范作用，开好特色课程，常态化开展非遗体验、作品创作、展览展示等活动，力争在2030年前1-2个项目入选兵团非遗名录。</w:t>
      </w:r>
      <w:r>
        <w:rPr>
          <w:rFonts w:hint="eastAsia" w:ascii="仿宋_GB2312" w:hAnsi="仿宋_GB2312" w:eastAsia="仿宋_GB2312" w:cs="仿宋_GB2312"/>
          <w:color w:val="000000" w:themeColor="text1"/>
          <w:sz w:val="32"/>
          <w:szCs w:val="32"/>
          <w:highlight w:val="none"/>
          <w14:textFill>
            <w14:solidFill>
              <w14:schemeClr w14:val="tx1"/>
            </w14:solidFill>
          </w14:textFill>
        </w:rPr>
        <w:t>打造“宏伟”合唱团、掐丝珐琅、芦苇画、棉花画、创客空间等优势精品社团，建成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以上</w:t>
      </w:r>
      <w:r>
        <w:rPr>
          <w:rFonts w:hint="eastAsia" w:ascii="仿宋_GB2312" w:hAnsi="仿宋_GB2312" w:eastAsia="仿宋_GB2312" w:cs="仿宋_GB2312"/>
          <w:color w:val="000000" w:themeColor="text1"/>
          <w:sz w:val="32"/>
          <w:szCs w:val="32"/>
          <w:highlight w:val="none"/>
          <w14:textFill>
            <w14:solidFill>
              <w14:schemeClr w14:val="tx1"/>
            </w14:solidFill>
          </w14:textFill>
        </w:rPr>
        <w:t>兵团级艺术特色学校。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发挥青少年宫优势，提升学生艺术素养。</w:t>
      </w:r>
      <w:r>
        <w:rPr>
          <w:rFonts w:hint="eastAsia" w:ascii="仿宋_GB2312" w:hAnsi="仿宋_GB2312" w:eastAsia="仿宋_GB2312" w:cs="仿宋_GB2312"/>
          <w:color w:val="000000" w:themeColor="text1"/>
          <w:sz w:val="32"/>
          <w:szCs w:val="32"/>
          <w:highlight w:val="none"/>
          <w14:textFill>
            <w14:solidFill>
              <w14:schemeClr w14:val="tx1"/>
            </w14:solidFill>
          </w14:textFill>
        </w:rPr>
        <w:t>注重学校文化成果</w:t>
      </w:r>
      <w:r>
        <w:rPr>
          <w:rFonts w:hint="eastAsia" w:ascii="仿宋_GB2312" w:hAnsi="仿宋_GB2312" w:eastAsia="仿宋_GB2312" w:cs="仿宋_GB2312"/>
          <w:color w:val="auto"/>
          <w:sz w:val="32"/>
          <w:szCs w:val="32"/>
          <w:highlight w:val="none"/>
        </w:rPr>
        <w:t>展示与传播，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常态化推进“文化艺术</w:t>
      </w:r>
      <w:r>
        <w:rPr>
          <w:rFonts w:hint="eastAsia" w:ascii="仿宋_GB2312" w:hAnsi="仿宋_GB2312" w:eastAsia="仿宋_GB2312" w:cs="仿宋_GB2312"/>
          <w:color w:val="000000" w:themeColor="text1"/>
          <w:sz w:val="32"/>
          <w:szCs w:val="32"/>
          <w:highlight w:val="none"/>
          <w14:textFill>
            <w14:solidFill>
              <w14:schemeClr w14:val="tx1"/>
            </w14:solidFill>
          </w14:textFill>
        </w:rPr>
        <w:t>进校园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活动，举办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大中小学艺术</w:t>
      </w:r>
      <w:r>
        <w:rPr>
          <w:rFonts w:hint="eastAsia" w:ascii="仿宋_GB2312" w:hAnsi="仿宋_GB2312" w:eastAsia="仿宋_GB2312" w:cs="仿宋_GB2312"/>
          <w:color w:val="000000" w:themeColor="text1"/>
          <w:sz w:val="32"/>
          <w:szCs w:val="32"/>
          <w:highlight w:val="none"/>
          <w14:textFill>
            <w14:solidFill>
              <w14:schemeClr w14:val="tx1"/>
            </w14:solidFill>
          </w14:textFill>
        </w:rPr>
        <w:t>成果展、文艺汇演等活动，推动优秀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艺术</w:t>
      </w:r>
      <w:r>
        <w:rPr>
          <w:rFonts w:hint="eastAsia" w:ascii="仿宋_GB2312" w:hAnsi="仿宋_GB2312" w:eastAsia="仿宋_GB2312" w:cs="仿宋_GB2312"/>
          <w:color w:val="000000" w:themeColor="text1"/>
          <w:sz w:val="32"/>
          <w:szCs w:val="32"/>
          <w:highlight w:val="none"/>
          <w14:textFill>
            <w14:solidFill>
              <w14:schemeClr w14:val="tx1"/>
            </w14:solidFill>
          </w14:textFill>
        </w:rPr>
        <w:t>作品走出校园，加强校际、区域间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艺术</w:t>
      </w:r>
      <w:r>
        <w:rPr>
          <w:rFonts w:hint="eastAsia" w:ascii="仿宋_GB2312" w:hAnsi="仿宋_GB2312" w:eastAsia="仿宋_GB2312" w:cs="仿宋_GB2312"/>
          <w:color w:val="000000" w:themeColor="text1"/>
          <w:sz w:val="32"/>
          <w:szCs w:val="32"/>
          <w:highlight w:val="none"/>
          <w14:textFill>
            <w14:solidFill>
              <w14:schemeClr w14:val="tx1"/>
            </w14:solidFill>
          </w14:textFill>
        </w:rPr>
        <w:t>文化交流，展现校园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艺术</w:t>
      </w:r>
      <w:r>
        <w:rPr>
          <w:rFonts w:hint="eastAsia" w:ascii="仿宋_GB2312" w:hAnsi="仿宋_GB2312" w:eastAsia="仿宋_GB2312" w:cs="仿宋_GB2312"/>
          <w:color w:val="000000" w:themeColor="text1"/>
          <w:sz w:val="32"/>
          <w:szCs w:val="32"/>
          <w:highlight w:val="none"/>
          <w14:textFill>
            <w14:solidFill>
              <w14:schemeClr w14:val="tx1"/>
            </w14:solidFill>
          </w14:textFill>
        </w:rPr>
        <w:t>育人风采。</w:t>
      </w:r>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pPr>
      <w:bookmarkStart w:id="97" w:name="_Toc11431"/>
      <w:bookmarkStart w:id="98" w:name="_Toc19712"/>
      <w:bookmarkStart w:id="99" w:name="_Toc22993"/>
      <w:bookmarkStart w:id="100" w:name="_Toc28188"/>
      <w:bookmarkStart w:id="101" w:name="_Toc1006"/>
      <w:bookmarkStart w:id="102" w:name="heading_3"/>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（四）</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实施</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劳动习惯养成计划</w:t>
      </w:r>
      <w:bookmarkEnd w:id="97"/>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构建“学校主导、家庭支持、社会协同”的劳动教育体系，将劳动教育贯通各学段、融入各学科，与生态文明、勤俭节约教育协同推进，全面覆盖生活、家务、生产、工业、服务等劳动领域。校内强基提质，发挥89团小学、第五师小学、86团一中3所兵团劳动教育示范基地引领作用，同步创建90团学校、81团学校劳动教育特色校，推进劳动教育课程系列化、本土化建设。校外融合赋能，依托师市“中树云”“深莓智能”等本土企业资源，联动双河职业技术学院实训阵地建设，培育工匠精神、训练实操技能。以示范基地、特色校为核心，辐射带动全域劳动实践基地提质升级，开发贴合本土产业发展的劳动实践课程；组织中小学生走进师市职院（校），到双河职业技术学院实训基地开展参观体验、职业研学活动，推动劳动教育与生产实践、职业教育深度融合。健全评价机制，将劳动素养纳入学生综合素质评价体系，建立科学的评价与反馈机制，引导学生树立正确劳动观念，推动劳动教育与社会服务有机结合，培育学生劳动精神和实践能力。</w:t>
      </w:r>
    </w:p>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3" w:firstLineChars="200"/>
        <w:jc w:val="both"/>
        <w:textAlignment w:val="auto"/>
        <w:outlineLvl w:val="1"/>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pPr>
      <w:bookmarkStart w:id="103" w:name="_Toc5794"/>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（五）普及心理健康教育</w:t>
      </w:r>
      <w:bookmarkEnd w:id="103"/>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健全师市中小学心理健康教育体系，按标准足额配备专职心理教师，开齐开足心理健康教育课程，推动各学校建设标准化心理辅导中心，完善“筛查—预警—干预—跟踪”全链条工作机制，筑牢学生心理健康防线。依托“智慧心育”心理健康监管平台，建立学生心理健康“一生一策”成长档案，实现心理健康数据动态监测、精准研判和个性化服务，确保有心理需求的学生得到及时、科学干预，持续做好常态化监测与处置工作。加强学生生命教育、青春期教育和挫折教育，创新教学形式，提升学生环境适应、情绪调适、压力应对能力，增强心理韧性和心理免疫力。构建家校社协同育人网络，通过家长课堂、线上宣讲等多元形式提升家长心理健康教育能力，营造理解、关爱、支持学生心理健康的良好氛围；依托师市心理健康教育指导中心，常态化开展心理健康宣传教育月、典型案例评选、教师心理沙龙等活动，提升心理健康教育队伍专业素养，推动师市心理健康教育提质增效，助力青少年身心健康成长。</w:t>
      </w:r>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default" w:ascii="楷体_GB2312" w:hAnsi="楷体_GB2312" w:eastAsia="楷体_GB2312" w:cs="楷体_GB2312"/>
          <w:b/>
          <w:bCs w:val="0"/>
          <w:color w:val="auto"/>
          <w:sz w:val="32"/>
          <w:szCs w:val="32"/>
          <w:highlight w:val="none"/>
          <w:lang w:val="en-US" w:eastAsia="zh-CN"/>
        </w:rPr>
      </w:pPr>
      <w:bookmarkStart w:id="104" w:name="_Toc16449"/>
      <w:r>
        <w:rPr>
          <w:rFonts w:hint="eastAsia" w:ascii="楷体_GB2312" w:hAnsi="楷体_GB2312" w:eastAsia="楷体_GB2312" w:cs="楷体_GB2312"/>
          <w:b/>
          <w:bCs w:val="0"/>
          <w:color w:val="auto"/>
          <w:sz w:val="32"/>
          <w:szCs w:val="32"/>
          <w:highlight w:val="none"/>
          <w:lang w:eastAsia="zh-CN"/>
        </w:rPr>
        <w:t>（六）</w:t>
      </w:r>
      <w:r>
        <w:rPr>
          <w:rFonts w:hint="eastAsia" w:ascii="楷体_GB2312" w:hAnsi="楷体_GB2312" w:eastAsia="楷体_GB2312" w:cs="楷体_GB2312"/>
          <w:b/>
          <w:bCs w:val="0"/>
          <w:color w:val="auto"/>
          <w:sz w:val="32"/>
          <w:szCs w:val="32"/>
          <w:highlight w:val="none"/>
        </w:rPr>
        <w:t>培育科学素养</w:t>
      </w:r>
      <w:bookmarkEnd w:id="98"/>
      <w:bookmarkEnd w:id="99"/>
      <w:bookmarkEnd w:id="100"/>
      <w:bookmarkEnd w:id="101"/>
      <w:bookmarkEnd w:id="104"/>
    </w:p>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构建贯穿学前至高中阶段的科学教育体系，融入科学家精神教育，强化跨学科探究式教学与科学实验实践教学，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STEM教育更加规范。</w:t>
      </w:r>
      <w:r>
        <w:rPr>
          <w:rFonts w:hint="eastAsia" w:ascii="仿宋_GB2312" w:hAnsi="仿宋_GB2312" w:eastAsia="仿宋_GB2312" w:cs="仿宋_GB2312"/>
          <w:color w:val="000000" w:themeColor="text1"/>
          <w:sz w:val="32"/>
          <w:szCs w:val="32"/>
          <w:highlight w:val="none"/>
          <w14:textFill>
            <w14:solidFill>
              <w14:schemeClr w14:val="tx1"/>
            </w14:solidFill>
          </w14:textFill>
        </w:rPr>
        <w:t>为理化生地实验室配置高水平创新仪器设备，在师市16所中小学完成配套建设，以硬件升级夯实科学素养培育实践基础，着力培养学生创新思维、科学探究能力和解决实际问题的能力。整合校内外优质资源搭建科创平台，以89团小学、实验学校、81团学校等为核心，组织师生参与兵团学生信息素养提升实践活动、新疆青少年航海模型锦标赛等科技交流赛事，同步衔接职业教育科创培育，契合师市高新技术企业发展、智算中心建设等需求，培养适配区域发展的科技技能人才。实施“少年科学院”计划，在所有中小学开设科学实验社团，每年举办师市青少年科技创新大赛，力争到2030年建成全国中小学科学教育实验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所、兵团级科技特色学校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所以上，全面提升师市科技教育影响力，为师市科技创新能力提升筑牢人才根基。</w:t>
      </w:r>
    </w:p>
    <w:bookmarkEnd w:id="102"/>
    <w:p>
      <w:pPr>
        <w:keepNext w:val="0"/>
        <w:keepLines w:val="0"/>
        <w:pageBreakBefore w:val="0"/>
        <w:widowControl w:val="0"/>
        <w:numPr>
          <w:ilvl w:val="-1"/>
          <w:numId w:val="0"/>
        </w:numPr>
        <w:kinsoku/>
        <w:wordWrap/>
        <w:overflowPunct/>
        <w:topLinePunct w:val="0"/>
        <w:autoSpaceDE/>
        <w:autoSpaceDN/>
        <w:bidi w:val="0"/>
        <w:adjustRightInd w:val="0"/>
        <w:snapToGrid w:val="0"/>
        <w:spacing w:afterLines="0" w:line="560" w:lineRule="exact"/>
        <w:ind w:firstLine="640" w:firstLineChars="200"/>
        <w:jc w:val="both"/>
        <w:textAlignment w:val="auto"/>
        <w:outlineLvl w:val="0"/>
        <w:rPr>
          <w:rFonts w:hint="eastAsia" w:ascii="楷体_GB2312" w:hAnsi="楷体_GB2312" w:eastAsia="楷体_GB2312" w:cs="楷体_GB2312"/>
          <w:b w:val="0"/>
          <w:bCs/>
          <w:color w:val="000000" w:themeColor="text1"/>
          <w:sz w:val="32"/>
          <w:szCs w:val="32"/>
          <w:highlight w:val="none"/>
          <w:lang w:val="en-US" w:eastAsia="zh-CN"/>
          <w14:textFill>
            <w14:solidFill>
              <w14:schemeClr w14:val="tx1"/>
            </w14:solidFill>
          </w14:textFill>
        </w:rPr>
      </w:pPr>
      <w:bookmarkStart w:id="105" w:name="_Toc6109"/>
      <w:bookmarkStart w:id="106" w:name="_Toc14311"/>
      <w:bookmarkStart w:id="107" w:name="_Toc10804"/>
      <w:bookmarkStart w:id="108" w:name="_Toc12600"/>
      <w:bookmarkStart w:id="109" w:name="_Toc23878"/>
      <w:bookmarkStart w:id="110" w:name="_Toc2746"/>
      <w:bookmarkStart w:id="111" w:name="_Toc225814251"/>
      <w:bookmarkStart w:id="112" w:name="_Toc2916"/>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b w:val="0"/>
          <w:bCs/>
          <w:color w:val="000000" w:themeColor="text1"/>
          <w:sz w:val="32"/>
          <w:szCs w:val="32"/>
          <w:highlight w:val="none"/>
          <w14:textFill>
            <w14:solidFill>
              <w14:schemeClr w14:val="tx1"/>
            </w14:solidFill>
          </w14:textFill>
        </w:rPr>
        <w:t>推进各类教育</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高质量</w:t>
      </w:r>
      <w:r>
        <w:rPr>
          <w:rFonts w:hint="eastAsia" w:ascii="黑体" w:hAnsi="黑体" w:eastAsia="黑体" w:cs="黑体"/>
          <w:b w:val="0"/>
          <w:bCs/>
          <w:color w:val="000000" w:themeColor="text1"/>
          <w:sz w:val="32"/>
          <w:szCs w:val="32"/>
          <w:highlight w:val="none"/>
          <w14:textFill>
            <w14:solidFill>
              <w14:schemeClr w14:val="tx1"/>
            </w14:solidFill>
          </w14:textFill>
        </w:rPr>
        <w:t>发展</w:t>
      </w:r>
      <w:bookmarkEnd w:id="105"/>
      <w:bookmarkEnd w:id="106"/>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pPr>
      <w:bookmarkStart w:id="113" w:name="_Toc5611"/>
      <w:bookmarkStart w:id="114" w:name="_Toc29735"/>
      <w:bookmarkStart w:id="115" w:name="_Toc3565"/>
      <w:bookmarkStart w:id="116" w:name="_Toc2027"/>
      <w:bookmarkStart w:id="117" w:name="_Toc17307"/>
      <w:bookmarkStart w:id="118" w:name="_Toc6641"/>
      <w:bookmarkStart w:id="119" w:name="_Toc27838"/>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）推进</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学前教育优质普惠</w:t>
      </w:r>
      <w:bookmarkEnd w:id="113"/>
      <w:bookmarkEnd w:id="114"/>
      <w:bookmarkEnd w:id="115"/>
      <w:bookmarkEnd w:id="116"/>
      <w:bookmarkEnd w:id="117"/>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0" w:firstLineChars="200"/>
        <w:jc w:val="both"/>
        <w:textAlignment w:val="auto"/>
        <w:outlineLvl w:val="9"/>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
      <w:bookmarkStart w:id="120" w:name="_Toc31158"/>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落实学前教育免费政策，持续扩大普惠性学前教育资源供给，巩固学前教育普及普惠国家认定成果，推动学前教育从“普及”向“优质”转型，学前教育毛入园</w:t>
      </w:r>
      <w:r>
        <w:rPr>
          <w:rFonts w:hint="eastAsia" w:ascii="仿宋_GB2312" w:hAnsi="仿宋_GB2312" w:eastAsia="仿宋_GB2312" w:cs="仿宋_GB2312"/>
          <w:color w:val="auto"/>
          <w:sz w:val="32"/>
          <w:szCs w:val="32"/>
          <w:highlight w:val="none"/>
          <w:lang w:val="en-US" w:eastAsia="zh-CN"/>
        </w:rPr>
        <w:t>率稳定在*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上。发挥学前教育园际联盟辐射作用，健全教研共建、资源共享、师资互派机制，完善师资培训体系，建立科学保教质量评估机制和全域教研指导网络，推动优质学前教育资源均衡共享。深化课程游戏化改革，严格落实《3-6岁儿童学习与发展指南》，保障幼儿每天不少于2小时户外游戏时间，依托师市12个“健康、语言、社会、科学、艺术”领域工作坊丰富教学载体，坚决遏制“小学化”倾向，推进幼儿园与小学科学衔接。突破托幼一体化发展瓶颈，配合卫健部门支持师幼儿园、实验幼儿园、89团幼儿园等公办幼儿园开设2—3岁托育班，完善托育服务配套师资与管理体系，稳步扩大托育服务供给，满足职工群众多样化、便捷化托育需求，助力师市人口集聚。</w:t>
      </w:r>
      <w:bookmarkEnd w:id="120"/>
      <w:bookmarkStart w:id="121" w:name="_Toc1380"/>
      <w:bookmarkStart w:id="122" w:name="_Toc27207"/>
      <w:bookmarkStart w:id="123" w:name="_Toc18549"/>
      <w:bookmarkStart w:id="124" w:name="_Toc12649"/>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125" w:name="_Toc9911"/>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深化义务教育扩优提质</w:t>
      </w:r>
      <w:bookmarkEnd w:id="121"/>
      <w:bookmarkEnd w:id="122"/>
      <w:bookmarkEnd w:id="123"/>
      <w:bookmarkEnd w:id="124"/>
      <w:bookmarkEnd w:id="125"/>
    </w:p>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126" w:name="_Toc10155"/>
      <w:r>
        <w:rPr>
          <w:rFonts w:hint="eastAsia" w:ascii="仿宋_GB2312" w:hAnsi="仿宋_GB2312" w:eastAsia="仿宋_GB2312" w:cs="仿宋_GB2312"/>
          <w:color w:val="000000" w:themeColor="text1"/>
          <w:sz w:val="32"/>
          <w:szCs w:val="32"/>
          <w:highlight w:val="none"/>
          <w14:textFill>
            <w14:solidFill>
              <w14:schemeClr w14:val="tx1"/>
            </w14:solidFill>
          </w14:textFill>
        </w:rPr>
        <w:t>巩固提升义务教育优质均衡国家评估认定成果，发挥兵团唯一“义务教育国家质量监测结果应用试验区II类”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作用</w:t>
      </w:r>
      <w:r>
        <w:rPr>
          <w:rFonts w:hint="eastAsia" w:ascii="仿宋_GB2312" w:hAnsi="仿宋_GB2312" w:eastAsia="仿宋_GB2312" w:cs="仿宋_GB2312"/>
          <w:color w:val="000000" w:themeColor="text1"/>
          <w:sz w:val="32"/>
          <w:szCs w:val="32"/>
          <w:highlight w:val="none"/>
          <w14:textFill>
            <w14:solidFill>
              <w14:schemeClr w14:val="tx1"/>
            </w14:solidFill>
          </w14:textFill>
        </w:rPr>
        <w:t>，以监测结果为导向优化教学管理，建立监测数据深度分析、问题精准整改、成果有效转化的闭环工作机制，推动监测结果与教学提质、师资建设、课程改革深度融合。推行春秋假和雪假，均衡学习</w:t>
      </w:r>
      <w:r>
        <w:rPr>
          <w:rFonts w:hint="eastAsia" w:ascii="仿宋_GB2312" w:hAnsi="仿宋_GB2312" w:eastAsia="仿宋_GB2312" w:cs="仿宋_GB2312"/>
          <w:color w:val="auto"/>
          <w:sz w:val="32"/>
          <w:szCs w:val="32"/>
          <w:highlight w:val="none"/>
        </w:rPr>
        <w:t>节奏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服务学生</w:t>
      </w:r>
      <w:r>
        <w:rPr>
          <w:rFonts w:hint="eastAsia" w:ascii="仿宋_GB2312" w:hAnsi="仿宋_GB2312" w:eastAsia="仿宋_GB2312" w:cs="仿宋_GB2312"/>
          <w:color w:val="auto"/>
          <w:sz w:val="32"/>
          <w:szCs w:val="32"/>
          <w:highlight w:val="none"/>
          <w:lang w:eastAsia="zh-CN"/>
        </w:rPr>
        <w:t>全面发展。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构建素质教育导向的多元评价机制，完善质量反馈改进闭环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深化课程与教学改革，严格落实国家课程方案和标准，以实验学校“融生课堂”、83团一中“学思课堂”、90团学校“九字五环一查”、86团一中“六好”评价等教学改革为示范，创新教学模式，强化五育融合与因材施教，着力培育学生核心素养。健全特殊群体教育保障机制，精准落实控辍保学措施，严格执行随迁子女、残疾少年儿童入学政策，确保符合政策的随迁子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%就近免试入公办校，残疾儿童入学率达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%以上，让优质均衡发展成果更多更公平惠及全体学生，助力教育强师市建设。</w:t>
      </w:r>
    </w:p>
    <w:bookmarkEnd w:id="126"/>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127" w:name="_Toc28283"/>
      <w:bookmarkStart w:id="128" w:name="_Toc6543"/>
      <w:bookmarkStart w:id="129" w:name="_Toc18075"/>
      <w:bookmarkStart w:id="130" w:name="_Toc17767"/>
      <w:bookmarkStart w:id="131" w:name="_Toc9568"/>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推动师域普通高中优质多元发展</w:t>
      </w:r>
      <w:bookmarkEnd w:id="127"/>
      <w:bookmarkEnd w:id="128"/>
      <w:bookmarkEnd w:id="129"/>
      <w:bookmarkEnd w:id="130"/>
      <w:bookmarkEnd w:id="131"/>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0" w:firstLineChars="200"/>
        <w:jc w:val="both"/>
        <w:textAlignment w:val="auto"/>
        <w:outlineLvl w:val="9"/>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实施师域普通高中振兴行动，推进第五师高级中学、89团中学高中标准化建设，补齐办学硬件短板、优化办学条件，扩大优质高中教育资源供给，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2030年初中毕业生就读普通高中学位供给稳定在*%以上，让更多学生能够接受公平优质的教育，</w:t>
      </w:r>
      <w:r>
        <w:rPr>
          <w:rFonts w:hint="eastAsia" w:ascii="仿宋_GB2312" w:hAnsi="仿宋_GB2312" w:eastAsia="仿宋_GB2312" w:cs="仿宋_GB2312"/>
          <w:color w:val="000000" w:themeColor="text1"/>
          <w:sz w:val="32"/>
          <w:szCs w:val="32"/>
          <w:highlight w:val="none"/>
          <w14:textFill>
            <w14:solidFill>
              <w14:schemeClr w14:val="tx1"/>
            </w14:solidFill>
          </w14:textFill>
        </w:rPr>
        <w:t>助力高中阶段教育完成率稳步提升。发挥第五师高级中学优质示范引领作用，对标全疆一流高中深化教学改革，聚焦内涵提质，提升核心竞争力，推动教育教学质量持续攀升，稳居兵团前列。支持89团中学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持续</w:t>
      </w:r>
      <w:r>
        <w:rPr>
          <w:rFonts w:hint="eastAsia" w:ascii="仿宋_GB2312" w:hAnsi="仿宋_GB2312" w:eastAsia="仿宋_GB2312" w:cs="仿宋_GB2312"/>
          <w:color w:val="000000" w:themeColor="text1"/>
          <w:sz w:val="32"/>
          <w:szCs w:val="32"/>
          <w:highlight w:val="none"/>
          <w14:textFill>
            <w14:solidFill>
              <w14:schemeClr w14:val="tx1"/>
            </w14:solidFill>
          </w14:textFill>
        </w:rPr>
        <w:t>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好</w:t>
      </w:r>
      <w:r>
        <w:rPr>
          <w:rFonts w:hint="eastAsia" w:ascii="仿宋_GB2312" w:hAnsi="仿宋_GB2312" w:eastAsia="仿宋_GB2312" w:cs="仿宋_GB2312"/>
          <w:color w:val="000000" w:themeColor="text1"/>
          <w:sz w:val="32"/>
          <w:szCs w:val="32"/>
          <w:highlight w:val="none"/>
          <w14:textFill>
            <w14:solidFill>
              <w14:schemeClr w14:val="tx1"/>
            </w14:solidFill>
          </w14:textFill>
        </w:rPr>
        <w:t>艺体特色发展之路，做优做强艺体特色办学品牌，用好天津音乐学院等优质帮扶资源，精准培育艺术特长学生，积极创建兵团优质普通高中，实现“优质+特色”双提升。全面落实普通高中新课程、新教材、新高考改革要求，完善选课走班教学管理机制，建立标准化学生发展指导中心，强化学生生涯规划教育，完善普通高中学业水平考试和综合素质评价制度，衔接师市“教育聚人”目标，培育适应新时代要求、适配区域发展的优质人才，推动师域普通高中从“规模发展”向“优质多元”转型。</w:t>
      </w:r>
      <w:bookmarkStart w:id="132" w:name="_Toc14353"/>
      <w:bookmarkStart w:id="133" w:name="_Toc8282"/>
      <w:bookmarkStart w:id="134" w:name="_Toc28672"/>
      <w:bookmarkStart w:id="135" w:name="_Toc32681"/>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136" w:name="_Toc1476"/>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四</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促进职业教育提质</w:t>
      </w:r>
      <w:bookmarkEnd w:id="132"/>
      <w:bookmarkEnd w:id="133"/>
      <w:bookmarkEnd w:id="134"/>
      <w:bookmarkEnd w:id="135"/>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扩容</w:t>
      </w:r>
      <w:bookmarkEnd w:id="136"/>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高质量发展为核心深化职业教育改革，强力推进双河职业技术学院办学条件达标工程，对标国家高等职业院校办学条件达标要求，明确达标路线图和时间表，确保2028年前全面达标。扎实推进塔里木大学、新疆理工职业大学等疆内外应用型本科高校“3+2”联合培养，畅通技术技能人才成长通道，扩大中职与高职“3+2”贯通培养招生规模至中职毕业生总数的*%。统筹中职教育和高职教育发展，推动职校并入职院，持续稳定中职招生规模、扩大高职招生规模，重点向*地区倾斜招生。启动双河职业技术学院升格职业本科院校创建工作，对标《本科层次职业学校设置标准》排查差距、编制发展规划，以升本促提质，全面提升办学层次与核心竞争力。聚焦师市现代农业、口岸经济等重点产业，积极申报无人机应用技术等新专业，2030年末建成3—5个特色专业集群，实现与师市“3+3+3”现代化产业体系精准对接，职业教育办学规模达*万人以上。深化产教融合与科教融汇，加快产教融合实训基地建设，打造现代微生物农业技术、无人机等特色实训载体，力争培育1个兵团级产教融合实训基地和1个兵团级行业产教联合体，依托北方天途航空技术发展（北京）有限公司等*家以上优质企业共建实训基地和产业学院，推行“工学结合”“订单式”人才培养，探索校企协同育人机制，全力促进职业教育毕业生高质量就业，提升职业教育服务师市产业发展的能力水平。</w:t>
      </w:r>
      <w:bookmarkStart w:id="137" w:name="_Toc2104"/>
    </w:p>
    <w:bookmarkEnd w:id="118"/>
    <w:bookmarkEnd w:id="119"/>
    <w:bookmarkEnd w:id="137"/>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pPr>
      <w:bookmarkStart w:id="138" w:name="_Toc29512"/>
      <w:bookmarkStart w:id="139" w:name="_Toc27327"/>
      <w:bookmarkStart w:id="140" w:name="_Toc13152"/>
      <w:bookmarkStart w:id="141" w:name="_Toc23695"/>
      <w:bookmarkStart w:id="142" w:name="_Toc23"/>
      <w:bookmarkStart w:id="143" w:name="_Toc18709"/>
      <w:bookmarkStart w:id="144" w:name="_Toc4257"/>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五</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）构建服务全民终身学习体系</w:t>
      </w:r>
      <w:bookmarkEnd w:id="138"/>
      <w:bookmarkEnd w:id="139"/>
      <w:bookmarkEnd w:id="140"/>
      <w:bookmarkEnd w:id="141"/>
      <w:bookmarkEnd w:id="142"/>
      <w:bookmarkEnd w:id="143"/>
      <w:bookmarkEnd w:id="144"/>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依托第五师双河市开放大学核心阵地，搭建标准化终身教育平台，整合各类学习资源，打造全方位、多层次、个性化的终身学习服务体系。持续扩大社区教育、老年教育资源供给，2028年前实现连队、社区教育站点全覆盖且有效运行，开展政策宣讲、技能培训、文化熏陶等多样化终身教育活动，切实满足职工群众多样化学习需求。落实职工全员培训制度，支持双河职业技术学院面向团场职工、企业员工、城镇劳动者等不同群体，开展现代农业、智能制造及电子商务、无人机应用技术等配套专项技能提升培训。积极营造全民学习、终身学习的浓厚氛围，推动学习型社会建设，助力师市产业升级和人口素质全面提升，彰显教育服务全民、赋能发展的核心价值。</w:t>
      </w:r>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pPr>
      <w:bookmarkStart w:id="145" w:name="_Toc6040"/>
      <w:bookmarkStart w:id="146" w:name="_Toc6722"/>
      <w:bookmarkStart w:id="147" w:name="_Toc2344"/>
      <w:bookmarkStart w:id="148" w:name="_Toc2072181016"/>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（六）健全特殊</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教育</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和专门教育保障机制</w:t>
      </w:r>
      <w:bookmarkEnd w:id="145"/>
      <w:bookmarkEnd w:id="146"/>
      <w:bookmarkEnd w:id="147"/>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化师市特殊教育资源教室提升改造工程，充分发挥育人功能，积极探索贴合师市实际的融合教育模式，配齐配强专业师资力量与适配教学设施，综合采取送教上门、随班就读等多种形式，严格落实“一人一案”精准施策要求，全覆盖保障残疾儿童少年平等接受教育权利。健全部门协同、经费投入、师资培训、督导评价等全方位保障机制，不断提升特殊教育普惠性、专业性和包容性。结合师市人口规模变化趋势，适时启动特殊教育学校新建筹备工作，夯实特殊教育发展基础，推动特殊教育与基础教育、职业教育协同发展，让全纳教育理念落地生根，彰显教育公平。保障专门教育规范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0" w:firstLineChars="200"/>
        <w:jc w:val="both"/>
        <w:textAlignment w:val="auto"/>
        <w:outlineLvl w:val="0"/>
        <w:rPr>
          <w:rFonts w:hint="eastAsia" w:ascii="黑体" w:hAnsi="黑体" w:eastAsia="黑体" w:cs="黑体"/>
          <w:b w:val="0"/>
          <w:bCs/>
          <w:color w:val="000000" w:themeColor="text1"/>
          <w:sz w:val="32"/>
          <w:szCs w:val="32"/>
          <w:highlight w:val="none"/>
          <w14:textFill>
            <w14:solidFill>
              <w14:schemeClr w14:val="tx1"/>
            </w14:solidFill>
          </w14:textFill>
        </w:rPr>
      </w:pPr>
      <w:bookmarkStart w:id="149" w:name="_Toc32748"/>
      <w:bookmarkStart w:id="150" w:name="_Toc923"/>
      <w:bookmarkStart w:id="151" w:name="_Toc19121"/>
      <w:bookmarkStart w:id="152" w:name="_Toc30172"/>
      <w:bookmarkStart w:id="153" w:name="_Toc14741"/>
      <w:bookmarkStart w:id="154" w:name="_Toc17181"/>
      <w:bookmarkStart w:id="155" w:name="_Toc29725"/>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b w:val="0"/>
          <w:bCs/>
          <w:color w:val="000000" w:themeColor="text1"/>
          <w:sz w:val="32"/>
          <w:szCs w:val="32"/>
          <w:highlight w:val="none"/>
          <w14:textFill>
            <w14:solidFill>
              <w14:schemeClr w14:val="tx1"/>
            </w14:solidFill>
          </w14:textFill>
        </w:rPr>
        <w:t>建设更高质量教师队伍</w:t>
      </w:r>
      <w:bookmarkEnd w:id="148"/>
      <w:bookmarkEnd w:id="149"/>
      <w:bookmarkEnd w:id="150"/>
      <w:bookmarkEnd w:id="151"/>
      <w:bookmarkEnd w:id="152"/>
      <w:bookmarkEnd w:id="153"/>
      <w:bookmarkEnd w:id="154"/>
      <w:bookmarkEnd w:id="155"/>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156" w:name="_Toc29538"/>
      <w:bookmarkStart w:id="157" w:name="_Toc315"/>
      <w:bookmarkStart w:id="158" w:name="_Toc4624"/>
      <w:bookmarkStart w:id="159" w:name="_Toc22902"/>
      <w:bookmarkStart w:id="160" w:name="_Toc15431"/>
      <w:bookmarkStart w:id="161" w:name="_Toc29319"/>
      <w:bookmarkStart w:id="162" w:name="_Toc5415"/>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强化师德师风建设</w:t>
      </w:r>
      <w:bookmarkEnd w:id="156"/>
      <w:bookmarkEnd w:id="157"/>
      <w:bookmarkEnd w:id="158"/>
      <w:bookmarkEnd w:id="159"/>
      <w:bookmarkEnd w:id="160"/>
    </w:p>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实施教育家精神铸魂强师行动，将师德教育与教育家精神培育深度融合，与传承兵团精神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胡杨精神、老兵精神有机融合，纳入教师培训核心内容，建设标准化师德师风教育阵地，结合师市屯垦戍边历史，打造具有师市特色的师德教育课程体系。常态化开展践行教育家精神主题活动，以“双河师德标兵”“双河最美教师”等评选为抓手，选树宣传扎根师市教育一线、深耕育人岗位的师德典型，发挥示范引领作用，营造崇尚师德、潜心育人、关爱学生的浓厚氛围。严格落实师德师风负面清单制度，将师德表现作为教师招聘录用、职称评定、评优评先、绩效分配的首要条件，对师德失范行为实行“一票否决制”，严肃依规查处。建立师德师风长效监管机制，构建学校、家庭、社会多元监督体系，实施师德师风评价档案制度，常态化开展师德师风警示教育活动，严防重大师德失范事件发生，打造一支师德高尚、业务精湛、适配师市教育高质量发展的教师队伍。</w:t>
      </w:r>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163" w:name="_Toc13317"/>
      <w:bookmarkStart w:id="164" w:name="_Toc23570"/>
      <w:bookmarkStart w:id="165" w:name="_Toc7510"/>
      <w:bookmarkStart w:id="166" w:name="_Toc18669"/>
      <w:bookmarkStart w:id="167" w:name="_Toc18339"/>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bookmarkEnd w:id="163"/>
      <w:bookmarkEnd w:id="164"/>
      <w:bookmarkEnd w:id="165"/>
      <w:bookmarkEnd w:id="166"/>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实施教师教育能力提升工程</w:t>
      </w:r>
      <w:bookmarkEnd w:id="167"/>
    </w:p>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实施“双河名师培育”“教师学历提升”“教师数字素养赋能”“教研队伍专业能力提升”四大工程，健全一体化教师培训体系，通过系统化培育、机制化改革，全面提升教师队伍专业素养与综合育人能力。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“双河名师培育”工程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推进阶梯式教师培养，构建“双河青优—双河骨干—双河卓越”梯次培养体系，加强名师工作室建设并实现学科全覆盖，到2030年建成兵团级及以上名师工作室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个、师市级名师工作室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个，培养正高级教师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；常态化选派骨干教师参加高水平培训，依托对口援疆资源开展教师跟岗学习，采取“走出去、请进来”方式，提升教师教学实践能力。</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教师学历提升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”工程</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，支持各学段教师在职提升学历，优化学历结构，到2030年实现职业院校专任教师硕士及以上学历占比达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%，中职、高中达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%，义务教育、学前教育达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教师数字素养赋能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工程，开展全员轮训，聚焦AI教学应用、智慧教研工具使用，提升教师运用数字技术开展教学能力，打造信息化创新教学团队，联动教育数字化建设部署，夯实人才支撑。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教研队伍专业能力提升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”工程</w:t>
      </w:r>
      <w:r>
        <w:rPr>
          <w:rFonts w:hint="eastAsia" w:ascii="仿宋_GB2312" w:hAnsi="仿宋_GB2312" w:eastAsia="仿宋_GB2312" w:cs="仿宋_GB2312"/>
          <w:color w:val="000000" w:themeColor="text1"/>
          <w:sz w:val="32"/>
          <w:szCs w:val="32"/>
          <w:highlight w:val="none"/>
          <w14:textFill>
            <w14:solidFill>
              <w14:schemeClr w14:val="tx1"/>
            </w14:solidFill>
          </w14:textFill>
        </w:rPr>
        <w:t>，完善教研员联系点制度，推动教研人员运用智能工具开展精准教研，建强师、校两级教研队伍；深化“师管校聘”改革，推动教师师域内常态化交流轮岗。</w:t>
      </w:r>
    </w:p>
    <w:bookmarkEnd w:id="161"/>
    <w:bookmarkEnd w:id="162"/>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168" w:name="_Toc9853"/>
      <w:bookmarkStart w:id="169" w:name="_Toc1239975040"/>
      <w:bookmarkStart w:id="170" w:name="_Toc14479"/>
      <w:bookmarkStart w:id="171" w:name="_Toc15064"/>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保障教师地位待遇</w:t>
      </w:r>
      <w:bookmarkEnd w:id="168"/>
      <w:bookmarkEnd w:id="169"/>
      <w:bookmarkEnd w:id="170"/>
      <w:bookmarkEnd w:id="171"/>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持续巩固师市中小学教师待遇保障机制成效，完善绩效考核办法，绩效分配重点向教学一线、教育教学效果突出的教师及职业院校“双师型”教师倾斜。依法保障教师合法权益，严格落实同工同酬政策，切实维护教师劳动权益。健全完善师德师风违规举报受理机制，实施教师“维权工程”，明确教师权利边界，保障教师依法行使教育惩戒权，及时澄清涉教师不实举报、严厉打击诋毁教师的违法行为。落实医疗健康、文化提升、生活服务、住房保障等尊师惠师政策，建立教师任务“准入清单”，切实减轻教师非教学负担。定期评选表彰为教育事业发展作出贡献的先进个人和先进集体，依托师市各类媒体平台广泛宣传教育战线优秀事迹，讲好教师故事，营造全社会尊师重教、关爱教师的浓厚氛围，增强教师职业归属感、幸福感和荣誉感，助力教师队伍稳定提质。</w:t>
      </w:r>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0" w:firstLineChars="200"/>
        <w:jc w:val="both"/>
        <w:textAlignment w:val="auto"/>
        <w:outlineLvl w:val="0"/>
        <w:rPr>
          <w:rFonts w:hint="eastAsia" w:ascii="黑体" w:hAnsi="黑体" w:eastAsia="黑体" w:cs="黑体"/>
          <w:b w:val="0"/>
          <w:bCs/>
          <w:color w:val="000000" w:themeColor="text1"/>
          <w:sz w:val="32"/>
          <w:szCs w:val="32"/>
          <w:highlight w:val="none"/>
          <w14:textFill>
            <w14:solidFill>
              <w14:schemeClr w14:val="tx1"/>
            </w14:solidFill>
          </w14:textFill>
        </w:rPr>
      </w:pPr>
      <w:bookmarkStart w:id="172" w:name="_Toc7899"/>
      <w:bookmarkStart w:id="173" w:name="_Toc2003211448"/>
      <w:bookmarkStart w:id="174" w:name="_Toc19995"/>
      <w:bookmarkStart w:id="175" w:name="_Toc212"/>
      <w:bookmarkStart w:id="176" w:name="_Toc19801"/>
      <w:bookmarkStart w:id="177" w:name="_Toc31876"/>
      <w:bookmarkStart w:id="178" w:name="_Toc1382"/>
      <w:bookmarkStart w:id="179" w:name="_Toc13422"/>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六</w:t>
      </w:r>
      <w:bookmarkStart w:id="180" w:name="heading_19"/>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、大力</w:t>
      </w:r>
      <w:r>
        <w:rPr>
          <w:rFonts w:hint="eastAsia" w:ascii="黑体" w:hAnsi="黑体" w:eastAsia="黑体" w:cs="黑体"/>
          <w:b w:val="0"/>
          <w:bCs/>
          <w:color w:val="000000" w:themeColor="text1"/>
          <w:sz w:val="32"/>
          <w:szCs w:val="32"/>
          <w:highlight w:val="none"/>
          <w14:textFill>
            <w14:solidFill>
              <w14:schemeClr w14:val="tx1"/>
            </w14:solidFill>
          </w14:textFill>
        </w:rPr>
        <w:t>提升办学品质内涵</w:t>
      </w:r>
      <w:bookmarkEnd w:id="172"/>
      <w:bookmarkEnd w:id="173"/>
      <w:bookmarkEnd w:id="174"/>
      <w:bookmarkEnd w:id="175"/>
      <w:bookmarkEnd w:id="176"/>
      <w:bookmarkEnd w:id="177"/>
      <w:bookmarkEnd w:id="178"/>
      <w:bookmarkEnd w:id="179"/>
      <w:bookmarkEnd w:id="180"/>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181" w:name="_Toc19922"/>
      <w:bookmarkStart w:id="182" w:name="_Toc3487"/>
      <w:bookmarkStart w:id="183" w:name="_Toc14179"/>
      <w:bookmarkStart w:id="184" w:name="_Toc14616"/>
      <w:bookmarkStart w:id="185" w:name="_Toc8142"/>
      <w:bookmarkStart w:id="186" w:name="_Toc21400"/>
      <w:bookmarkStart w:id="187" w:name="_Toc23415"/>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优化教育资源布局</w:t>
      </w:r>
      <w:bookmarkEnd w:id="181"/>
      <w:bookmarkEnd w:id="182"/>
      <w:bookmarkEnd w:id="183"/>
      <w:bookmarkEnd w:id="184"/>
      <w:bookmarkEnd w:id="185"/>
    </w:p>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优化教育资源配置方式，建立与师市人口结构变化、新型城镇化进程相协同的动态调整机制，科学编制并动态调整中小学、幼儿园布局专项规划，保障学位供给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稳步推进83团二中初中部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14:textFill>
            <w14:solidFill>
              <w14:schemeClr w14:val="tx1"/>
            </w14:solidFill>
          </w14:textFill>
        </w:rPr>
        <w:t>小规模学校优化整合，探索小班化教学模式，加强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学校建设。持续实施中小学、幼儿园标准化建设和薄弱环节改善，重点加强团场学校、寄宿制学校建设，全面改善学校教学、生活及卫生条件。按国家及兵团标准配齐配优教学仪器设备、图书资料等各类设施，建立迭代更新机制，满足教学和育人改革需求。围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双河职业技术学院提质扩容发展目标</w:t>
      </w:r>
      <w:r>
        <w:rPr>
          <w:rFonts w:hint="eastAsia" w:ascii="仿宋_GB2312" w:hAnsi="仿宋_GB2312" w:eastAsia="仿宋_GB2312" w:cs="仿宋_GB2312"/>
          <w:color w:val="000000" w:themeColor="text1"/>
          <w:sz w:val="32"/>
          <w:szCs w:val="32"/>
          <w:highlight w:val="none"/>
          <w14:textFill>
            <w14:solidFill>
              <w14:schemeClr w14:val="tx1"/>
            </w14:solidFill>
          </w14:textFill>
        </w:rPr>
        <w:t>，布局创新园区、创业基地等，丰富育人空间，推进“大学城”建设，适配师市产业发展需求。</w:t>
      </w:r>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188" w:name="_Toc4486"/>
      <w:bookmarkStart w:id="189" w:name="_Toc7056"/>
      <w:bookmarkStart w:id="190" w:name="_Toc13085"/>
      <w:bookmarkStart w:id="191" w:name="_Toc30295"/>
      <w:bookmarkStart w:id="192" w:name="_Toc13790"/>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创新内涵建设</w:t>
      </w:r>
      <w:bookmarkEnd w:id="188"/>
      <w:bookmarkEnd w:id="189"/>
      <w:bookmarkEnd w:id="190"/>
      <w:bookmarkEnd w:id="191"/>
      <w:bookmarkEnd w:id="192"/>
    </w:p>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内涵提质为核心，推进“双河·双优教育”品牌打造，健全品牌培育、统筹推进、宣传推广全链条机制，着力构建“校有特色、师有品牌、域有标杆”的教育发展新格局。深化“一校一特色”创建，在巩固88团学校文化建设、90团学校教学改革、89团中学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体</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教育等现有优势基础上，挖掘各校办学潜力，丰富特色内涵、创新培育模式。紧扣师市“3+3+3”现代化产业体系，推动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职业</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内涵建设与本土产业发展同频共振，将产业文化、职业素养融入校园特色建设，推动特色办学与产业需求精准对接。重点培育3—5所办学特色凸显、育人成效显著、在兵团具有示范引领作用的优质品牌校，推动基础教育走特色育人之路、职业教育走产教融合之路，以品牌赋能带动师市教育全域提质，推动教育发展从“规模扩张”向“内涵卓越”转变，全面提升办学品质，为教育强师市建设注入持久动力。</w:t>
      </w:r>
    </w:p>
    <w:bookmarkEnd w:id="186"/>
    <w:bookmarkEnd w:id="187"/>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pPr>
      <w:bookmarkStart w:id="193" w:name="_Toc678"/>
      <w:bookmarkStart w:id="194" w:name="_Toc27303"/>
      <w:bookmarkStart w:id="195" w:name="_Toc24118"/>
      <w:bookmarkStart w:id="196" w:name="_Toc20656"/>
      <w:bookmarkStart w:id="197" w:name="_Toc26434"/>
      <w:bookmarkStart w:id="198" w:name="_Toc85083679"/>
      <w:bookmarkStart w:id="199" w:name="_Toc24877"/>
      <w:bookmarkStart w:id="200" w:name="_Toc22936"/>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（三）推进教育数字化建设</w:t>
      </w:r>
      <w:bookmarkEnd w:id="193"/>
      <w:bookmarkEnd w:id="194"/>
      <w:bookmarkEnd w:id="195"/>
      <w:bookmarkEnd w:id="196"/>
      <w:bookmarkEnd w:id="197"/>
      <w:bookmarkEnd w:id="198"/>
      <w:bookmarkEnd w:id="199"/>
      <w:bookmarkEnd w:id="200"/>
    </w:p>
    <w:p>
      <w:pPr>
        <w:keepNext w:val="0"/>
        <w:keepLines w:val="0"/>
        <w:pageBreakBefore w:val="0"/>
        <w:widowControl w:val="0"/>
        <w:numPr>
          <w:ilvl w:val="-1"/>
          <w:numId w:val="0"/>
        </w:numPr>
        <w:kinsoku/>
        <w:wordWrap/>
        <w:overflowPunct/>
        <w:topLinePunct w:val="0"/>
        <w:autoSpaceDE/>
        <w:autoSpaceDN/>
        <w:bidi w:val="0"/>
        <w:adjustRightInd/>
        <w:snapToGrid/>
        <w:spacing w:afterLines="0"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快教育数字化转型与数智化升级，实现高速网络和无线校园网全覆盖，完成校园基础设施智能化改造，在实验学校、师中学、83团一中建设智慧校园示范校，筑牢师市教育数字化根基。深化国家、兵团中小学智慧教育平台应用，积极使用兵团智慧教育平台应用场景，整合教育数据资源，常态化开展大数据分析研判，为教育决策提供精准高效的数据支撑，提升教育治理规范化、精细化水平。深入推进“人工智能+教育”落地，推动智能作业批改机、智慧教室的引入，在师小学、师中学、实验学校、高级中学试点，推动AI技术与课堂教学、学科教研深度融合，探索个性化教学、智能教研、精准辅导等新模式，以数智创新赋能教育提质增效。</w:t>
      </w:r>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0" w:firstLineChars="200"/>
        <w:jc w:val="both"/>
        <w:textAlignment w:val="auto"/>
        <w:outlineLvl w:val="0"/>
        <w:rPr>
          <w:rFonts w:hint="default" w:ascii="黑体" w:hAnsi="黑体" w:eastAsia="黑体" w:cs="黑体"/>
          <w:b w:val="0"/>
          <w:bCs/>
          <w:color w:val="000000" w:themeColor="text1"/>
          <w:sz w:val="32"/>
          <w:szCs w:val="32"/>
          <w:highlight w:val="none"/>
          <w:lang w:val="en-US" w:eastAsia="zh-CN"/>
          <w14:textFill>
            <w14:solidFill>
              <w14:schemeClr w14:val="tx1"/>
            </w14:solidFill>
          </w14:textFill>
        </w:rPr>
      </w:pPr>
      <w:bookmarkStart w:id="201" w:name="_Toc12794"/>
      <w:bookmarkStart w:id="202" w:name="_Toc2101124607"/>
      <w:bookmarkStart w:id="203" w:name="_Toc29186"/>
      <w:bookmarkStart w:id="204" w:name="_Toc10141"/>
      <w:bookmarkStart w:id="205" w:name="_Toc981"/>
      <w:bookmarkStart w:id="206" w:name="_Toc32399"/>
      <w:bookmarkStart w:id="207" w:name="_Toc20381"/>
      <w:bookmarkStart w:id="208" w:name="_Toc7444"/>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七</w:t>
      </w:r>
      <w:bookmarkStart w:id="209" w:name="heading_23"/>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、深化</w:t>
      </w:r>
      <w:r>
        <w:rPr>
          <w:rFonts w:hint="eastAsia" w:ascii="黑体" w:hAnsi="黑体" w:eastAsia="黑体" w:cs="黑体"/>
          <w:b w:val="0"/>
          <w:bCs/>
          <w:color w:val="000000" w:themeColor="text1"/>
          <w:sz w:val="32"/>
          <w:szCs w:val="32"/>
          <w:highlight w:val="none"/>
          <w14:textFill>
            <w14:solidFill>
              <w14:schemeClr w14:val="tx1"/>
            </w14:solidFill>
          </w14:textFill>
        </w:rPr>
        <w:t>协同</w:t>
      </w:r>
      <w:bookmarkEnd w:id="209"/>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发展和教育开放</w:t>
      </w:r>
      <w:bookmarkEnd w:id="201"/>
      <w:bookmarkEnd w:id="202"/>
      <w:bookmarkEnd w:id="203"/>
      <w:bookmarkEnd w:id="204"/>
      <w:bookmarkEnd w:id="205"/>
      <w:bookmarkEnd w:id="206"/>
      <w:bookmarkEnd w:id="207"/>
      <w:bookmarkEnd w:id="208"/>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210" w:name="_Toc1982"/>
      <w:bookmarkStart w:id="211" w:name="_Toc29583"/>
      <w:bookmarkStart w:id="212" w:name="_Toc30125"/>
      <w:bookmarkStart w:id="213" w:name="_Toc22773"/>
      <w:bookmarkStart w:id="214" w:name="_Toc28213"/>
      <w:bookmarkStart w:id="215" w:name="_Toc30176"/>
      <w:bookmarkStart w:id="216" w:name="_Toc22775"/>
      <w:bookmarkStart w:id="217" w:name="heading_24"/>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深入推进兵地教育融合</w:t>
      </w:r>
      <w:bookmarkEnd w:id="210"/>
      <w:bookmarkEnd w:id="211"/>
      <w:bookmarkEnd w:id="212"/>
      <w:bookmarkEnd w:id="213"/>
      <w:bookmarkEnd w:id="214"/>
    </w:p>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牢固树立“兵地一盘棋”“兵地一家亲”思想，健全兵地教育融合协同发展机制，推动兵地教育关键政策、发展规划协同衔接，统筹整合兵地优质教育资源，搭建全方位、多层次的教学资源共建共享平台，实现资源互补、优势互促。深化兵地学校结对共建，持续开展兵地学校（幼儿园）“手拉手”互助活动，推动兵地学校在资源共享、活动共办、教研共研、师资互派等方面深度合作，同步推进基础教育课程教学改革，协同提升教育教学质量。高质量承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初中班，积极创造条件争取承办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高中班，持续扩大优质教育资源辐射覆盖面，不断增强师市教育在区域内的影响力和吸引力。常态化举办兵地校际足球联赛等各类文体竞技活动，推动兵地教育融合与学生身心健康协同发展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畅通兵地学校中小学生学籍互通互认渠道，规范有序招收地方学生到师市幼儿园、中小学及中职学校就学，促进兵地学子交流共进，夯实兵地团结根基。</w:t>
      </w:r>
    </w:p>
    <w:bookmarkEnd w:id="215"/>
    <w:bookmarkEnd w:id="216"/>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pPr>
      <w:bookmarkStart w:id="218" w:name="_Toc31659"/>
      <w:bookmarkStart w:id="219" w:name="_Toc11918"/>
      <w:bookmarkStart w:id="220" w:name="_Toc20069"/>
      <w:bookmarkStart w:id="221" w:name="_Toc6496"/>
      <w:bookmarkStart w:id="222" w:name="_Toc20435"/>
      <w:bookmarkStart w:id="223" w:name="_Toc1564134349"/>
      <w:bookmarkStart w:id="224" w:name="_Toc12746"/>
      <w:bookmarkStart w:id="225" w:name="_Toc31106"/>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（二）优化教育援疆协作</w:t>
      </w:r>
      <w:bookmarkEnd w:id="218"/>
      <w:bookmarkEnd w:id="219"/>
      <w:bookmarkEnd w:id="220"/>
      <w:bookmarkEnd w:id="221"/>
      <w:bookmarkEnd w:id="222"/>
      <w:bookmarkEnd w:id="223"/>
      <w:bookmarkEnd w:id="224"/>
      <w:bookmarkEnd w:id="225"/>
    </w:p>
    <w:p>
      <w:pPr>
        <w:keepNext w:val="0"/>
        <w:keepLines w:val="0"/>
        <w:pageBreakBefore w:val="0"/>
        <w:widowControl w:val="0"/>
        <w:numPr>
          <w:ilvl w:val="-1"/>
          <w:numId w:val="0"/>
        </w:numPr>
        <w:kinsoku/>
        <w:wordWrap/>
        <w:overflowPunct/>
        <w:topLinePunct w:val="0"/>
        <w:autoSpaceDE/>
        <w:autoSpaceDN/>
        <w:bidi w:val="0"/>
        <w:adjustRightInd/>
        <w:snapToGrid/>
        <w:spacing w:afterLines="0"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持续深化教育援疆协作，做优做强高级中学、双河职业技术学院“组团式”援疆工作，拓展“名校办分校”辐射效应，完善双河职业技术学院“1+N”专业帮扶机制，常态化开展“百校结对”活动，组织师市30所学校（幼儿园）和陕西省学校（幼儿园）精准结对、深度联动，全方位助力师市教育质量整体提升。支持双河职业技术学院每个专业每年引进1—2名专业带头人及骨干教师，协同开展跨区域产教融合实践项目与科研合作，不断提升学院内涵发展水平，为职院专升本提供有力支撑。积极争取援疆资金对各项教育项目的支持，扩大实施“银龄计划”， 打造无人机应用研学基地，设立柔性引才专项，推动专业人才资源向职院倾斜，每年柔性引入*名左右专业教师到职院短期授课，实现师资快速轮换、高效派驻，补齐职院师资短板。依托陕西省丰富历史文化资源与师市红色文化、民族文化资源，实施师生交流交往行动，广泛开展民族团结主题教育、援疆共建、研学实践、骨干教师研修访学等活动，推动兵地中小学师生双向参观学习、“手拉手”联谊，构建长效交流机制，铸牢中华民族共同体意识。</w:t>
      </w:r>
    </w:p>
    <w:bookmarkEnd w:id="217"/>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default"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pPr>
      <w:bookmarkStart w:id="226" w:name="_Toc30154"/>
      <w:bookmarkStart w:id="227" w:name="_Toc12113"/>
      <w:bookmarkStart w:id="228" w:name="_Toc20349"/>
      <w:bookmarkStart w:id="229" w:name="_Toc22662"/>
      <w:bookmarkStart w:id="230" w:name="_Toc9609"/>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（三）扩大教育对外开放</w:t>
      </w:r>
      <w:bookmarkEnd w:id="226"/>
      <w:bookmarkEnd w:id="227"/>
      <w:bookmarkEnd w:id="228"/>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主动融入“一带一路”建设，深化与沿线国家（地区）的教育交流合作，推动师中学、师小学、实验学校、89 团中小学、86 团一中、双河职院与同类优质学校建立友好关系，构建常态化交流机制。积极参与兵团“中小学中外人文交流”项目，争取承办或参与国际青少年夏（冬）令营、文化周等品牌活动，拓展师生国际视野。开展特色研学活动，吸引</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更多</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青少年前来研学交流，展现中华文化魅力与兵团形象。积极参与兵团职业教育“职教出海”计划，推进职业教育国际合作，开展“中文+职业技能”培训，重点围绕现代农业、无人机应用、口岸商贸等领域培育国际化技术技能人才，完善涉外办学与技能输出模式，不断提升师市教育对外开放层次、内涵品质与国际影响力。</w:t>
      </w:r>
    </w:p>
    <w:bookmarkEnd w:id="229"/>
    <w:bookmarkEnd w:id="230"/>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Autospacing="0" w:after="0" w:afterLines="0" w:afterAutospacing="0" w:line="560" w:lineRule="exact"/>
        <w:ind w:right="0" w:firstLine="640" w:firstLineChars="200"/>
        <w:jc w:val="both"/>
        <w:textAlignment w:val="auto"/>
        <w:outlineLvl w:val="0"/>
        <w:rPr>
          <w:rFonts w:hint="eastAsia" w:ascii="黑体" w:hAnsi="黑体" w:eastAsia="黑体" w:cs="黑体"/>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bookmarkStart w:id="231" w:name="_Toc20458"/>
      <w:bookmarkStart w:id="232" w:name="_Toc1975"/>
      <w:bookmarkStart w:id="233" w:name="_Toc29043"/>
      <w:bookmarkStart w:id="234" w:name="_Toc1519"/>
      <w:bookmarkStart w:id="235" w:name="_Toc1983571291"/>
      <w:bookmarkStart w:id="236" w:name="_Toc25004"/>
      <w:r>
        <w:rPr>
          <w:rFonts w:hint="eastAsia" w:ascii="黑体" w:hAnsi="黑体" w:eastAsia="黑体" w:cs="黑体"/>
          <w:b w:val="0"/>
          <w:bCs w:val="0"/>
          <w:color w:val="000000" w:themeColor="text1"/>
          <w:sz w:val="32"/>
          <w:szCs w:val="32"/>
          <w:highlight w:val="none"/>
          <w:shd w:val="clear" w:fill="FFFFFF"/>
          <w:lang w:val="en-US" w:eastAsia="zh-CN"/>
          <w14:textFill>
            <w14:solidFill>
              <w14:schemeClr w14:val="tx1"/>
            </w14:solidFill>
          </w14:textFill>
        </w:rPr>
        <w:t>八、</w:t>
      </w:r>
      <w:r>
        <w:rPr>
          <w:rFonts w:hint="eastAsia" w:ascii="黑体" w:hAnsi="黑体" w:eastAsia="黑体" w:cs="黑体"/>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提高教育治理现代化能力</w:t>
      </w:r>
      <w:bookmarkEnd w:id="231"/>
      <w:bookmarkEnd w:id="232"/>
      <w:bookmarkEnd w:id="233"/>
      <w:bookmarkEnd w:id="234"/>
      <w:bookmarkEnd w:id="235"/>
      <w:bookmarkEnd w:id="236"/>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Autospacing="0" w:after="0" w:afterLines="0" w:afterAutospacing="0" w:line="560" w:lineRule="exact"/>
        <w:ind w:right="0"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pPr>
      <w:bookmarkStart w:id="237" w:name="_Toc31927"/>
      <w:bookmarkStart w:id="238" w:name="_Toc24250"/>
      <w:bookmarkStart w:id="239" w:name="_Toc28944"/>
      <w:bookmarkStart w:id="240" w:name="_Toc1744"/>
      <w:bookmarkStart w:id="241" w:name="_Toc6484"/>
      <w:bookmarkStart w:id="242" w:name="_Toc30162"/>
      <w:bookmarkStart w:id="243" w:name="_Toc31239"/>
      <w:bookmarkStart w:id="244" w:name="_Toc879463101"/>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（一）提高依法治教能力</w:t>
      </w:r>
      <w:bookmarkEnd w:id="237"/>
      <w:bookmarkEnd w:id="238"/>
      <w:bookmarkEnd w:id="239"/>
      <w:bookmarkEnd w:id="240"/>
      <w:bookmarkEnd w:id="241"/>
      <w:bookmarkEnd w:id="242"/>
      <w:bookmarkEnd w:id="243"/>
      <w:bookmarkEnd w:id="244"/>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firstLine="643"/>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宋体"/>
          <w:color w:val="000000" w:themeColor="text1"/>
          <w:sz w:val="32"/>
          <w:szCs w:val="32"/>
          <w:highlight w:val="none"/>
          <w:lang w:val="en-US" w:eastAsia="zh-CN" w:bidi="ar"/>
          <w14:textFill>
            <w14:solidFill>
              <w14:schemeClr w14:val="tx1"/>
            </w14:solidFill>
          </w14:textFill>
        </w:rPr>
        <w:t>坚持依法治教、依法办学、依法执教，不断完善教育规章制度体系。依据国家法律法规及兵团相关规定，结合师市实际，及时开展规范性文件的立、改、废、释工作，增强制度的系统性、针对性与可操作性。落实重大教育行政决策程序规定，健全公众参与、专家论证、风险评估、合法性审查和集体讨论决定机制，确保决策制度科学、程序正当、过程公开、责任明确。加强教育行政执法队伍建设，依法查处违反教育法律法规、扰乱教育教学秩序、侵害师生合法权益的行为。指导师市各级各类学校完善以章程为核心的内部管理制度体系，健全师生权益救济机制，依法处理矛盾纠纷。常态化开展教育系统法治宣传教育，不断提升学法、知法、守法、用法能力。</w:t>
      </w:r>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245" w:name="_Toc4413"/>
      <w:bookmarkStart w:id="246" w:name="_Toc30171"/>
      <w:bookmarkStart w:id="247" w:name="_Toc20397"/>
      <w:bookmarkStart w:id="248" w:name="_Toc30490"/>
      <w:bookmarkStart w:id="249" w:name="_Toc1022"/>
      <w:bookmarkStart w:id="250" w:name="_Toc10796"/>
      <w:bookmarkStart w:id="251" w:name="_Toc32277"/>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深化教育综合改革</w:t>
      </w:r>
      <w:bookmarkEnd w:id="245"/>
      <w:bookmarkEnd w:id="246"/>
      <w:bookmarkEnd w:id="247"/>
      <w:bookmarkEnd w:id="248"/>
      <w:bookmarkEnd w:id="249"/>
    </w:p>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聚焦四大重点领域深化改革，以改革破局赋能教育高质量发展。深化育人方式改革，严格落实国家课程方案和标准，深挖师域红色基因、地域文化，开发兼具本土底蕴与时代特色的地方及校本课程，推广“自主、互助、引导”式“互助课堂”模式，依托兵团大数据平台实现教学精准赋能、提质增效。深化教育评价改革，构建多元参与、科学合理的评价体系，强化过程评价与增值评价，健全素养导向的学生评价机制，坚决破除“唯分数、唯升学”的片面导向。深化管理体制改革，完善“师管校聘”管理机制，推进教师适岗竞聘，健全教育集团内教师常态化交流轮岗机制，探索教师准入心理健康核查制度，构建师德师风、教学实绩、育人效果并重的教师考核评价体系。深化集团化办学改革，以高级中学、83团一中、86团一中为核心组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个教育集团，推动师资、课程、教研等优质资源共建共享，确保优质课程共享率超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%、教师交流比例不低于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%，持续扩大优质教育资源全域覆盖，助力教育强师市建设。</w:t>
      </w:r>
    </w:p>
    <w:p>
      <w:pPr>
        <w:keepNext w:val="0"/>
        <w:keepLines w:val="0"/>
        <w:pageBreakBefore w:val="0"/>
        <w:widowControl w:val="0"/>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bookmarkStart w:id="252" w:name="_Toc25065"/>
      <w:bookmarkStart w:id="253" w:name="_Toc13712"/>
      <w:bookmarkStart w:id="254" w:name="_Toc19354"/>
      <w:bookmarkStart w:id="255" w:name="_Toc872"/>
      <w:bookmarkStart w:id="256" w:name="_Toc29815"/>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加强治理队伍能力建设</w:t>
      </w:r>
      <w:bookmarkEnd w:id="252"/>
      <w:bookmarkEnd w:id="253"/>
      <w:bookmarkEnd w:id="254"/>
      <w:bookmarkEnd w:id="255"/>
      <w:bookmarkEnd w:id="256"/>
    </w:p>
    <w:p>
      <w:pPr>
        <w:keepNext w:val="0"/>
        <w:keepLines w:val="0"/>
        <w:pageBreakBefore w:val="0"/>
        <w:widowControl w:val="0"/>
        <w:kinsoku/>
        <w:wordWrap/>
        <w:overflowPunct/>
        <w:topLinePunct w:val="0"/>
        <w:autoSpaceDE/>
        <w:autoSpaceDN/>
        <w:bidi w:val="0"/>
        <w:adjustRightInd w:val="0"/>
        <w:snapToGrid w:val="0"/>
        <w:spacing w:afterLines="0"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全面提升教育治理队伍的政治素养、专业能力和实践本领，为教育高质量发展提供坚实管理保障。强化教育行政干部队伍建设，聚焦思想淬炼、政治历练、实践锻炼，围绕教育政策法规、宏观战略管理、教育经济、教育信息化等核心内容开展系统化培训，不断提升干部统筹谋划、推动落实、防范风险的综合能力。推进中小学校长队伍专业化、职业化建设，完善校长选聘、任用、考核与培训全流程制度，搭建校长学习交流、成长提升平台，聚焦国家级、兵师级名校长梯队培育，力争到2030年培育国家级名校长1—2名、兵团级名校长2—3名、师市级名校长4—5名。优化校长培训体系，实施书记（校长）能力提升计划，常态化举办在职校长研修班，采取集中学习与赴内地省市考察研学相结合的方式，打造高素质教育管理干部队伍和高层次管理人才，常态化开展校长交流任职活动，持续提升办学治校能力和管理水平。</w:t>
      </w:r>
    </w:p>
    <w:bookmarkEnd w:id="250"/>
    <w:bookmarkEnd w:id="251"/>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Autospacing="0" w:after="0" w:afterLines="0" w:afterAutospacing="0" w:line="560" w:lineRule="exact"/>
        <w:ind w:right="0" w:firstLine="643" w:firstLineChars="200"/>
        <w:jc w:val="both"/>
        <w:textAlignment w:val="auto"/>
        <w:outlineLvl w:val="1"/>
        <w:rPr>
          <w:rFonts w:hint="default"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pPr>
      <w:bookmarkStart w:id="257" w:name="_Toc9386"/>
      <w:bookmarkStart w:id="258" w:name="_Toc1016850423"/>
      <w:bookmarkStart w:id="259" w:name="_Toc32261"/>
      <w:bookmarkStart w:id="260" w:name="_Toc27204"/>
      <w:bookmarkStart w:id="261" w:name="_Toc27098"/>
      <w:bookmarkStart w:id="262" w:name="_Toc9209"/>
      <w:bookmarkStart w:id="263" w:name="_Toc22388"/>
      <w:bookmarkStart w:id="264" w:name="_Toc3743"/>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（四）提升校园安防保障能力</w:t>
      </w:r>
      <w:bookmarkEnd w:id="257"/>
      <w:bookmarkEnd w:id="258"/>
      <w:bookmarkEnd w:id="259"/>
      <w:bookmarkEnd w:id="260"/>
      <w:bookmarkEnd w:id="261"/>
      <w:bookmarkEnd w:id="262"/>
      <w:bookmarkEnd w:id="263"/>
      <w:bookmarkEnd w:id="264"/>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265" w:name="_Toc9688"/>
      <w:bookmarkStart w:id="266" w:name="_Toc5320"/>
      <w:bookmarkStart w:id="267" w:name="_Toc21915"/>
      <w:bookmarkStart w:id="268" w:name="_Toc22540"/>
      <w:bookmarkStart w:id="269" w:name="_Toc1486863671"/>
      <w:bookmarkStart w:id="270" w:name="_Toc18207"/>
      <w:r>
        <w:rPr>
          <w:rFonts w:hint="eastAsia" w:ascii="仿宋_GB2312" w:hAnsi="宋体" w:eastAsia="仿宋_GB2312" w:cs="宋体"/>
          <w:color w:val="000000" w:themeColor="text1"/>
          <w:kern w:val="2"/>
          <w:sz w:val="32"/>
          <w:szCs w:val="32"/>
          <w:highlight w:val="none"/>
          <w:lang w:val="en-US" w:eastAsia="zh-CN" w:bidi="ar"/>
          <w14:textFill>
            <w14:solidFill>
              <w14:schemeClr w14:val="tx1"/>
            </w14:solidFill>
          </w14:textFill>
        </w:rPr>
        <w:t>牢固树立安全发展理念，坚持生命至上、安全第一，健全校园安全风险防控体系和长效工作机制。严格落实校园安全责任制，压紧压实教育部门行业监管责任和各级各类学校主体责任，构建全员参与、全程管控、全方位覆盖的安全工作格局。推进智慧安防体系建设，强化AI技术在校园安防领域的深度应用，提升安防智能化、精准化水平，筑牢校园安全技术防线。常态化开展校园及周边环境综合治理，聚焦校园食品安全、消防安全、治安防控等重点领域，深入开展安全隐患排查与专项整治，实现隐患动态清零。完善各类安全应急预案，定期组织师生开展应急疏散、防踩踏、防溺水等实战化演练，不断提升师生安全防范意识、自救互救能力和应急处置水平。加强校园安全宣传教育和专题培训，丰富宣传形式、拓宽宣传渠道，营造关爱生命、关注安全、共建平安校园的浓厚文化氛围，为教育强师市建设筑牢安全屏障。</w:t>
      </w:r>
      <w:bookmarkEnd w:id="265"/>
      <w:bookmarkEnd w:id="266"/>
      <w:bookmarkEnd w:id="267"/>
      <w:bookmarkStart w:id="271" w:name="_Toc2158"/>
      <w:bookmarkStart w:id="272" w:name="_Toc19755"/>
      <w:bookmarkStart w:id="273" w:name="_Toc15487"/>
      <w:bookmarkStart w:id="274" w:name="_Toc13970"/>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outlineLvl w:val="0"/>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275" w:name="_Toc26598"/>
      <w:r>
        <w:rPr>
          <w:rFonts w:hint="eastAsia" w:ascii="黑体" w:hAnsi="黑体" w:eastAsia="黑体" w:cs="黑体"/>
          <w:color w:val="000000" w:themeColor="text1"/>
          <w:sz w:val="32"/>
          <w:szCs w:val="32"/>
          <w:highlight w:val="none"/>
          <w:lang w:val="en-US" w:eastAsia="zh-CN"/>
          <w14:textFill>
            <w14:solidFill>
              <w14:schemeClr w14:val="tx1"/>
            </w14:solidFill>
          </w14:textFill>
        </w:rPr>
        <w:t>九、以高质量党建引领教育高质量发展</w:t>
      </w:r>
      <w:bookmarkEnd w:id="268"/>
      <w:bookmarkEnd w:id="269"/>
      <w:bookmarkEnd w:id="270"/>
      <w:bookmarkEnd w:id="271"/>
      <w:bookmarkEnd w:id="272"/>
      <w:bookmarkEnd w:id="273"/>
      <w:bookmarkEnd w:id="274"/>
      <w:bookmarkEnd w:id="275"/>
    </w:p>
    <w:p>
      <w:pPr>
        <w:keepNext w:val="0"/>
        <w:keepLines w:val="0"/>
        <w:pageBreakBefore w:val="0"/>
        <w:widowControl w:val="0"/>
        <w:numPr>
          <w:ilvl w:val="0"/>
          <w:numId w:val="0"/>
        </w:numPr>
        <w:pBdr>
          <w:top w:val="none" w:color="auto" w:sz="0" w:space="0"/>
          <w:left w:val="none" w:color="auto" w:sz="0" w:space="0"/>
          <w:right w:val="none" w:color="auto" w:sz="0" w:space="0"/>
        </w:pBdr>
        <w:kinsoku/>
        <w:wordWrap/>
        <w:overflowPunct/>
        <w:topLinePunct w:val="0"/>
        <w:autoSpaceDE/>
        <w:autoSpaceDN/>
        <w:bidi w:val="0"/>
        <w:adjustRightInd w:val="0"/>
        <w:snapToGrid w:val="0"/>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pPr>
      <w:bookmarkStart w:id="276" w:name="_Toc618648335"/>
      <w:bookmarkStart w:id="277" w:name="_Toc29323"/>
      <w:bookmarkStart w:id="278" w:name="_Toc30358"/>
      <w:bookmarkStart w:id="279" w:name="_Toc22693"/>
      <w:bookmarkStart w:id="280" w:name="_Toc3777"/>
      <w:bookmarkStart w:id="281" w:name="_Toc7645"/>
      <w:bookmarkStart w:id="282" w:name="_Toc23170"/>
      <w:bookmarkStart w:id="283" w:name="_Toc13357"/>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（一）坚持党对教育的全面领导</w:t>
      </w:r>
      <w:bookmarkEnd w:id="276"/>
      <w:bookmarkEnd w:id="277"/>
      <w:bookmarkEnd w:id="278"/>
      <w:bookmarkEnd w:id="279"/>
      <w:bookmarkEnd w:id="280"/>
      <w:bookmarkEnd w:id="281"/>
      <w:bookmarkEnd w:id="282"/>
      <w:bookmarkEnd w:id="283"/>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面贯彻党的教育方针，牢牢把握社会主义办学方向，严格执行中小学校党组织领导的校长负责制和高校党委领导下的校长负责制，健全党组织议事决策规则与运行机制，优化权责边界，推动党政协同高效运转。严格落实意识形态工作责任制，强化各类校园阵地建设与规范管理，健全舆情监测研判与闭环处置机制，深入实施青少年“筑基” 工程，常态化开展国家安全、国防教育与铸牢中华民族共同体意识教育，筑牢思想根基。坚持新时代好干部标准，树立正确选人用人导向，选优配强教育系统各级党组织班子与各级各类学校（幼儿园）领导班子，完善干部培养、选拔、管理、考核全链条机制，推进领导干部能上能下常态化，为教育强师市建设提供坚强政治保证和组织保障。</w:t>
      </w:r>
    </w:p>
    <w:p>
      <w:pPr>
        <w:keepNext w:val="0"/>
        <w:keepLines w:val="0"/>
        <w:pageBreakBefore w:val="0"/>
        <w:widowControl w:val="0"/>
        <w:numPr>
          <w:ilvl w:val="-1"/>
          <w:numId w:val="0"/>
        </w:numPr>
        <w:pBdr>
          <w:top w:val="none" w:color="auto" w:sz="0" w:space="0"/>
          <w:left w:val="none" w:color="auto" w:sz="0" w:space="0"/>
          <w:right w:val="none" w:color="auto" w:sz="0" w:space="0"/>
        </w:pBdr>
        <w:kinsoku/>
        <w:wordWrap/>
        <w:overflowPunct/>
        <w:topLinePunct w:val="0"/>
        <w:autoSpaceDE/>
        <w:autoSpaceDN/>
        <w:bidi w:val="0"/>
        <w:adjustRightInd/>
        <w:snapToGrid/>
        <w:spacing w:afterLines="0" w:line="560" w:lineRule="exact"/>
        <w:ind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pPr>
      <w:bookmarkStart w:id="284" w:name="_Toc5234"/>
      <w:bookmarkStart w:id="285" w:name="_Toc30018"/>
      <w:bookmarkStart w:id="286" w:name="_Toc1133"/>
      <w:bookmarkStart w:id="287" w:name="_Toc11856"/>
      <w:bookmarkStart w:id="288" w:name="_Toc272912306"/>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（二）统筹推进教育系统党的建设</w:t>
      </w:r>
      <w:bookmarkEnd w:id="284"/>
      <w:bookmarkEnd w:id="285"/>
      <w:bookmarkEnd w:id="286"/>
      <w:bookmarkEnd w:id="287"/>
      <w:bookmarkEnd w:id="288"/>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格落实“第一议题”制度、党组（党委）理论学习中心组学习制度和党支部政治理论学习制度，持续深化党的创新理论学习宣传阐释，推动学思用贯通、知信行统一。严格执行《关于新形势下党内政治生活的若干准则》，规范落实“三会一课”、组织生活会、民主评议党员、主题党日等组织生活制度，不断增强党内政治生活的政治性、时代性、原则性、战斗性。深入实施“双培养”机制，加大党务干部专业化培训力度，促进党员先锋作用与教师育人能力同步提升。常态化开展“两优一先”评选表彰，营造比学赶超、争先创优的良好氛围。深化“四融合、两提升” 党建创新模式，全域推进党建品牌创建，力争到“十五五”末实现“一支部一精品党建品牌”，每年组织党建交流观摩活动不少于*场，推动全系统党建工作整体提质。持续加强基层党组织标准化规范化建设，力争创建师市级优秀党组织*个、兵团级优秀党组织*个，以高质量党建引领保障教育事业高质量发展。</w:t>
      </w:r>
      <w:bookmarkStart w:id="289" w:name="_Toc26994"/>
      <w:bookmarkStart w:id="290" w:name="_Toc795995830"/>
      <w:bookmarkStart w:id="291" w:name="_Toc6503"/>
    </w:p>
    <w:p>
      <w:pPr>
        <w:keepNext w:val="0"/>
        <w:keepLines w:val="0"/>
        <w:pageBreakBefore w:val="0"/>
        <w:widowControl w:val="0"/>
        <w:kinsoku/>
        <w:wordWrap/>
        <w:overflowPunct/>
        <w:topLinePunct w:val="0"/>
        <w:autoSpaceDE/>
        <w:autoSpaceDN/>
        <w:bidi w:val="0"/>
        <w:adjustRightInd/>
        <w:snapToGrid/>
        <w:spacing w:afterLines="0" w:line="560" w:lineRule="exact"/>
        <w:ind w:firstLine="643" w:firstLineChars="200"/>
        <w:jc w:val="both"/>
        <w:textAlignment w:val="auto"/>
        <w:outlineLvl w:val="1"/>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bookmarkStart w:id="292" w:name="_Toc14412"/>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（三）持之以恒推进党风廉政和作风建设</w:t>
      </w:r>
      <w:bookmarkEnd w:id="292"/>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健全完善教育系统全面从严治党“四责协同”机制，推动主体责任、监督责任、“第一责任人”责任和“一岗双责”贯通协同、一体落实，构建横向到边、纵向到底的责任落实体系。持续巩固拓展中央八项规定精神学习教育成果，扎实开展树立和践行正确政绩观学习教育，引导党员干部坚守初心使命、务实担当作为。坚持纠“四风”树新风并举，持续纠治形式主义、官僚主义突出问题，从严整治师德师风、校风学风等方面的顽瘴痼疾。深入推进教育系统党风廉政建设和反腐败斗争，强化纪律教育、警示教育和监督执纪，着力营造正气充盈、风清气正的良好政治生态和育人环境。</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0"/>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293" w:name="_Toc16962"/>
      <w:bookmarkStart w:id="294" w:name="_Toc31762"/>
      <w:bookmarkStart w:id="295" w:name="_Toc13372"/>
      <w:bookmarkStart w:id="296" w:name="_Toc16967"/>
      <w:bookmarkStart w:id="297" w:name="_Toc28299"/>
      <w:r>
        <w:rPr>
          <w:rFonts w:hint="eastAsia" w:ascii="黑体" w:hAnsi="黑体" w:eastAsia="黑体" w:cs="黑体"/>
          <w:color w:val="000000" w:themeColor="text1"/>
          <w:sz w:val="32"/>
          <w:szCs w:val="32"/>
          <w:highlight w:val="none"/>
          <w:lang w:val="en-US" w:eastAsia="zh-CN"/>
          <w14:textFill>
            <w14:solidFill>
              <w14:schemeClr w14:val="tx1"/>
            </w14:solidFill>
          </w14:textFill>
        </w:rPr>
        <w:t>十、实施保障</w:t>
      </w:r>
      <w:bookmarkEnd w:id="289"/>
      <w:bookmarkEnd w:id="290"/>
      <w:bookmarkEnd w:id="291"/>
      <w:bookmarkEnd w:id="293"/>
      <w:bookmarkEnd w:id="294"/>
      <w:bookmarkEnd w:id="295"/>
      <w:bookmarkEnd w:id="296"/>
      <w:bookmarkEnd w:id="297"/>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Autospacing="0" w:after="0" w:afterLines="0" w:afterAutospacing="0" w:line="560" w:lineRule="exact"/>
        <w:ind w:left="0" w:right="0"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pPr>
      <w:bookmarkStart w:id="298" w:name="_Toc28161"/>
      <w:bookmarkStart w:id="299" w:name="_Toc14720"/>
      <w:bookmarkStart w:id="300" w:name="_Toc11712"/>
      <w:bookmarkStart w:id="301" w:name="_Toc559"/>
      <w:bookmarkStart w:id="302" w:name="_Toc8704"/>
      <w:bookmarkStart w:id="303" w:name="_Toc1269"/>
      <w:bookmarkStart w:id="304" w:name="_Toc1370678801"/>
      <w:bookmarkStart w:id="305" w:name="_Toc25942"/>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（一）完善教育经费投入机制</w:t>
      </w:r>
      <w:bookmarkEnd w:id="298"/>
      <w:bookmarkEnd w:id="299"/>
      <w:bookmarkEnd w:id="300"/>
      <w:bookmarkEnd w:id="301"/>
      <w:bookmarkEnd w:id="302"/>
      <w:bookmarkEnd w:id="303"/>
      <w:bookmarkEnd w:id="304"/>
      <w:bookmarkEnd w:id="305"/>
    </w:p>
    <w:p>
      <w:pPr>
        <w:keepNext w:val="0"/>
        <w:keepLines w:val="0"/>
        <w:widowControl w:val="0"/>
        <w:suppressLineNumbers w:val="0"/>
        <w:autoSpaceDE/>
        <w:autoSpaceDN/>
        <w:spacing w:before="0" w:beforeAutospacing="0" w:after="0" w:afterLines="0" w:afterAutospacing="0" w:line="560" w:lineRule="exact"/>
        <w:ind w:left="0" w:right="0" w:firstLine="643"/>
        <w:jc w:val="both"/>
        <w:outlineLvl w:val="9"/>
        <w:rPr>
          <w:rFonts w:hint="eastAsia" w:ascii="仿宋_GB2312" w:hAnsi="Calibri"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
          <w14:textFill>
            <w14:solidFill>
              <w14:schemeClr w14:val="tx1"/>
            </w14:solidFill>
          </w14:textFill>
        </w:rPr>
        <w:t>严格推动落实教育经费“两个只增不减”要求，主动对接国家、兵团政策导向，积极争取各类专项扶持资金，确保教育专项经费及时足额拨付、规范使用。优化调整教育经费支出结构，聚焦基础教育优质均衡、职业教育提质升格、教育数字化转型等短板弱项，精准配置资金资源，提升资金使用效益。建立与生均办学成本、师市经济发展水平、财政财力状况联动的生均财政拨款标准动态调整机制，实现经费投入与教育发展需求精准匹配。完善非义务教育成本分担机制，逐步完善与财政拨款、资助水平等相适应的学费、住宿费标准动态调整机制，深化职业教育经费保障改革，进一步推进基于专业大类的差异化生均拨款制度。健全覆盖全学段、各级各类教育的家庭经济困难学生资助政策体系，强化精准识别、精准帮扶，提升资助服务智能化、精细化水平，确保资助政策落地见效。加强教育经费和项目全流程管理，完善项目实施与资金执行进度通报机制，强化资金绩效评价结果运用，健全绩效反馈与整改闭环，切实提高教育经费使用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pPr>
      <w:bookmarkStart w:id="306" w:name="_Toc32675"/>
      <w:bookmarkStart w:id="307" w:name="_Toc25527"/>
      <w:bookmarkStart w:id="308" w:name="_Toc1372321628"/>
      <w:bookmarkStart w:id="309" w:name="_Toc24642"/>
      <w:bookmarkStart w:id="310" w:name="_Toc29101"/>
      <w:bookmarkStart w:id="311" w:name="_Toc4566"/>
      <w:bookmarkStart w:id="312" w:name="_Toc26727"/>
      <w:bookmarkStart w:id="313" w:name="_Toc11062"/>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（二）充分发挥教育督导作用</w:t>
      </w:r>
      <w:bookmarkEnd w:id="306"/>
      <w:bookmarkEnd w:id="307"/>
      <w:bookmarkEnd w:id="308"/>
      <w:bookmarkEnd w:id="309"/>
      <w:bookmarkEnd w:id="310"/>
      <w:bookmarkEnd w:id="311"/>
      <w:bookmarkEnd w:id="312"/>
      <w:bookmarkEnd w:id="313"/>
    </w:p>
    <w:p>
      <w:pPr>
        <w:pStyle w:val="14"/>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640" w:firstLineChars="200"/>
        <w:jc w:val="both"/>
        <w:textAlignment w:val="auto"/>
        <w:outlineLvl w:val="9"/>
        <w:rPr>
          <w:rFonts w:hint="eastAsia" w:ascii="仿宋_GB2312" w:hAnsi="仿宋_GB2312" w:eastAsia="仿宋_GB2312" w:cs="仿宋_GB2312"/>
          <w:b/>
          <w:bCs/>
          <w:snapToGrid/>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t>加强对师团两级履行教育职责的常态化督导，严格依照《教育督导条例》等法律法规，全面强化督政、督学、评估监测三大职能，重点督查“教育强师市”建设、教育经费投入“两个只增不减”、教师编制与待遇保障等重大政策落实情况，跟踪督导义务教育优质均衡发展、学前教育普及普惠发展指标巩固提升，严防指标下滑。严格规范各级各类学校办学行为，全面落实中小学、幼儿园、职业院校责任督学挂牌督导全覆盖，聚焦学校党建与意识形态工作、“五育并举”落实、师德师风建设、课程教学改革、教育收费规范、学生身心健康等重点领域，开展常态化督导检查、精准施策整改。指导各级各类学校健全自我督导机制，强化自我约束、自我提升，充分激发办学活力、提升育人质量。构建覆盖全学段、各级各类教育的质量评估监测体系，常态化开展基础教育质量监测，推进双河职业技术学院高等职业院校办学条件达标评估，定期发布教育督导评估监测报告，为优化教育政策、调整资源配置、深化教育综合改革提供精准数据支撑和决策依据。</w:t>
      </w:r>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Autospacing="0" w:after="0" w:afterLines="0" w:afterAutospacing="0" w:line="560" w:lineRule="exact"/>
        <w:ind w:left="0" w:leftChars="0" w:right="0" w:firstLine="643" w:firstLineChars="200"/>
        <w:jc w:val="both"/>
        <w:textAlignment w:val="auto"/>
        <w:outlineLvl w:val="1"/>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pPr>
      <w:bookmarkStart w:id="314" w:name="_Toc9114"/>
      <w:bookmarkStart w:id="315" w:name="_Toc19622"/>
      <w:bookmarkStart w:id="316" w:name="_Toc4401"/>
      <w:bookmarkStart w:id="317" w:name="_Toc1021810081"/>
      <w:bookmarkStart w:id="318" w:name="_Toc28960"/>
      <w:bookmarkStart w:id="319" w:name="_Toc28178"/>
      <w:bookmarkStart w:id="320" w:name="_Toc1720"/>
      <w:bookmarkStart w:id="321" w:name="_Toc10030"/>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（三）</w:t>
      </w:r>
      <w:bookmarkStart w:id="322" w:name="_Toc1947"/>
      <w:bookmarkStart w:id="323" w:name="_Toc18816"/>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营造规划实施良好氛围</w:t>
      </w:r>
      <w:bookmarkEnd w:id="314"/>
      <w:bookmarkEnd w:id="315"/>
      <w:bookmarkEnd w:id="316"/>
      <w:bookmarkEnd w:id="317"/>
      <w:bookmarkEnd w:id="318"/>
      <w:bookmarkEnd w:id="319"/>
      <w:bookmarkEnd w:id="320"/>
      <w:bookmarkEnd w:id="321"/>
      <w:bookmarkEnd w:id="322"/>
      <w:bookmarkEnd w:id="323"/>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Autospacing="0" w:after="0" w:afterLines="0" w:afterAutospacing="0" w:line="560" w:lineRule="exact"/>
        <w:ind w:left="0" w:leftChars="0" w:right="0" w:firstLine="640" w:firstLineChars="200"/>
        <w:jc w:val="both"/>
        <w:textAlignment w:val="auto"/>
        <w:outlineLvl w:val="9"/>
        <w:rPr>
          <w:rFonts w:hint="eastAsia" w:cstheme="minorBidi"/>
          <w:b w:val="0"/>
          <w:bCs w:val="0"/>
          <w:color w:val="000000" w:themeColor="text1"/>
          <w:sz w:val="21"/>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聚焦教育改革发展成效，构建全方位、多层次宣传格局，着力营造全社会关心、支持、参与教育事业发展的良好氛围。依托师市融媒体中心、官方网站、微信公众号等主流平台，开设“双河育人故事”等特色专栏，系统宣传师市教育在“十五五”期间的标志性成果、典型经验和先进事迹，凝聚规划实施共识。深化家校社协同育人及“教联体”建设，建立师市层面“教联体”工作领导小组，统筹整合教育、公安、卫健、文旅等部门及社区、场馆、企业等各类资源，健全育人机制，构建“政府统筹、部门协作、学校主导、家庭尽责、社会参与”的</w:t>
      </w:r>
      <w:bookmarkStart w:id="324" w:name="_GoBack"/>
      <w:bookmarkEnd w:id="324"/>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育人良好生态，为规划落地见效凝聚强大合力，助力教育强师市建设。</w:t>
      </w:r>
    </w:p>
    <w:tbl>
      <w:tblPr>
        <w:tblStyle w:val="33"/>
        <w:tblpPr w:leftFromText="180" w:rightFromText="180" w:vertAnchor="text" w:horzAnchor="page" w:tblpXSpec="center" w:tblpY="203"/>
        <w:tblOverlap w:val="never"/>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210" w:type="dxa"/>
            <w:tcBorders>
              <w:top w:val="single" w:color="000000" w:sz="2" w:space="0"/>
              <w:bottom w:val="single" w:color="000000" w:sz="2" w:space="0"/>
            </w:tcBorders>
            <w:vAlign w:val="top"/>
          </w:tcPr>
          <w:p>
            <w:pPr>
              <w:pStyle w:val="34"/>
              <w:keepNext w:val="0"/>
              <w:keepLines w:val="0"/>
              <w:pageBreakBefore w:val="0"/>
              <w:widowControl w:val="0"/>
              <w:kinsoku/>
              <w:wordWrap/>
              <w:overflowPunct/>
              <w:topLinePunct w:val="0"/>
              <w:autoSpaceDE/>
              <w:autoSpaceDN/>
              <w:bidi w:val="0"/>
              <w:spacing w:afterLines="0" w:line="560" w:lineRule="exact"/>
              <w:ind w:left="0" w:right="0"/>
              <w:jc w:val="center"/>
              <w:textAlignment w:val="auto"/>
              <w:rPr>
                <w:color w:val="000000" w:themeColor="text1"/>
                <w:highlight w:val="none"/>
                <w14:textFill>
                  <w14:solidFill>
                    <w14:schemeClr w14:val="tx1"/>
                  </w14:solidFill>
                </w14:textFill>
              </w:rPr>
            </w:pPr>
            <w:r>
              <w:rPr>
                <w:rFonts w:hint="eastAsia" w:ascii="黑体" w:hAnsi="黑体" w:eastAsia="黑体" w:cs="黑体"/>
                <w:b w:val="0"/>
                <w:bCs w:val="0"/>
                <w:color w:val="000000" w:themeColor="text1"/>
                <w:spacing w:val="-4"/>
                <w:sz w:val="32"/>
                <w:szCs w:val="32"/>
                <w:highlight w:val="none"/>
                <w14:textFill>
                  <w14:solidFill>
                    <w14:schemeClr w14:val="tx1"/>
                  </w14:solidFill>
                </w14:textFill>
              </w:rPr>
              <w:t>专栏:高质量教育体系建设工程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jc w:val="center"/>
        </w:trPr>
        <w:tc>
          <w:tcPr>
            <w:tcW w:w="9210" w:type="dxa"/>
            <w:tcBorders>
              <w:top w:val="single" w:color="000000" w:sz="2" w:space="0"/>
              <w:bottom w:val="single" w:color="000000" w:sz="2" w:space="0"/>
            </w:tcBorders>
            <w:vAlign w:val="top"/>
          </w:tcPr>
          <w:p>
            <w:pPr>
              <w:pStyle w:val="34"/>
              <w:keepNext w:val="0"/>
              <w:keepLines w:val="0"/>
              <w:pageBreakBefore w:val="0"/>
              <w:widowControl w:val="0"/>
              <w:kinsoku/>
              <w:wordWrap/>
              <w:overflowPunct/>
              <w:topLinePunct w:val="0"/>
              <w:autoSpaceDE/>
              <w:autoSpaceDN/>
              <w:bidi w:val="0"/>
              <w:adjustRightInd/>
              <w:snapToGrid/>
              <w:spacing w:afterLines="0" w:line="560" w:lineRule="exact"/>
              <w:ind w:left="0" w:right="0" w:firstLine="643" w:firstLineChars="200"/>
              <w:jc w:val="both"/>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1.基础教育扩优提质。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实施学前教育普及普惠、义务教育优质均衡、改善普通高中办学条件工程，推进师市中学实验仪器设备改造提升项目，推进一批公办幼儿园、义务教育学校、普通高中基础设施改造提升。</w:t>
            </w:r>
          </w:p>
          <w:p>
            <w:pPr>
              <w:pStyle w:val="34"/>
              <w:keepNext w:val="0"/>
              <w:keepLines w:val="0"/>
              <w:pageBreakBefore w:val="0"/>
              <w:widowControl w:val="0"/>
              <w:kinsoku/>
              <w:wordWrap/>
              <w:overflowPunct/>
              <w:topLinePunct w:val="0"/>
              <w:autoSpaceDE/>
              <w:autoSpaceDN/>
              <w:bidi w:val="0"/>
              <w:adjustRightInd/>
              <w:snapToGrid/>
              <w:spacing w:afterLines="0" w:line="560" w:lineRule="exact"/>
              <w:ind w:left="0" w:right="0" w:firstLine="643"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2.提升职业教育办学能力。</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推进双河职业技术学院校区建设，增设专业，支持双河职业技术学院升本。推进职业教育产教融合，实施现代微生物农业技术产教融合实训基地等项目。</w:t>
            </w:r>
          </w:p>
          <w:p>
            <w:pPr>
              <w:pStyle w:val="34"/>
              <w:keepNext w:val="0"/>
              <w:keepLines w:val="0"/>
              <w:pageBreakBefore w:val="0"/>
              <w:widowControl w:val="0"/>
              <w:kinsoku/>
              <w:wordWrap/>
              <w:overflowPunct/>
              <w:topLinePunct w:val="0"/>
              <w:autoSpaceDE/>
              <w:autoSpaceDN/>
              <w:bidi w:val="0"/>
              <w:adjustRightInd/>
              <w:snapToGrid/>
              <w:spacing w:afterLines="0" w:line="560" w:lineRule="exact"/>
              <w:ind w:left="0" w:right="0" w:firstLine="643" w:firstLineChars="200"/>
              <w:jc w:val="both"/>
              <w:textAlignment w:val="auto"/>
              <w:rPr>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3.人工智能赋能教育工程。</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实施“互联网+教育”工程，建设“数字课堂”，推进师市数字校园工程。</w:t>
            </w:r>
          </w:p>
        </w:tc>
      </w:tr>
    </w:tbl>
    <w:p>
      <w:pPr>
        <w:keepNext w:val="0"/>
        <w:keepLines w:val="0"/>
        <w:pageBreakBefore w:val="0"/>
        <w:widowControl w:val="0"/>
        <w:kinsoku/>
        <w:wordWrap/>
        <w:overflowPunct/>
        <w:topLinePunct/>
        <w:autoSpaceDE/>
        <w:autoSpaceDN/>
        <w:bidi w:val="0"/>
        <w:adjustRightInd w:val="0"/>
        <w:snapToGrid w:val="0"/>
        <w:spacing w:line="600" w:lineRule="exact"/>
        <w:ind w:right="0" w:rightChars="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p>
    <w:sectPr>
      <w:footerReference r:id="rId7" w:type="first"/>
      <w:footerReference r:id="rId6" w:type="default"/>
      <w:pgSz w:w="11906" w:h="16838"/>
      <w:pgMar w:top="2098" w:right="1587" w:bottom="2098"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-74295</wp:posOffset>
              </wp:positionV>
              <wp:extent cx="877570" cy="304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877570" cy="304800"/>
                      </a:xfrm>
                      <a:prstGeom prst="rect">
                        <a:avLst/>
                      </a:prstGeom>
                      <a:noFill/>
                      <a:ln>
                        <a:noFill/>
                      </a:ln>
                    </wps:spPr>
                    <wps:txbx>
                      <w:txbxContent>
                        <w:p>
                          <w:pPr>
                            <w:pStyle w:val="7"/>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wrap="square" lIns="0" tIns="0" rIns="0" bIns="0" upright="0">
                      <a:noAutofit/>
                    </wps:bodyPr>
                  </wps:wsp>
                </a:graphicData>
              </a:graphic>
            </wp:anchor>
          </w:drawing>
        </mc:Choice>
        <mc:Fallback>
          <w:pict>
            <v:shape id="_x0000_s1026" o:spid="_x0000_s1026" o:spt="202" type="#_x0000_t202" style="position:absolute;left:0pt;margin-top:-5.85pt;height:24pt;width:69.1pt;mso-position-horizontal:outside;mso-position-horizontal-relative:margin;z-index:251659264;mso-width-relative:page;mso-height-relative:page;" filled="f" stroked="f" coordsize="21600,21600" o:gfxdata="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5nnCe1gAAAAcBAAAPAAAAAAAAAAEAIAAAACIAAABk&#10;cnMvZG93bnJldi54bWxQSwECFAAUAAAACACHTuJArSnXXs8BAACbAwAADgAAAAAAAAABACAAAAAl&#10;AQAAZHJzL2Uyb0RvYy54bWxQSwUGAAAAAAYABgBZAQAAZgUAAAAA&#10;">
              <v:fill on="f" focussize="0,0"/>
              <v:stroke on="f"/>
              <v:imagedata o:title=""/>
              <o:lock v:ext="edit" aspectratio="f"/>
              <v:textbox inset="0mm,0mm,0mm,0mm">
                <w:txbxContent>
                  <w:p>
                    <w:pPr>
                      <w:pStyle w:val="7"/>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-74295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85pt;height:144pt;width:144pt;mso-position-horizontal:outside;mso-position-horizontal-relative:margin;mso-wrap-style:none;z-index:251661312;mso-width-relative:page;mso-height-relative:page;" filled="f" stroked="f" coordsize="21600,21600" o:gfxdata="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K19HO1gAAAAgBAAAPAAAAAAAAAAEAIAAAACIAAABkcnMvZG93bnJldi54bWxQ&#10;SwECFAAUAAAACACHTuJApPvadjICAABjBAAADgAAAAAAAAABACAAAAAlAQAAZHJzL2Uyb0RvYy54&#10;bWxQSwUGAAAAAAYABgBZAQAAyQ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TI1YjBmNmMwOTcwY2JjODc1YWI5MmRmOTgyYTkifQ=="/>
    <w:docVar w:name="KSO_WPS_MARK_KEY" w:val="1366d5a0-736a-4783-bb0c-6b737925ac4b"/>
  </w:docVars>
  <w:rsids>
    <w:rsidRoot w:val="006043F6"/>
    <w:rsid w:val="0001509B"/>
    <w:rsid w:val="00054C21"/>
    <w:rsid w:val="000F06B7"/>
    <w:rsid w:val="00124121"/>
    <w:rsid w:val="00147D20"/>
    <w:rsid w:val="001A1B32"/>
    <w:rsid w:val="001F0413"/>
    <w:rsid w:val="002A51F0"/>
    <w:rsid w:val="002F480E"/>
    <w:rsid w:val="00365BB4"/>
    <w:rsid w:val="003A5CDC"/>
    <w:rsid w:val="003C7DCB"/>
    <w:rsid w:val="004014FE"/>
    <w:rsid w:val="00462B68"/>
    <w:rsid w:val="004657A9"/>
    <w:rsid w:val="004A6AB5"/>
    <w:rsid w:val="004F4CAC"/>
    <w:rsid w:val="005368A3"/>
    <w:rsid w:val="006043F6"/>
    <w:rsid w:val="00621014"/>
    <w:rsid w:val="006250DD"/>
    <w:rsid w:val="006E1F99"/>
    <w:rsid w:val="007113EB"/>
    <w:rsid w:val="00716CC5"/>
    <w:rsid w:val="007E7B5C"/>
    <w:rsid w:val="008025A4"/>
    <w:rsid w:val="008C307C"/>
    <w:rsid w:val="00932227"/>
    <w:rsid w:val="00934CA3"/>
    <w:rsid w:val="00977908"/>
    <w:rsid w:val="009D7882"/>
    <w:rsid w:val="00A011F0"/>
    <w:rsid w:val="00AE0D8F"/>
    <w:rsid w:val="00B800A9"/>
    <w:rsid w:val="00BB4237"/>
    <w:rsid w:val="00C12C3B"/>
    <w:rsid w:val="00CD0398"/>
    <w:rsid w:val="00D3491E"/>
    <w:rsid w:val="00DB7D64"/>
    <w:rsid w:val="00F4366C"/>
    <w:rsid w:val="00FB26E6"/>
    <w:rsid w:val="01537CD6"/>
    <w:rsid w:val="01693010"/>
    <w:rsid w:val="01FD7E4B"/>
    <w:rsid w:val="0271258C"/>
    <w:rsid w:val="0332101C"/>
    <w:rsid w:val="036C7C3B"/>
    <w:rsid w:val="05756547"/>
    <w:rsid w:val="05C80770"/>
    <w:rsid w:val="05E11366"/>
    <w:rsid w:val="07561F05"/>
    <w:rsid w:val="07DA3D25"/>
    <w:rsid w:val="08595350"/>
    <w:rsid w:val="08B55B08"/>
    <w:rsid w:val="0A430A2D"/>
    <w:rsid w:val="0A557AA3"/>
    <w:rsid w:val="0A5627EE"/>
    <w:rsid w:val="0A8F3AE4"/>
    <w:rsid w:val="0B75492C"/>
    <w:rsid w:val="0B962249"/>
    <w:rsid w:val="0C350AC9"/>
    <w:rsid w:val="0C414115"/>
    <w:rsid w:val="0CD356D2"/>
    <w:rsid w:val="0D1857CA"/>
    <w:rsid w:val="0DB62EF5"/>
    <w:rsid w:val="0DC019A6"/>
    <w:rsid w:val="0DD2668E"/>
    <w:rsid w:val="0E7C0CEC"/>
    <w:rsid w:val="0EA24254"/>
    <w:rsid w:val="0F331350"/>
    <w:rsid w:val="0F737243"/>
    <w:rsid w:val="0FF543DE"/>
    <w:rsid w:val="101F11CD"/>
    <w:rsid w:val="107439CE"/>
    <w:rsid w:val="10F16DCD"/>
    <w:rsid w:val="112E0021"/>
    <w:rsid w:val="115B2B1B"/>
    <w:rsid w:val="12C4590A"/>
    <w:rsid w:val="133A5495"/>
    <w:rsid w:val="144F46CA"/>
    <w:rsid w:val="159F6110"/>
    <w:rsid w:val="160C66D2"/>
    <w:rsid w:val="16201F02"/>
    <w:rsid w:val="16A02BC4"/>
    <w:rsid w:val="18802F86"/>
    <w:rsid w:val="19DF187E"/>
    <w:rsid w:val="1A0A0F78"/>
    <w:rsid w:val="1A1A56C4"/>
    <w:rsid w:val="1B462C4E"/>
    <w:rsid w:val="1B4D379A"/>
    <w:rsid w:val="1B8A5AAE"/>
    <w:rsid w:val="1BE20386"/>
    <w:rsid w:val="1C4F3541"/>
    <w:rsid w:val="1CAC64DA"/>
    <w:rsid w:val="1DCD471E"/>
    <w:rsid w:val="1DF402F7"/>
    <w:rsid w:val="1E034AB2"/>
    <w:rsid w:val="1E346178"/>
    <w:rsid w:val="1E867EAE"/>
    <w:rsid w:val="1EBA3929"/>
    <w:rsid w:val="1EE6372C"/>
    <w:rsid w:val="1F493A81"/>
    <w:rsid w:val="1F4D7D8B"/>
    <w:rsid w:val="202F3096"/>
    <w:rsid w:val="208F255C"/>
    <w:rsid w:val="210428AD"/>
    <w:rsid w:val="21494A03"/>
    <w:rsid w:val="21A02638"/>
    <w:rsid w:val="21E07116"/>
    <w:rsid w:val="220A0536"/>
    <w:rsid w:val="221624EC"/>
    <w:rsid w:val="22605FA2"/>
    <w:rsid w:val="23270D74"/>
    <w:rsid w:val="234436D4"/>
    <w:rsid w:val="2348104B"/>
    <w:rsid w:val="2380085A"/>
    <w:rsid w:val="23AC5E4F"/>
    <w:rsid w:val="23D84D5E"/>
    <w:rsid w:val="23ED084D"/>
    <w:rsid w:val="250D37E6"/>
    <w:rsid w:val="256911D0"/>
    <w:rsid w:val="25F53BC8"/>
    <w:rsid w:val="26D27249"/>
    <w:rsid w:val="27004A97"/>
    <w:rsid w:val="27513756"/>
    <w:rsid w:val="27822A1D"/>
    <w:rsid w:val="27FC18F2"/>
    <w:rsid w:val="28A84E0A"/>
    <w:rsid w:val="28C8404E"/>
    <w:rsid w:val="28F47D05"/>
    <w:rsid w:val="2A7F27ED"/>
    <w:rsid w:val="2AE23DCB"/>
    <w:rsid w:val="2AFA0253"/>
    <w:rsid w:val="2BEB7764"/>
    <w:rsid w:val="2C695F59"/>
    <w:rsid w:val="2C7C300F"/>
    <w:rsid w:val="2C8F3EFB"/>
    <w:rsid w:val="2CCD0E33"/>
    <w:rsid w:val="2D6D7CCB"/>
    <w:rsid w:val="2D7B09FF"/>
    <w:rsid w:val="2EF54A89"/>
    <w:rsid w:val="2F615D28"/>
    <w:rsid w:val="2F991F00"/>
    <w:rsid w:val="2FB202C8"/>
    <w:rsid w:val="2FF93E6E"/>
    <w:rsid w:val="30780C48"/>
    <w:rsid w:val="30E36C97"/>
    <w:rsid w:val="313E79B5"/>
    <w:rsid w:val="3159033E"/>
    <w:rsid w:val="319264E2"/>
    <w:rsid w:val="31EB68B6"/>
    <w:rsid w:val="324E5783"/>
    <w:rsid w:val="32B96D25"/>
    <w:rsid w:val="32F947CF"/>
    <w:rsid w:val="33C96B78"/>
    <w:rsid w:val="34026786"/>
    <w:rsid w:val="34140382"/>
    <w:rsid w:val="347C419D"/>
    <w:rsid w:val="34E7529C"/>
    <w:rsid w:val="350B2E78"/>
    <w:rsid w:val="350B6C14"/>
    <w:rsid w:val="352B35E0"/>
    <w:rsid w:val="35945B52"/>
    <w:rsid w:val="36C97D8F"/>
    <w:rsid w:val="387C010F"/>
    <w:rsid w:val="38896710"/>
    <w:rsid w:val="389E342F"/>
    <w:rsid w:val="394D770B"/>
    <w:rsid w:val="39A44DF7"/>
    <w:rsid w:val="3B510C28"/>
    <w:rsid w:val="3B937396"/>
    <w:rsid w:val="3BBE6D7E"/>
    <w:rsid w:val="3C0F2D93"/>
    <w:rsid w:val="3C20586C"/>
    <w:rsid w:val="3C4936B2"/>
    <w:rsid w:val="3DC14D6F"/>
    <w:rsid w:val="3E491747"/>
    <w:rsid w:val="3E747420"/>
    <w:rsid w:val="3EDA3E98"/>
    <w:rsid w:val="40582115"/>
    <w:rsid w:val="40B01C85"/>
    <w:rsid w:val="411C3E2A"/>
    <w:rsid w:val="423F26E0"/>
    <w:rsid w:val="42B94A42"/>
    <w:rsid w:val="42FF1C74"/>
    <w:rsid w:val="44305CE0"/>
    <w:rsid w:val="44A12BB3"/>
    <w:rsid w:val="44DB5385"/>
    <w:rsid w:val="461764DB"/>
    <w:rsid w:val="46C75B4D"/>
    <w:rsid w:val="479E5128"/>
    <w:rsid w:val="48AC4C98"/>
    <w:rsid w:val="48AE740B"/>
    <w:rsid w:val="4989333F"/>
    <w:rsid w:val="4ADA6448"/>
    <w:rsid w:val="4CEA67EB"/>
    <w:rsid w:val="4CFB472C"/>
    <w:rsid w:val="4D0A4797"/>
    <w:rsid w:val="4DE04F2F"/>
    <w:rsid w:val="4DFB2056"/>
    <w:rsid w:val="4E893369"/>
    <w:rsid w:val="4EA8070C"/>
    <w:rsid w:val="4EE26836"/>
    <w:rsid w:val="4EE760DA"/>
    <w:rsid w:val="4FD86DCF"/>
    <w:rsid w:val="4FE601A3"/>
    <w:rsid w:val="50ED4624"/>
    <w:rsid w:val="5153495F"/>
    <w:rsid w:val="52BA27BB"/>
    <w:rsid w:val="52BC445F"/>
    <w:rsid w:val="54B05371"/>
    <w:rsid w:val="550228D1"/>
    <w:rsid w:val="55774797"/>
    <w:rsid w:val="55DB13C7"/>
    <w:rsid w:val="56914B19"/>
    <w:rsid w:val="57476C49"/>
    <w:rsid w:val="57537659"/>
    <w:rsid w:val="58B37464"/>
    <w:rsid w:val="593C217C"/>
    <w:rsid w:val="595A1D3E"/>
    <w:rsid w:val="5A680140"/>
    <w:rsid w:val="5ABD72ED"/>
    <w:rsid w:val="5B303F63"/>
    <w:rsid w:val="5BE340C8"/>
    <w:rsid w:val="5C2C64D8"/>
    <w:rsid w:val="5F4528A5"/>
    <w:rsid w:val="5F650B43"/>
    <w:rsid w:val="5FF02022"/>
    <w:rsid w:val="61853ECF"/>
    <w:rsid w:val="61DB5B56"/>
    <w:rsid w:val="63051831"/>
    <w:rsid w:val="638666C8"/>
    <w:rsid w:val="63EC32EB"/>
    <w:rsid w:val="64175CC0"/>
    <w:rsid w:val="64E262CE"/>
    <w:rsid w:val="64E317FD"/>
    <w:rsid w:val="65377372"/>
    <w:rsid w:val="65F75DA9"/>
    <w:rsid w:val="663E5786"/>
    <w:rsid w:val="667A6822"/>
    <w:rsid w:val="66D460EA"/>
    <w:rsid w:val="672C7CD4"/>
    <w:rsid w:val="67993D90"/>
    <w:rsid w:val="694072AA"/>
    <w:rsid w:val="695B21AB"/>
    <w:rsid w:val="6AB950D7"/>
    <w:rsid w:val="6B9E2778"/>
    <w:rsid w:val="6BE741CA"/>
    <w:rsid w:val="6C003F22"/>
    <w:rsid w:val="6C5C4BB7"/>
    <w:rsid w:val="6CBA7B30"/>
    <w:rsid w:val="6CF73370"/>
    <w:rsid w:val="6DD8201C"/>
    <w:rsid w:val="6E4D24E8"/>
    <w:rsid w:val="70891CF3"/>
    <w:rsid w:val="70F26187"/>
    <w:rsid w:val="71533F79"/>
    <w:rsid w:val="71B569C6"/>
    <w:rsid w:val="71D47C75"/>
    <w:rsid w:val="722717C4"/>
    <w:rsid w:val="72A6723C"/>
    <w:rsid w:val="72F434AC"/>
    <w:rsid w:val="73335381"/>
    <w:rsid w:val="73676BE8"/>
    <w:rsid w:val="73D74E56"/>
    <w:rsid w:val="73E7745D"/>
    <w:rsid w:val="73E849AA"/>
    <w:rsid w:val="74EE0377"/>
    <w:rsid w:val="75685AA0"/>
    <w:rsid w:val="756A2B79"/>
    <w:rsid w:val="75C02162"/>
    <w:rsid w:val="75FE5E16"/>
    <w:rsid w:val="76341A8A"/>
    <w:rsid w:val="763A5650"/>
    <w:rsid w:val="76541AD6"/>
    <w:rsid w:val="7680053C"/>
    <w:rsid w:val="7735228D"/>
    <w:rsid w:val="785D0DC5"/>
    <w:rsid w:val="79167646"/>
    <w:rsid w:val="7968363A"/>
    <w:rsid w:val="7CDB5685"/>
    <w:rsid w:val="7CE34D6D"/>
    <w:rsid w:val="7D311748"/>
    <w:rsid w:val="7D5A4F2F"/>
    <w:rsid w:val="7E074257"/>
    <w:rsid w:val="7E3460E9"/>
    <w:rsid w:val="7E430712"/>
    <w:rsid w:val="7E5F5E41"/>
    <w:rsid w:val="7E714139"/>
    <w:rsid w:val="7F211349"/>
    <w:rsid w:val="7F5D1B0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locked/>
    <w:uiPriority w:val="0"/>
    <w:pPr>
      <w:ind w:firstLine="0" w:firstLineChars="0"/>
      <w:outlineLvl w:val="3"/>
    </w:pPr>
    <w:rPr>
      <w:rFonts w:eastAsia="宋体"/>
      <w:b/>
      <w:bCs/>
      <w:iCs/>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line="600" w:lineRule="exact"/>
    </w:pPr>
    <w:rPr>
      <w:sz w:val="18"/>
      <w:szCs w:val="24"/>
    </w:rPr>
  </w:style>
  <w:style w:type="paragraph" w:styleId="6">
    <w:name w:val="Body Text Indent"/>
    <w:basedOn w:val="1"/>
    <w:next w:val="1"/>
    <w:qFormat/>
    <w:uiPriority w:val="0"/>
    <w:pPr>
      <w:spacing w:after="120" w:afterLines="0" w:afterAutospacing="0"/>
      <w:ind w:left="420" w:leftChars="200"/>
    </w:p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0"/>
  </w:style>
  <w:style w:type="paragraph" w:styleId="10">
    <w:name w:val="Subtitle"/>
    <w:basedOn w:val="1"/>
    <w:next w:val="1"/>
    <w:qFormat/>
    <w:locked/>
    <w:uiPriority w:val="0"/>
    <w:pPr>
      <w:spacing w:before="240" w:after="60" w:line="312" w:lineRule="auto"/>
      <w:jc w:val="center"/>
      <w:outlineLvl w:val="1"/>
    </w:pPr>
    <w:rPr>
      <w:rFonts w:ascii="Arial" w:hAnsi="Arial" w:eastAsia="宋体" w:cs="Arial"/>
      <w:b/>
      <w:bCs/>
      <w:kern w:val="28"/>
      <w:sz w:val="32"/>
      <w:szCs w:val="32"/>
    </w:rPr>
  </w:style>
  <w:style w:type="paragraph" w:styleId="11">
    <w:name w:val="toc 2"/>
    <w:basedOn w:val="1"/>
    <w:next w:val="1"/>
    <w:qFormat/>
    <w:locked/>
    <w:uiPriority w:val="0"/>
    <w:pPr>
      <w:ind w:left="420" w:leftChars="200"/>
    </w:pPr>
  </w:style>
  <w:style w:type="paragraph" w:styleId="12">
    <w:name w:val="Normal (Web)"/>
    <w:basedOn w:val="1"/>
    <w:qFormat/>
    <w:uiPriority w:val="0"/>
    <w:pPr>
      <w:jc w:val="left"/>
    </w:pPr>
    <w:rPr>
      <w:rFonts w:cs="Times New Roman"/>
      <w:kern w:val="0"/>
      <w:sz w:val="24"/>
    </w:rPr>
  </w:style>
  <w:style w:type="paragraph" w:styleId="13">
    <w:name w:val="Body Text First Indent"/>
    <w:basedOn w:val="5"/>
    <w:next w:val="1"/>
    <w:qFormat/>
    <w:uiPriority w:val="99"/>
    <w:pPr>
      <w:spacing w:line="500" w:lineRule="exact"/>
      <w:ind w:firstLine="420"/>
    </w:pPr>
    <w:rPr>
      <w:rFonts w:eastAsia="楷体_GB2312"/>
      <w:sz w:val="28"/>
      <w:szCs w:val="28"/>
    </w:rPr>
  </w:style>
  <w:style w:type="paragraph" w:styleId="14">
    <w:name w:val="Body Text First Indent 2"/>
    <w:basedOn w:val="6"/>
    <w:next w:val="13"/>
    <w:qFormat/>
    <w:uiPriority w:val="0"/>
    <w:pPr>
      <w:ind w:firstLine="420" w:firstLineChars="200"/>
    </w:pPr>
  </w:style>
  <w:style w:type="table" w:styleId="16">
    <w:name w:val="Table Grid"/>
    <w:basedOn w:val="1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locked/>
    <w:uiPriority w:val="0"/>
    <w:rPr>
      <w:b/>
    </w:rPr>
  </w:style>
  <w:style w:type="paragraph" w:customStyle="1" w:styleId="19">
    <w:name w:val="BodyText1I2"/>
    <w:basedOn w:val="20"/>
    <w:qFormat/>
    <w:uiPriority w:val="0"/>
    <w:pPr>
      <w:ind w:firstLine="420" w:firstLineChars="200"/>
    </w:pPr>
    <w:rPr>
      <w:rFonts w:ascii="Times New Roman" w:hAnsi="Times New Roman"/>
    </w:rPr>
  </w:style>
  <w:style w:type="paragraph" w:customStyle="1" w:styleId="20">
    <w:name w:val="BodyTextIndent"/>
    <w:basedOn w:val="1"/>
    <w:qFormat/>
    <w:uiPriority w:val="0"/>
    <w:pPr>
      <w:spacing w:after="120"/>
      <w:ind w:left="420" w:leftChars="200"/>
    </w:pPr>
  </w:style>
  <w:style w:type="character" w:customStyle="1" w:styleId="21">
    <w:name w:val="Footer Char"/>
    <w:basedOn w:val="17"/>
    <w:link w:val="7"/>
    <w:qFormat/>
    <w:locked/>
    <w:uiPriority w:val="99"/>
    <w:rPr>
      <w:rFonts w:ascii="Calibri" w:hAnsi="Calibri" w:eastAsia="宋体" w:cs="Times New Roman"/>
      <w:kern w:val="2"/>
      <w:sz w:val="18"/>
      <w:szCs w:val="18"/>
    </w:rPr>
  </w:style>
  <w:style w:type="character" w:customStyle="1" w:styleId="22">
    <w:name w:val="Header Char"/>
    <w:basedOn w:val="17"/>
    <w:link w:val="8"/>
    <w:qFormat/>
    <w:locked/>
    <w:uiPriority w:val="99"/>
    <w:rPr>
      <w:rFonts w:ascii="Calibri" w:hAnsi="Calibri" w:eastAsia="宋体" w:cs="Times New Roman"/>
      <w:kern w:val="2"/>
      <w:sz w:val="18"/>
      <w:szCs w:val="18"/>
    </w:rPr>
  </w:style>
  <w:style w:type="character" w:customStyle="1" w:styleId="23">
    <w:name w:val="15"/>
    <w:basedOn w:val="17"/>
    <w:qFormat/>
    <w:uiPriority w:val="99"/>
    <w:rPr>
      <w:rFonts w:ascii="Times New Roman" w:hAnsi="Times New Roman" w:cs="Times New Roman"/>
    </w:rPr>
  </w:style>
  <w:style w:type="paragraph" w:styleId="24">
    <w:name w:val="List Paragraph"/>
    <w:basedOn w:val="1"/>
    <w:qFormat/>
    <w:uiPriority w:val="34"/>
    <w:pPr>
      <w:ind w:firstLine="420" w:firstLineChars="200"/>
    </w:pPr>
  </w:style>
  <w:style w:type="character" w:customStyle="1" w:styleId="25">
    <w:name w:val="font31"/>
    <w:basedOn w:val="17"/>
    <w:qFormat/>
    <w:uiPriority w:val="0"/>
    <w:rPr>
      <w:rFonts w:hint="default" w:ascii="Wingdings 2" w:hAnsi="Wingdings 2" w:eastAsia="Wingdings 2" w:cs="Wingdings 2"/>
      <w:color w:val="000000"/>
      <w:sz w:val="32"/>
      <w:szCs w:val="32"/>
      <w:u w:val="none"/>
    </w:rPr>
  </w:style>
  <w:style w:type="character" w:customStyle="1" w:styleId="26">
    <w:name w:val="font41"/>
    <w:basedOn w:val="17"/>
    <w:qFormat/>
    <w:uiPriority w:val="0"/>
    <w:rPr>
      <w:rFonts w:hint="eastAsia" w:ascii="黑体" w:hAnsi="宋体" w:eastAsia="黑体" w:cs="黑体"/>
      <w:color w:val="000000"/>
      <w:sz w:val="32"/>
      <w:szCs w:val="32"/>
      <w:u w:val="none"/>
    </w:rPr>
  </w:style>
  <w:style w:type="paragraph" w:customStyle="1" w:styleId="27">
    <w:name w:val="Heading #1|1"/>
    <w:basedOn w:val="1"/>
    <w:qFormat/>
    <w:uiPriority w:val="0"/>
    <w:pPr>
      <w:widowControl w:val="0"/>
      <w:shd w:val="clear" w:color="auto" w:fill="auto"/>
      <w:outlineLvl w:val="0"/>
    </w:pPr>
    <w:rPr>
      <w:rFonts w:ascii="宋体" w:hAnsi="宋体" w:eastAsia="宋体" w:cs="宋体"/>
      <w:color w:val="DB575F"/>
      <w:sz w:val="46"/>
      <w:szCs w:val="46"/>
      <w:u w:val="none"/>
      <w:shd w:val="clear" w:color="auto" w:fill="auto"/>
      <w:lang w:val="zh-TW" w:eastAsia="zh-TW" w:bidi="zh-TW"/>
    </w:rPr>
  </w:style>
  <w:style w:type="paragraph" w:customStyle="1" w:styleId="28">
    <w:name w:val="Body text|1"/>
    <w:basedOn w:val="1"/>
    <w:qFormat/>
    <w:uiPriority w:val="0"/>
    <w:pPr>
      <w:spacing w:line="420" w:lineRule="auto"/>
      <w:ind w:firstLine="400"/>
    </w:pPr>
    <w:rPr>
      <w:rFonts w:ascii="宋体" w:hAnsi="宋体" w:eastAsia="宋体" w:cs="宋体"/>
      <w:sz w:val="26"/>
      <w:szCs w:val="26"/>
      <w:lang w:val="zh-TW" w:eastAsia="zh-TW" w:bidi="zh-TW"/>
    </w:rPr>
  </w:style>
  <w:style w:type="paragraph" w:customStyle="1" w:styleId="29">
    <w:name w:val="Body text|2"/>
    <w:basedOn w:val="1"/>
    <w:qFormat/>
    <w:uiPriority w:val="0"/>
    <w:pPr>
      <w:spacing w:after="440"/>
      <w:jc w:val="center"/>
    </w:pPr>
    <w:rPr>
      <w:rFonts w:ascii="宋体" w:hAnsi="宋体" w:eastAsia="宋体" w:cs="宋体"/>
      <w:sz w:val="30"/>
      <w:szCs w:val="30"/>
      <w:lang w:val="zh-TW" w:eastAsia="zh-TW" w:bidi="zh-TW"/>
    </w:rPr>
  </w:style>
  <w:style w:type="paragraph" w:customStyle="1" w:styleId="30">
    <w:name w:val="Heading #3|1"/>
    <w:basedOn w:val="1"/>
    <w:qFormat/>
    <w:uiPriority w:val="0"/>
    <w:pPr>
      <w:spacing w:after="590" w:line="630" w:lineRule="exact"/>
      <w:jc w:val="center"/>
      <w:outlineLvl w:val="2"/>
    </w:pPr>
    <w:rPr>
      <w:rFonts w:ascii="宋体" w:hAnsi="宋体" w:cs="宋体"/>
      <w:sz w:val="42"/>
      <w:szCs w:val="42"/>
    </w:rPr>
  </w:style>
  <w:style w:type="paragraph" w:customStyle="1" w:styleId="31">
    <w:name w:val="表格文字2"/>
    <w:basedOn w:val="32"/>
    <w:qFormat/>
    <w:uiPriority w:val="99"/>
    <w:rPr>
      <w:bCs/>
      <w:spacing w:val="10"/>
    </w:rPr>
  </w:style>
  <w:style w:type="paragraph" w:customStyle="1" w:styleId="32">
    <w:name w:val="Normal_1"/>
    <w:qFormat/>
    <w:uiPriority w:val="0"/>
    <w:rPr>
      <w:rFonts w:ascii="黑体" w:hAnsi="黑体" w:eastAsia="黑体" w:cs="Times New Roman"/>
      <w:b/>
      <w:sz w:val="32"/>
      <w:szCs w:val="24"/>
      <w:lang w:val="en-US" w:eastAsia="zh-CN" w:bidi="ar-SA"/>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仿宋" w:hAnsi="仿宋" w:eastAsia="仿宋" w:cs="仿宋"/>
      <w:sz w:val="22"/>
      <w:szCs w:val="22"/>
      <w:lang w:val="en-US" w:eastAsia="en-US" w:bidi="ar-SA"/>
    </w:rPr>
  </w:style>
  <w:style w:type="paragraph" w:customStyle="1" w:styleId="3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6350">
          <a:solidFill>
            <a:srgbClr val="FF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Far123</Company>
  <Pages>36</Pages>
  <Words>18368</Words>
  <Characters>18555</Characters>
  <Lines>0</Lines>
  <Paragraphs>0</Paragraphs>
  <TotalTime>1</TotalTime>
  <ScaleCrop>false</ScaleCrop>
  <LinksUpToDate>false</LinksUpToDate>
  <CharactersWithSpaces>18701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2020-03-13T11:29:00Z</dcterms:created>
  <dc:creator>admin</dc:creator>
  <cp:lastModifiedBy>赟儿</cp:lastModifiedBy>
  <cp:lastPrinted>2026-07-09T09:44:00Z</cp:lastPrinted>
  <dcterms:modified xsi:type="dcterms:W3CDTF">2026-07-10T04:05:59Z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785B7FA37291428A9911B89A93349843_13</vt:lpwstr>
  </property>
  <property fmtid="{D5CDD505-2E9C-101B-9397-08002B2CF9AE}" pid="4" name="KSOTemplateDocerSaveRecord">
    <vt:lpwstr>eyJoZGlkIjoiYmY4YmFjNjJhODY3MzMyNzFlYmVhZTZhYTYyOTNhZTAiLCJ1c2VySWQiOiI0MTgwMjY0NzMifQ==</vt:lpwstr>
  </property>
</Properties>
</file>