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2578D">
      <w:pPr>
        <w:ind w:firstLine="0" w:firstLineChars="0"/>
        <w:jc w:val="center"/>
        <w:rPr>
          <w:rFonts w:eastAsia="方正小标宋简体"/>
          <w:sz w:val="44"/>
          <w:szCs w:val="44"/>
        </w:rPr>
      </w:pPr>
    </w:p>
    <w:p w14:paraId="7055B0A9">
      <w:pPr>
        <w:ind w:firstLine="0" w:firstLineChars="0"/>
        <w:jc w:val="center"/>
        <w:rPr>
          <w:rFonts w:eastAsia="方正小标宋简体"/>
          <w:sz w:val="44"/>
          <w:szCs w:val="44"/>
        </w:rPr>
      </w:pPr>
    </w:p>
    <w:p w14:paraId="22672793">
      <w:pPr>
        <w:ind w:firstLine="0" w:firstLineChars="0"/>
        <w:jc w:val="center"/>
        <w:rPr>
          <w:rFonts w:eastAsia="方正小标宋简体"/>
          <w:sz w:val="44"/>
          <w:szCs w:val="44"/>
        </w:rPr>
      </w:pPr>
    </w:p>
    <w:p w14:paraId="6A6606B2">
      <w:pPr>
        <w:ind w:left="-141" w:leftChars="-44" w:firstLine="0" w:firstLineChars="0"/>
        <w:jc w:val="center"/>
        <w:rPr>
          <w:rFonts w:eastAsia="方正小标宋简体" w:cs="Times New Roman"/>
          <w:sz w:val="52"/>
          <w:szCs w:val="52"/>
        </w:rPr>
      </w:pPr>
      <w:r>
        <w:rPr>
          <w:rFonts w:hint="eastAsia" w:eastAsia="方正小标宋简体" w:cs="Times New Roman"/>
          <w:sz w:val="52"/>
          <w:szCs w:val="52"/>
        </w:rPr>
        <w:t>第五师双河市</w:t>
      </w:r>
    </w:p>
    <w:p w14:paraId="5E1506B4">
      <w:pPr>
        <w:ind w:left="-141" w:leftChars="-44" w:firstLine="0" w:firstLineChars="0"/>
        <w:jc w:val="center"/>
        <w:rPr>
          <w:rFonts w:hint="eastAsia" w:eastAsia="方正小标宋简体" w:cs="Times New Roman"/>
          <w:sz w:val="52"/>
          <w:szCs w:val="52"/>
        </w:rPr>
      </w:pPr>
      <w:r>
        <w:rPr>
          <w:rFonts w:hint="eastAsia" w:eastAsia="方正小标宋简体" w:cs="Times New Roman"/>
          <w:sz w:val="52"/>
          <w:szCs w:val="52"/>
        </w:rPr>
        <w:t>“十五五”数字经济发展规划</w:t>
      </w:r>
    </w:p>
    <w:p w14:paraId="32A404CD">
      <w:pPr>
        <w:ind w:left="-141" w:leftChars="-44" w:firstLine="0" w:firstLineChars="0"/>
        <w:jc w:val="center"/>
        <w:rPr>
          <w:rFonts w:hint="eastAsia" w:ascii="楷体_GB2312" w:hAnsi="楷体_GB2312" w:eastAsia="楷体_GB2312" w:cs="Times New Roman"/>
        </w:rPr>
      </w:pPr>
      <w:r>
        <w:rPr>
          <w:rFonts w:hint="eastAsia" w:ascii="楷体_GB2312" w:hAnsi="楷体_GB2312" w:eastAsia="楷体_GB2312" w:cs="Times New Roman"/>
        </w:rPr>
        <w:t>（面向社会征求意见稿）</w:t>
      </w:r>
    </w:p>
    <w:p w14:paraId="4D07B04E">
      <w:pPr>
        <w:pStyle w:val="13"/>
        <w:ind w:firstLine="0" w:firstLineChars="0"/>
      </w:pPr>
    </w:p>
    <w:p w14:paraId="3E9AE2F9">
      <w:pPr>
        <w:pStyle w:val="13"/>
        <w:ind w:firstLine="0" w:firstLineChars="0"/>
        <w:jc w:val="both"/>
      </w:pPr>
      <w:bookmarkStart w:id="127" w:name="_GoBack"/>
      <w:bookmarkEnd w:id="127"/>
    </w:p>
    <w:p w14:paraId="18D2FE03">
      <w:pPr>
        <w:pStyle w:val="13"/>
        <w:ind w:firstLine="0" w:firstLineChars="0"/>
      </w:pPr>
    </w:p>
    <w:p w14:paraId="71677B53">
      <w:pPr>
        <w:pStyle w:val="13"/>
        <w:ind w:firstLine="0" w:firstLineChars="0"/>
      </w:pPr>
    </w:p>
    <w:p w14:paraId="29F30EDF">
      <w:pPr>
        <w:pStyle w:val="13"/>
        <w:ind w:firstLine="0" w:firstLineChars="0"/>
      </w:pPr>
    </w:p>
    <w:p w14:paraId="6C8E5441">
      <w:pPr>
        <w:pStyle w:val="13"/>
        <w:ind w:firstLine="0" w:firstLineChars="0"/>
      </w:pPr>
    </w:p>
    <w:p w14:paraId="2B433A40">
      <w:pPr>
        <w:pStyle w:val="13"/>
        <w:ind w:firstLine="0" w:firstLineChars="0"/>
      </w:pPr>
    </w:p>
    <w:p w14:paraId="4D1E6DCF">
      <w:pPr>
        <w:pStyle w:val="13"/>
        <w:ind w:firstLine="0" w:firstLineChars="0"/>
      </w:pPr>
    </w:p>
    <w:p w14:paraId="23677FC2">
      <w:pPr>
        <w:pStyle w:val="13"/>
        <w:ind w:firstLine="0" w:firstLineChars="0"/>
      </w:pPr>
    </w:p>
    <w:p w14:paraId="549CFBFC">
      <w:pPr>
        <w:pStyle w:val="13"/>
        <w:ind w:firstLine="0" w:firstLineChars="0"/>
      </w:pPr>
    </w:p>
    <w:p w14:paraId="257BC977">
      <w:pPr>
        <w:pStyle w:val="13"/>
        <w:ind w:firstLine="0" w:firstLineChars="0"/>
      </w:pPr>
    </w:p>
    <w:p w14:paraId="18ECA8AF">
      <w:pPr>
        <w:ind w:firstLine="0" w:firstLineChars="0"/>
        <w:jc w:val="center"/>
        <w:rPr>
          <w:rFonts w:ascii="方正小标宋简体" w:eastAsia="方正小标宋简体" w:cs="Times New Roman"/>
        </w:rPr>
      </w:pPr>
      <w:r>
        <w:rPr>
          <w:rFonts w:hint="eastAsia" w:ascii="方正小标宋简体" w:eastAsia="方正小标宋简体" w:cs="Times New Roman"/>
        </w:rPr>
        <w:t>第五师双河市政务服务和大数据局</w:t>
      </w:r>
    </w:p>
    <w:p w14:paraId="4A0FFBDE">
      <w:pPr>
        <w:ind w:firstLine="0" w:firstLineChars="0"/>
        <w:jc w:val="center"/>
        <w:rPr>
          <w:rFonts w:ascii="方正小标宋简体" w:eastAsia="方正小标宋简体" w:cs="Times New Roman"/>
        </w:rPr>
      </w:pPr>
      <w:r>
        <w:rPr>
          <w:rFonts w:hint="eastAsia" w:ascii="方正小标宋简体" w:eastAsia="方正小标宋简体" w:cs="Times New Roman"/>
        </w:rPr>
        <w:t>2026年</w:t>
      </w:r>
      <w:r>
        <w:rPr>
          <w:rFonts w:hint="eastAsia" w:ascii="方正小标宋简体" w:eastAsia="方正小标宋简体" w:cs="Times New Roman"/>
          <w:lang w:val="en-US" w:eastAsia="zh-CN"/>
        </w:rPr>
        <w:t>5</w:t>
      </w:r>
      <w:r>
        <w:rPr>
          <w:rFonts w:hint="eastAsia" w:ascii="方正小标宋简体" w:eastAsia="方正小标宋简体" w:cs="Times New Roman"/>
        </w:rPr>
        <w:t>月</w:t>
      </w:r>
    </w:p>
    <w:p w14:paraId="623E59A0">
      <w:pPr>
        <w:ind w:firstLine="0" w:firstLineChars="0"/>
        <w:rPr>
          <w:rFonts w:eastAsia="方正小标宋简体"/>
          <w:sz w:val="44"/>
          <w:szCs w:val="44"/>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3" w:bottom="1440" w:left="1803" w:header="851" w:footer="1587" w:gutter="0"/>
          <w:pgNumType w:start="1"/>
          <w:cols w:space="0" w:num="1"/>
          <w:titlePg/>
          <w:docGrid w:type="lines" w:linePitch="312" w:charSpace="0"/>
        </w:sectPr>
      </w:pPr>
    </w:p>
    <w:p w14:paraId="01C6AF4F">
      <w:pPr>
        <w:ind w:firstLine="0" w:firstLineChars="0"/>
        <w:rPr>
          <w:rFonts w:eastAsia="方正小标宋简体"/>
          <w:sz w:val="44"/>
          <w:szCs w:val="44"/>
        </w:rPr>
        <w:sectPr>
          <w:footerReference r:id="rId13" w:type="first"/>
          <w:footerReference r:id="rId11" w:type="default"/>
          <w:footerReference r:id="rId12" w:type="even"/>
          <w:pgSz w:w="11906" w:h="16838"/>
          <w:pgMar w:top="1440" w:right="1803" w:bottom="1440" w:left="1803" w:header="851" w:footer="1587" w:gutter="0"/>
          <w:pgNumType w:start="1"/>
          <w:cols w:space="0" w:num="1"/>
          <w:titlePg/>
          <w:docGrid w:type="lines" w:linePitch="312" w:charSpace="0"/>
        </w:sectPr>
      </w:pPr>
    </w:p>
    <w:sdt>
      <w:sdtPr>
        <w:rPr>
          <w:rFonts w:ascii="仿宋_GB2312" w:hAnsi="仿宋_GB2312"/>
          <w:b/>
          <w:bCs/>
          <w:color w:val="000000" w:themeColor="text1"/>
          <w:sz w:val="40"/>
          <w:szCs w:val="40"/>
          <w:lang w:val="zh-CN"/>
          <w14:textFill>
            <w14:solidFill>
              <w14:schemeClr w14:val="tx1"/>
            </w14:solidFill>
          </w14:textFill>
        </w:rPr>
        <w:id w:val="183109652"/>
        <w:docPartObj>
          <w:docPartGallery w:val="Table of Contents"/>
          <w:docPartUnique/>
        </w:docPartObj>
      </w:sdtPr>
      <w:sdtEndPr>
        <w:rPr>
          <w:rFonts w:ascii="仿宋_GB2312" w:hAnsi="Times New Roman"/>
          <w:b/>
          <w:bCs/>
          <w:color w:val="auto"/>
          <w:sz w:val="40"/>
          <w:szCs w:val="40"/>
          <w:lang w:val="zh-CN"/>
        </w:rPr>
      </w:sdtEndPr>
      <w:sdtContent>
        <w:p w14:paraId="3E4027E4">
          <w:pPr>
            <w:ind w:firstLine="0" w:firstLineChars="0"/>
            <w:jc w:val="center"/>
            <w:rPr>
              <w:rFonts w:hint="eastAsia" w:ascii="黑体" w:hAnsi="黑体" w:eastAsia="黑体"/>
              <w:color w:val="000000" w:themeColor="text1"/>
              <w:sz w:val="40"/>
              <w:szCs w:val="40"/>
              <w14:textFill>
                <w14:solidFill>
                  <w14:schemeClr w14:val="tx1"/>
                </w14:solidFill>
              </w14:textFill>
            </w:rPr>
          </w:pPr>
          <w:bookmarkStart w:id="0" w:name="_Toc26948"/>
          <w:bookmarkStart w:id="1" w:name="_Toc9020"/>
          <w:bookmarkStart w:id="2" w:name="_Toc32561"/>
          <w:bookmarkStart w:id="3" w:name="_Toc15670"/>
          <w:bookmarkStart w:id="4" w:name="_Toc31717"/>
          <w:bookmarkStart w:id="5" w:name="_Toc21025"/>
          <w:r>
            <w:rPr>
              <w:rFonts w:ascii="黑体" w:hAnsi="黑体" w:eastAsia="黑体"/>
              <w:color w:val="000000" w:themeColor="text1"/>
              <w:sz w:val="36"/>
              <w:szCs w:val="36"/>
              <w:lang w:val="zh-CN"/>
              <w14:textFill>
                <w14:solidFill>
                  <w14:schemeClr w14:val="tx1"/>
                </w14:solidFill>
              </w14:textFill>
            </w:rPr>
            <w:t>目</w:t>
          </w:r>
          <w:r>
            <w:rPr>
              <w:rFonts w:hint="eastAsia" w:ascii="黑体" w:hAnsi="黑体" w:eastAsia="黑体"/>
              <w:color w:val="000000" w:themeColor="text1"/>
              <w:sz w:val="36"/>
              <w:szCs w:val="36"/>
              <w:lang w:val="zh-CN"/>
              <w14:textFill>
                <w14:solidFill>
                  <w14:schemeClr w14:val="tx1"/>
                </w14:solidFill>
              </w14:textFill>
            </w:rPr>
            <w:t xml:space="preserve">  </w:t>
          </w:r>
          <w:r>
            <w:rPr>
              <w:rFonts w:ascii="黑体" w:hAnsi="黑体" w:eastAsia="黑体"/>
              <w:color w:val="000000" w:themeColor="text1"/>
              <w:sz w:val="36"/>
              <w:szCs w:val="36"/>
              <w:lang w:val="zh-CN"/>
              <w14:textFill>
                <w14:solidFill>
                  <w14:schemeClr w14:val="tx1"/>
                </w14:solidFill>
              </w14:textFill>
            </w:rPr>
            <w:t>录</w:t>
          </w:r>
        </w:p>
        <w:p w14:paraId="3E472687">
          <w:pPr>
            <w:pStyle w:val="16"/>
            <w:tabs>
              <w:tab w:val="right" w:leader="dot" w:pos="8303"/>
            </w:tabs>
          </w:pPr>
          <w:r>
            <w:rPr>
              <w:rFonts w:hint="eastAsia"/>
            </w:rPr>
            <w:fldChar w:fldCharType="begin"/>
          </w:r>
          <w:r>
            <w:rPr>
              <w:rFonts w:hint="eastAsia"/>
            </w:rPr>
            <w:instrText xml:space="preserve"> </w:instrText>
          </w:r>
          <w:r>
            <w:instrText xml:space="preserve">TOC \o "1-2" \h \z \u</w:instrText>
          </w:r>
          <w:r>
            <w:rPr>
              <w:rFonts w:hint="eastAsia"/>
            </w:rPr>
            <w:instrText xml:space="preserve"> </w:instrText>
          </w:r>
          <w:r>
            <w:rPr>
              <w:rFonts w:hint="eastAsia"/>
            </w:rPr>
            <w:fldChar w:fldCharType="separate"/>
          </w:r>
          <w:r>
            <w:fldChar w:fldCharType="begin"/>
          </w:r>
          <w:r>
            <w:instrText xml:space="preserve"> HYPERLINK \l "_Toc28309" </w:instrText>
          </w:r>
          <w:r>
            <w:fldChar w:fldCharType="separate"/>
          </w:r>
          <w:r>
            <w:rPr>
              <w:rFonts w:hint="eastAsia"/>
            </w:rPr>
            <w:t>第一章 发展现状和形势</w:t>
          </w:r>
          <w:r>
            <w:tab/>
          </w:r>
          <w:r>
            <w:fldChar w:fldCharType="begin"/>
          </w:r>
          <w:r>
            <w:instrText xml:space="preserve"> PAGEREF _Toc28309 \h </w:instrText>
          </w:r>
          <w:r>
            <w:fldChar w:fldCharType="separate"/>
          </w:r>
          <w:r>
            <w:t>- 1 -</w:t>
          </w:r>
          <w:r>
            <w:fldChar w:fldCharType="end"/>
          </w:r>
          <w:r>
            <w:fldChar w:fldCharType="end"/>
          </w:r>
        </w:p>
        <w:p w14:paraId="4A9DEB93">
          <w:pPr>
            <w:pStyle w:val="17"/>
            <w:tabs>
              <w:tab w:val="right" w:leader="dot" w:pos="8303"/>
            </w:tabs>
            <w:ind w:firstLine="600"/>
          </w:pPr>
          <w:r>
            <w:fldChar w:fldCharType="begin"/>
          </w:r>
          <w:r>
            <w:instrText xml:space="preserve"> HYPERLINK \l "_Toc8944" </w:instrText>
          </w:r>
          <w:r>
            <w:fldChar w:fldCharType="separate"/>
          </w:r>
          <w:r>
            <w:rPr>
              <w:rFonts w:hint="eastAsia"/>
            </w:rPr>
            <w:t>第一节 发展现状</w:t>
          </w:r>
          <w:r>
            <w:tab/>
          </w:r>
          <w:r>
            <w:fldChar w:fldCharType="begin"/>
          </w:r>
          <w:r>
            <w:instrText xml:space="preserve"> PAGEREF _Toc8944 \h </w:instrText>
          </w:r>
          <w:r>
            <w:fldChar w:fldCharType="separate"/>
          </w:r>
          <w:r>
            <w:t>- 1 -</w:t>
          </w:r>
          <w:r>
            <w:fldChar w:fldCharType="end"/>
          </w:r>
          <w:r>
            <w:fldChar w:fldCharType="end"/>
          </w:r>
        </w:p>
        <w:p w14:paraId="27633AC6">
          <w:pPr>
            <w:pStyle w:val="17"/>
            <w:tabs>
              <w:tab w:val="right" w:leader="dot" w:pos="8303"/>
            </w:tabs>
            <w:ind w:firstLine="600"/>
          </w:pPr>
          <w:r>
            <w:fldChar w:fldCharType="begin"/>
          </w:r>
          <w:r>
            <w:instrText xml:space="preserve"> HYPERLINK \l "_Toc6009" </w:instrText>
          </w:r>
          <w:r>
            <w:fldChar w:fldCharType="separate"/>
          </w:r>
          <w:r>
            <w:rPr>
              <w:rFonts w:hint="eastAsia"/>
            </w:rPr>
            <w:t>第二节 面临形势</w:t>
          </w:r>
          <w:r>
            <w:tab/>
          </w:r>
          <w:r>
            <w:fldChar w:fldCharType="begin"/>
          </w:r>
          <w:r>
            <w:instrText xml:space="preserve"> PAGEREF _Toc6009 \h </w:instrText>
          </w:r>
          <w:r>
            <w:fldChar w:fldCharType="separate"/>
          </w:r>
          <w:r>
            <w:t>- 5 -</w:t>
          </w:r>
          <w:r>
            <w:fldChar w:fldCharType="end"/>
          </w:r>
          <w:r>
            <w:fldChar w:fldCharType="end"/>
          </w:r>
        </w:p>
        <w:p w14:paraId="24D285A3">
          <w:pPr>
            <w:pStyle w:val="16"/>
            <w:tabs>
              <w:tab w:val="right" w:leader="dot" w:pos="8303"/>
            </w:tabs>
          </w:pPr>
          <w:r>
            <w:fldChar w:fldCharType="begin"/>
          </w:r>
          <w:r>
            <w:instrText xml:space="preserve"> HYPERLINK \l "_Toc31234" </w:instrText>
          </w:r>
          <w:r>
            <w:fldChar w:fldCharType="separate"/>
          </w:r>
          <w:r>
            <w:rPr>
              <w:rFonts w:hint="eastAsia"/>
            </w:rPr>
            <w:t>第二章 总体要求</w:t>
          </w:r>
          <w:r>
            <w:tab/>
          </w:r>
          <w:r>
            <w:fldChar w:fldCharType="begin"/>
          </w:r>
          <w:r>
            <w:instrText xml:space="preserve"> PAGEREF _Toc31234 \h </w:instrText>
          </w:r>
          <w:r>
            <w:fldChar w:fldCharType="separate"/>
          </w:r>
          <w:r>
            <w:t>- 8 -</w:t>
          </w:r>
          <w:r>
            <w:fldChar w:fldCharType="end"/>
          </w:r>
          <w:r>
            <w:fldChar w:fldCharType="end"/>
          </w:r>
        </w:p>
        <w:p w14:paraId="3B5D9189">
          <w:pPr>
            <w:pStyle w:val="17"/>
            <w:tabs>
              <w:tab w:val="right" w:leader="dot" w:pos="8303"/>
            </w:tabs>
            <w:ind w:firstLine="600"/>
          </w:pPr>
          <w:r>
            <w:fldChar w:fldCharType="begin"/>
          </w:r>
          <w:r>
            <w:instrText xml:space="preserve"> HYPERLINK \l "_Toc29476" </w:instrText>
          </w:r>
          <w:r>
            <w:fldChar w:fldCharType="separate"/>
          </w:r>
          <w:r>
            <w:rPr>
              <w:rFonts w:hint="eastAsia"/>
            </w:rPr>
            <w:t>第一节 指导思想</w:t>
          </w:r>
          <w:r>
            <w:tab/>
          </w:r>
          <w:r>
            <w:fldChar w:fldCharType="begin"/>
          </w:r>
          <w:r>
            <w:instrText xml:space="preserve"> PAGEREF _Toc29476 \h </w:instrText>
          </w:r>
          <w:r>
            <w:fldChar w:fldCharType="separate"/>
          </w:r>
          <w:r>
            <w:t>- 8 -</w:t>
          </w:r>
          <w:r>
            <w:fldChar w:fldCharType="end"/>
          </w:r>
          <w:r>
            <w:fldChar w:fldCharType="end"/>
          </w:r>
        </w:p>
        <w:p w14:paraId="0FA50E03">
          <w:pPr>
            <w:pStyle w:val="17"/>
            <w:tabs>
              <w:tab w:val="right" w:leader="dot" w:pos="8303"/>
            </w:tabs>
            <w:ind w:firstLine="600"/>
          </w:pPr>
          <w:r>
            <w:fldChar w:fldCharType="begin"/>
          </w:r>
          <w:r>
            <w:instrText xml:space="preserve"> HYPERLINK \l "_Toc16890" </w:instrText>
          </w:r>
          <w:r>
            <w:fldChar w:fldCharType="separate"/>
          </w:r>
          <w:r>
            <w:rPr>
              <w:rFonts w:hint="eastAsia"/>
            </w:rPr>
            <w:t>第二节 思路定位</w:t>
          </w:r>
          <w:r>
            <w:tab/>
          </w:r>
          <w:r>
            <w:fldChar w:fldCharType="begin"/>
          </w:r>
          <w:r>
            <w:instrText xml:space="preserve"> PAGEREF _Toc16890 \h </w:instrText>
          </w:r>
          <w:r>
            <w:fldChar w:fldCharType="separate"/>
          </w:r>
          <w:r>
            <w:t>- 8 -</w:t>
          </w:r>
          <w:r>
            <w:fldChar w:fldCharType="end"/>
          </w:r>
          <w:r>
            <w:fldChar w:fldCharType="end"/>
          </w:r>
        </w:p>
        <w:p w14:paraId="4A174961">
          <w:pPr>
            <w:pStyle w:val="17"/>
            <w:tabs>
              <w:tab w:val="right" w:leader="dot" w:pos="8303"/>
            </w:tabs>
            <w:ind w:firstLine="600"/>
          </w:pPr>
          <w:r>
            <w:fldChar w:fldCharType="begin"/>
          </w:r>
          <w:r>
            <w:instrText xml:space="preserve"> HYPERLINK \l "_Toc4471" </w:instrText>
          </w:r>
          <w:r>
            <w:fldChar w:fldCharType="separate"/>
          </w:r>
          <w:r>
            <w:rPr>
              <w:rFonts w:hint="eastAsia"/>
            </w:rPr>
            <w:t>第三节 发展原则</w:t>
          </w:r>
          <w:r>
            <w:tab/>
          </w:r>
          <w:r>
            <w:fldChar w:fldCharType="begin"/>
          </w:r>
          <w:r>
            <w:instrText xml:space="preserve"> PAGEREF _Toc4471 \h </w:instrText>
          </w:r>
          <w:r>
            <w:fldChar w:fldCharType="separate"/>
          </w:r>
          <w:r>
            <w:t>- 10 -</w:t>
          </w:r>
          <w:r>
            <w:fldChar w:fldCharType="end"/>
          </w:r>
          <w:r>
            <w:fldChar w:fldCharType="end"/>
          </w:r>
        </w:p>
        <w:p w14:paraId="7A66E23B">
          <w:pPr>
            <w:pStyle w:val="17"/>
            <w:tabs>
              <w:tab w:val="right" w:leader="dot" w:pos="8303"/>
            </w:tabs>
            <w:ind w:firstLine="600"/>
          </w:pPr>
          <w:r>
            <w:fldChar w:fldCharType="begin"/>
          </w:r>
          <w:r>
            <w:instrText xml:space="preserve"> HYPERLINK \l "_Toc28403" </w:instrText>
          </w:r>
          <w:r>
            <w:fldChar w:fldCharType="separate"/>
          </w:r>
          <w:r>
            <w:rPr>
              <w:rFonts w:hint="eastAsia"/>
            </w:rPr>
            <w:t>第四节 总体目标</w:t>
          </w:r>
          <w:r>
            <w:tab/>
          </w:r>
          <w:r>
            <w:fldChar w:fldCharType="begin"/>
          </w:r>
          <w:r>
            <w:instrText xml:space="preserve"> PAGEREF _Toc28403 \h </w:instrText>
          </w:r>
          <w:r>
            <w:fldChar w:fldCharType="separate"/>
          </w:r>
          <w:r>
            <w:t>- 11 -</w:t>
          </w:r>
          <w:r>
            <w:fldChar w:fldCharType="end"/>
          </w:r>
          <w:r>
            <w:fldChar w:fldCharType="end"/>
          </w:r>
        </w:p>
        <w:p w14:paraId="5801E306">
          <w:pPr>
            <w:pStyle w:val="16"/>
            <w:tabs>
              <w:tab w:val="right" w:leader="dot" w:pos="8303"/>
            </w:tabs>
          </w:pPr>
          <w:r>
            <w:fldChar w:fldCharType="begin"/>
          </w:r>
          <w:r>
            <w:instrText xml:space="preserve"> HYPERLINK \l "_Toc13017" </w:instrText>
          </w:r>
          <w:r>
            <w:fldChar w:fldCharType="separate"/>
          </w:r>
          <w:r>
            <w:rPr>
              <w:rFonts w:hint="eastAsia"/>
            </w:rPr>
            <w:t>第三章 引育特色产业集群，激活产业跃升动能</w:t>
          </w:r>
          <w:r>
            <w:tab/>
          </w:r>
          <w:r>
            <w:fldChar w:fldCharType="begin"/>
          </w:r>
          <w:r>
            <w:instrText xml:space="preserve"> PAGEREF _Toc13017 \h </w:instrText>
          </w:r>
          <w:r>
            <w:fldChar w:fldCharType="separate"/>
          </w:r>
          <w:r>
            <w:t>- 14 -</w:t>
          </w:r>
          <w:r>
            <w:fldChar w:fldCharType="end"/>
          </w:r>
          <w:r>
            <w:fldChar w:fldCharType="end"/>
          </w:r>
        </w:p>
        <w:p w14:paraId="5B6F451B">
          <w:pPr>
            <w:pStyle w:val="17"/>
            <w:tabs>
              <w:tab w:val="right" w:leader="dot" w:pos="8303"/>
            </w:tabs>
            <w:ind w:firstLine="600"/>
          </w:pPr>
          <w:r>
            <w:fldChar w:fldCharType="begin"/>
          </w:r>
          <w:r>
            <w:instrText xml:space="preserve"> HYPERLINK \l "_Toc20875" </w:instrText>
          </w:r>
          <w:r>
            <w:fldChar w:fldCharType="separate"/>
          </w:r>
          <w:r>
            <w:rPr>
              <w:rFonts w:hint="eastAsia"/>
            </w:rPr>
            <w:t>第一节 培育发展</w:t>
          </w:r>
          <w:r>
            <w:t>绿色算力产业</w:t>
          </w:r>
          <w:r>
            <w:tab/>
          </w:r>
          <w:r>
            <w:fldChar w:fldCharType="begin"/>
          </w:r>
          <w:r>
            <w:instrText xml:space="preserve"> PAGEREF _Toc20875 \h </w:instrText>
          </w:r>
          <w:r>
            <w:fldChar w:fldCharType="separate"/>
          </w:r>
          <w:r>
            <w:t>- 14 -</w:t>
          </w:r>
          <w:r>
            <w:fldChar w:fldCharType="end"/>
          </w:r>
          <w:r>
            <w:fldChar w:fldCharType="end"/>
          </w:r>
        </w:p>
        <w:p w14:paraId="56BAF42D">
          <w:pPr>
            <w:pStyle w:val="17"/>
            <w:tabs>
              <w:tab w:val="right" w:leader="dot" w:pos="8303"/>
            </w:tabs>
            <w:ind w:firstLine="600"/>
          </w:pPr>
          <w:r>
            <w:fldChar w:fldCharType="begin"/>
          </w:r>
          <w:r>
            <w:instrText xml:space="preserve"> HYPERLINK \l "_Toc30710" </w:instrText>
          </w:r>
          <w:r>
            <w:fldChar w:fldCharType="separate"/>
          </w:r>
          <w:r>
            <w:rPr>
              <w:rFonts w:hint="eastAsia"/>
            </w:rPr>
            <w:t xml:space="preserve">第二节 </w:t>
          </w:r>
          <w:r>
            <w:t>积极发展特色数据产业</w:t>
          </w:r>
          <w:r>
            <w:tab/>
          </w:r>
          <w:r>
            <w:fldChar w:fldCharType="begin"/>
          </w:r>
          <w:r>
            <w:instrText xml:space="preserve"> PAGEREF _Toc30710 \h </w:instrText>
          </w:r>
          <w:r>
            <w:fldChar w:fldCharType="separate"/>
          </w:r>
          <w:r>
            <w:t>- 16 -</w:t>
          </w:r>
          <w:r>
            <w:fldChar w:fldCharType="end"/>
          </w:r>
          <w:r>
            <w:fldChar w:fldCharType="end"/>
          </w:r>
        </w:p>
        <w:p w14:paraId="5D36343E">
          <w:pPr>
            <w:pStyle w:val="17"/>
            <w:tabs>
              <w:tab w:val="right" w:leader="dot" w:pos="8303"/>
            </w:tabs>
            <w:ind w:firstLine="600"/>
          </w:pPr>
          <w:r>
            <w:fldChar w:fldCharType="begin"/>
          </w:r>
          <w:r>
            <w:instrText xml:space="preserve"> HYPERLINK \l "_Toc30751" </w:instrText>
          </w:r>
          <w:r>
            <w:fldChar w:fldCharType="separate"/>
          </w:r>
          <w:r>
            <w:rPr>
              <w:rFonts w:hint="eastAsia"/>
            </w:rPr>
            <w:t>第三节 延链发展</w:t>
          </w:r>
          <w:r>
            <w:t>智能</w:t>
          </w:r>
          <w:r>
            <w:rPr>
              <w:rFonts w:hint="eastAsia"/>
            </w:rPr>
            <w:t>制造</w:t>
          </w:r>
          <w:r>
            <w:t>产业</w:t>
          </w:r>
          <w:r>
            <w:tab/>
          </w:r>
          <w:r>
            <w:fldChar w:fldCharType="begin"/>
          </w:r>
          <w:r>
            <w:instrText xml:space="preserve"> PAGEREF _Toc30751 \h </w:instrText>
          </w:r>
          <w:r>
            <w:fldChar w:fldCharType="separate"/>
          </w:r>
          <w:r>
            <w:t>- 18 -</w:t>
          </w:r>
          <w:r>
            <w:fldChar w:fldCharType="end"/>
          </w:r>
          <w:r>
            <w:fldChar w:fldCharType="end"/>
          </w:r>
        </w:p>
        <w:p w14:paraId="037F1CD2">
          <w:pPr>
            <w:pStyle w:val="17"/>
            <w:tabs>
              <w:tab w:val="right" w:leader="dot" w:pos="8303"/>
            </w:tabs>
            <w:ind w:firstLine="600"/>
          </w:pPr>
          <w:r>
            <w:fldChar w:fldCharType="begin"/>
          </w:r>
          <w:r>
            <w:instrText xml:space="preserve"> HYPERLINK \l "_Toc27797" </w:instrText>
          </w:r>
          <w:r>
            <w:fldChar w:fldCharType="separate"/>
          </w:r>
          <w:r>
            <w:rPr>
              <w:rFonts w:hint="eastAsia"/>
            </w:rPr>
            <w:t>第四节 探索发展</w:t>
          </w:r>
          <w:r>
            <w:t>低空经济产业</w:t>
          </w:r>
          <w:r>
            <w:tab/>
          </w:r>
          <w:r>
            <w:fldChar w:fldCharType="begin"/>
          </w:r>
          <w:r>
            <w:instrText xml:space="preserve"> PAGEREF _Toc27797 \h </w:instrText>
          </w:r>
          <w:r>
            <w:fldChar w:fldCharType="separate"/>
          </w:r>
          <w:r>
            <w:t>- 20 -</w:t>
          </w:r>
          <w:r>
            <w:fldChar w:fldCharType="end"/>
          </w:r>
          <w:r>
            <w:fldChar w:fldCharType="end"/>
          </w:r>
        </w:p>
        <w:p w14:paraId="3E816627">
          <w:pPr>
            <w:pStyle w:val="17"/>
            <w:tabs>
              <w:tab w:val="right" w:leader="dot" w:pos="8303"/>
            </w:tabs>
            <w:ind w:firstLine="600"/>
          </w:pPr>
          <w:r>
            <w:fldChar w:fldCharType="begin"/>
          </w:r>
          <w:r>
            <w:instrText xml:space="preserve"> HYPERLINK \l "_Toc719" </w:instrText>
          </w:r>
          <w:r>
            <w:fldChar w:fldCharType="separate"/>
          </w:r>
          <w:r>
            <w:rPr>
              <w:rFonts w:hint="eastAsia"/>
            </w:rPr>
            <w:t xml:space="preserve">第五节 </w:t>
          </w:r>
          <w:r>
            <w:t>布局</w:t>
          </w:r>
          <w:r>
            <w:rPr>
              <w:rFonts w:hint="eastAsia"/>
            </w:rPr>
            <w:t>发展</w:t>
          </w:r>
          <w:r>
            <w:t>人工智能产业</w:t>
          </w:r>
          <w:r>
            <w:tab/>
          </w:r>
          <w:r>
            <w:fldChar w:fldCharType="begin"/>
          </w:r>
          <w:r>
            <w:instrText xml:space="preserve"> PAGEREF _Toc719 \h </w:instrText>
          </w:r>
          <w:r>
            <w:fldChar w:fldCharType="separate"/>
          </w:r>
          <w:r>
            <w:t>- 21 -</w:t>
          </w:r>
          <w:r>
            <w:fldChar w:fldCharType="end"/>
          </w:r>
          <w:r>
            <w:fldChar w:fldCharType="end"/>
          </w:r>
        </w:p>
        <w:p w14:paraId="0538B30C">
          <w:pPr>
            <w:pStyle w:val="16"/>
            <w:tabs>
              <w:tab w:val="right" w:leader="dot" w:pos="8303"/>
            </w:tabs>
          </w:pPr>
          <w:r>
            <w:fldChar w:fldCharType="begin"/>
          </w:r>
          <w:r>
            <w:instrText xml:space="preserve"> HYPERLINK \l "_Toc11777" </w:instrText>
          </w:r>
          <w:r>
            <w:fldChar w:fldCharType="separate"/>
          </w:r>
          <w:r>
            <w:rPr>
              <w:rFonts w:hint="eastAsia"/>
            </w:rPr>
            <w:t>第四章 推进实数深度融合，赋能实体经济发展</w:t>
          </w:r>
          <w:r>
            <w:tab/>
          </w:r>
          <w:r>
            <w:fldChar w:fldCharType="begin"/>
          </w:r>
          <w:r>
            <w:instrText xml:space="preserve"> PAGEREF _Toc11777 \h </w:instrText>
          </w:r>
          <w:r>
            <w:fldChar w:fldCharType="separate"/>
          </w:r>
          <w:r>
            <w:t>- 24 -</w:t>
          </w:r>
          <w:r>
            <w:fldChar w:fldCharType="end"/>
          </w:r>
          <w:r>
            <w:fldChar w:fldCharType="end"/>
          </w:r>
        </w:p>
        <w:p w14:paraId="6B3994C5">
          <w:pPr>
            <w:pStyle w:val="17"/>
            <w:tabs>
              <w:tab w:val="right" w:leader="dot" w:pos="8303"/>
            </w:tabs>
            <w:ind w:firstLine="600"/>
          </w:pPr>
          <w:r>
            <w:fldChar w:fldCharType="begin"/>
          </w:r>
          <w:r>
            <w:instrText xml:space="preserve"> HYPERLINK \l "_Toc18616" </w:instrText>
          </w:r>
          <w:r>
            <w:fldChar w:fldCharType="separate"/>
          </w:r>
          <w:r>
            <w:rPr>
              <w:rFonts w:hint="eastAsia"/>
            </w:rPr>
            <w:t>第一节 推动特色农业数智综合发展</w:t>
          </w:r>
          <w:r>
            <w:tab/>
          </w:r>
          <w:r>
            <w:fldChar w:fldCharType="begin"/>
          </w:r>
          <w:r>
            <w:instrText xml:space="preserve"> PAGEREF _Toc18616 \h </w:instrText>
          </w:r>
          <w:r>
            <w:fldChar w:fldCharType="separate"/>
          </w:r>
          <w:r>
            <w:t>- 24 -</w:t>
          </w:r>
          <w:r>
            <w:fldChar w:fldCharType="end"/>
          </w:r>
          <w:r>
            <w:fldChar w:fldCharType="end"/>
          </w:r>
        </w:p>
        <w:p w14:paraId="1B0D395D">
          <w:pPr>
            <w:pStyle w:val="17"/>
            <w:tabs>
              <w:tab w:val="right" w:leader="dot" w:pos="8303"/>
            </w:tabs>
            <w:ind w:firstLine="600"/>
          </w:pPr>
          <w:r>
            <w:fldChar w:fldCharType="begin"/>
          </w:r>
          <w:r>
            <w:instrText xml:space="preserve"> HYPERLINK \l "_Toc12762" </w:instrText>
          </w:r>
          <w:r>
            <w:fldChar w:fldCharType="separate"/>
          </w:r>
          <w:r>
            <w:rPr>
              <w:rFonts w:hint="eastAsia"/>
            </w:rPr>
            <w:t>第二节 加快工业智能制造全面升级</w:t>
          </w:r>
          <w:r>
            <w:tab/>
          </w:r>
          <w:r>
            <w:fldChar w:fldCharType="begin"/>
          </w:r>
          <w:r>
            <w:instrText xml:space="preserve"> PAGEREF _Toc12762 \h </w:instrText>
          </w:r>
          <w:r>
            <w:fldChar w:fldCharType="separate"/>
          </w:r>
          <w:r>
            <w:t>- 26 -</w:t>
          </w:r>
          <w:r>
            <w:fldChar w:fldCharType="end"/>
          </w:r>
          <w:r>
            <w:fldChar w:fldCharType="end"/>
          </w:r>
        </w:p>
        <w:p w14:paraId="655E588F">
          <w:pPr>
            <w:pStyle w:val="17"/>
            <w:tabs>
              <w:tab w:val="right" w:leader="dot" w:pos="8303"/>
            </w:tabs>
            <w:ind w:firstLine="600"/>
          </w:pPr>
          <w:r>
            <w:fldChar w:fldCharType="begin"/>
          </w:r>
          <w:r>
            <w:instrText xml:space="preserve"> HYPERLINK \l "_Toc24593" </w:instrText>
          </w:r>
          <w:r>
            <w:fldChar w:fldCharType="separate"/>
          </w:r>
          <w:r>
            <w:rPr>
              <w:rFonts w:hint="eastAsia"/>
            </w:rPr>
            <w:t>第三节 提升现代服务业数智化水平</w:t>
          </w:r>
          <w:r>
            <w:tab/>
          </w:r>
          <w:r>
            <w:fldChar w:fldCharType="begin"/>
          </w:r>
          <w:r>
            <w:instrText xml:space="preserve"> PAGEREF _Toc24593 \h </w:instrText>
          </w:r>
          <w:r>
            <w:fldChar w:fldCharType="separate"/>
          </w:r>
          <w:r>
            <w:t>- 27 -</w:t>
          </w:r>
          <w:r>
            <w:fldChar w:fldCharType="end"/>
          </w:r>
          <w:r>
            <w:fldChar w:fldCharType="end"/>
          </w:r>
        </w:p>
        <w:p w14:paraId="6F78537E">
          <w:pPr>
            <w:pStyle w:val="16"/>
            <w:tabs>
              <w:tab w:val="right" w:leader="dot" w:pos="8303"/>
            </w:tabs>
          </w:pPr>
          <w:r>
            <w:fldChar w:fldCharType="begin"/>
          </w:r>
          <w:r>
            <w:instrText xml:space="preserve"> HYPERLINK \l "_Toc6214" </w:instrText>
          </w:r>
          <w:r>
            <w:fldChar w:fldCharType="separate"/>
          </w:r>
          <w:r>
            <w:rPr>
              <w:rFonts w:hint="eastAsia"/>
            </w:rPr>
            <w:t>第五章 优化数字治理环境，夯实产业发展根基</w:t>
          </w:r>
          <w:r>
            <w:tab/>
          </w:r>
          <w:r>
            <w:fldChar w:fldCharType="begin"/>
          </w:r>
          <w:r>
            <w:instrText xml:space="preserve"> PAGEREF _Toc6214 \h </w:instrText>
          </w:r>
          <w:r>
            <w:fldChar w:fldCharType="separate"/>
          </w:r>
          <w:r>
            <w:t>- 30 -</w:t>
          </w:r>
          <w:r>
            <w:fldChar w:fldCharType="end"/>
          </w:r>
          <w:r>
            <w:fldChar w:fldCharType="end"/>
          </w:r>
        </w:p>
        <w:p w14:paraId="7627F80A">
          <w:pPr>
            <w:pStyle w:val="17"/>
            <w:tabs>
              <w:tab w:val="right" w:leader="dot" w:pos="8303"/>
            </w:tabs>
            <w:ind w:firstLine="600"/>
          </w:pPr>
          <w:r>
            <w:fldChar w:fldCharType="begin"/>
          </w:r>
          <w:r>
            <w:instrText xml:space="preserve"> HYPERLINK \l "_Toc26630" </w:instrText>
          </w:r>
          <w:r>
            <w:fldChar w:fldCharType="separate"/>
          </w:r>
          <w:r>
            <w:rPr>
              <w:rFonts w:hint="eastAsia"/>
            </w:rPr>
            <w:t>第一节 完善统筹集约的数字基础设施体系</w:t>
          </w:r>
          <w:r>
            <w:tab/>
          </w:r>
          <w:r>
            <w:fldChar w:fldCharType="begin"/>
          </w:r>
          <w:r>
            <w:instrText xml:space="preserve"> PAGEREF _Toc26630 \h </w:instrText>
          </w:r>
          <w:r>
            <w:fldChar w:fldCharType="separate"/>
          </w:r>
          <w:r>
            <w:t>- 30 -</w:t>
          </w:r>
          <w:r>
            <w:fldChar w:fldCharType="end"/>
          </w:r>
          <w:r>
            <w:fldChar w:fldCharType="end"/>
          </w:r>
        </w:p>
        <w:p w14:paraId="76638DCB">
          <w:pPr>
            <w:pStyle w:val="17"/>
            <w:tabs>
              <w:tab w:val="right" w:leader="dot" w:pos="8303"/>
            </w:tabs>
            <w:ind w:firstLine="600"/>
          </w:pPr>
          <w:r>
            <w:fldChar w:fldCharType="begin"/>
          </w:r>
          <w:r>
            <w:instrText xml:space="preserve"> HYPERLINK \l "_Toc3293" </w:instrText>
          </w:r>
          <w:r>
            <w:fldChar w:fldCharType="separate"/>
          </w:r>
          <w:r>
            <w:rPr>
              <w:rFonts w:hint="eastAsia"/>
            </w:rPr>
            <w:t>第二节 构建高效便捷的数字治理服务体系</w:t>
          </w:r>
          <w:r>
            <w:tab/>
          </w:r>
          <w:r>
            <w:fldChar w:fldCharType="begin"/>
          </w:r>
          <w:r>
            <w:instrText xml:space="preserve"> PAGEREF _Toc3293 \h </w:instrText>
          </w:r>
          <w:r>
            <w:fldChar w:fldCharType="separate"/>
          </w:r>
          <w:r>
            <w:t>- 32 -</w:t>
          </w:r>
          <w:r>
            <w:fldChar w:fldCharType="end"/>
          </w:r>
          <w:r>
            <w:fldChar w:fldCharType="end"/>
          </w:r>
        </w:p>
        <w:p w14:paraId="64438FD1">
          <w:pPr>
            <w:pStyle w:val="17"/>
            <w:tabs>
              <w:tab w:val="right" w:leader="dot" w:pos="8303"/>
            </w:tabs>
            <w:ind w:firstLine="600"/>
          </w:pPr>
          <w:r>
            <w:fldChar w:fldCharType="begin"/>
          </w:r>
          <w:r>
            <w:instrText xml:space="preserve"> HYPERLINK \l "_Toc10881" </w:instrText>
          </w:r>
          <w:r>
            <w:fldChar w:fldCharType="separate"/>
          </w:r>
          <w:r>
            <w:rPr>
              <w:rFonts w:hint="eastAsia"/>
            </w:rPr>
            <w:t>第三节 构建科学适用的数字监测评估体系</w:t>
          </w:r>
          <w:r>
            <w:tab/>
          </w:r>
          <w:r>
            <w:fldChar w:fldCharType="begin"/>
          </w:r>
          <w:r>
            <w:instrText xml:space="preserve"> PAGEREF _Toc10881 \h </w:instrText>
          </w:r>
          <w:r>
            <w:fldChar w:fldCharType="separate"/>
          </w:r>
          <w:r>
            <w:t>- 33 -</w:t>
          </w:r>
          <w:r>
            <w:fldChar w:fldCharType="end"/>
          </w:r>
          <w:r>
            <w:fldChar w:fldCharType="end"/>
          </w:r>
        </w:p>
        <w:p w14:paraId="0EF1347F">
          <w:pPr>
            <w:pStyle w:val="17"/>
            <w:tabs>
              <w:tab w:val="right" w:leader="dot" w:pos="8303"/>
            </w:tabs>
            <w:ind w:firstLine="600"/>
          </w:pPr>
          <w:r>
            <w:fldChar w:fldCharType="begin"/>
          </w:r>
          <w:r>
            <w:instrText xml:space="preserve"> HYPERLINK \l "_Toc5063" </w:instrText>
          </w:r>
          <w:r>
            <w:fldChar w:fldCharType="separate"/>
          </w:r>
          <w:r>
            <w:rPr>
              <w:rFonts w:hint="eastAsia"/>
            </w:rPr>
            <w:t>第四节 构建引育结合的数字经济人才体系</w:t>
          </w:r>
          <w:r>
            <w:tab/>
          </w:r>
          <w:r>
            <w:fldChar w:fldCharType="begin"/>
          </w:r>
          <w:r>
            <w:instrText xml:space="preserve"> PAGEREF _Toc5063 \h </w:instrText>
          </w:r>
          <w:r>
            <w:fldChar w:fldCharType="separate"/>
          </w:r>
          <w:r>
            <w:t>- 34 -</w:t>
          </w:r>
          <w:r>
            <w:fldChar w:fldCharType="end"/>
          </w:r>
          <w:r>
            <w:fldChar w:fldCharType="end"/>
          </w:r>
        </w:p>
        <w:p w14:paraId="5677B15F">
          <w:pPr>
            <w:pStyle w:val="16"/>
            <w:tabs>
              <w:tab w:val="right" w:leader="dot" w:pos="8303"/>
            </w:tabs>
          </w:pPr>
          <w:r>
            <w:fldChar w:fldCharType="begin"/>
          </w:r>
          <w:r>
            <w:instrText xml:space="preserve"> HYPERLINK \l "_Toc7503" </w:instrText>
          </w:r>
          <w:r>
            <w:fldChar w:fldCharType="separate"/>
          </w:r>
          <w:r>
            <w:rPr>
              <w:rFonts w:hint="eastAsia"/>
            </w:rPr>
            <w:t>第六章 深化区域协同联动，构建开放合作生态</w:t>
          </w:r>
          <w:r>
            <w:tab/>
          </w:r>
          <w:r>
            <w:fldChar w:fldCharType="begin"/>
          </w:r>
          <w:r>
            <w:instrText xml:space="preserve"> PAGEREF _Toc7503 \h </w:instrText>
          </w:r>
          <w:r>
            <w:fldChar w:fldCharType="separate"/>
          </w:r>
          <w:r>
            <w:t>- 35 -</w:t>
          </w:r>
          <w:r>
            <w:fldChar w:fldCharType="end"/>
          </w:r>
          <w:r>
            <w:fldChar w:fldCharType="end"/>
          </w:r>
        </w:p>
        <w:p w14:paraId="48DC5D0E">
          <w:pPr>
            <w:pStyle w:val="17"/>
            <w:tabs>
              <w:tab w:val="right" w:leader="dot" w:pos="8303"/>
            </w:tabs>
            <w:ind w:firstLine="600"/>
          </w:pPr>
          <w:r>
            <w:fldChar w:fldCharType="begin"/>
          </w:r>
          <w:r>
            <w:instrText xml:space="preserve"> HYPERLINK \l "_Toc19677" </w:instrText>
          </w:r>
          <w:r>
            <w:fldChar w:fldCharType="separate"/>
          </w:r>
          <w:r>
            <w:rPr>
              <w:rFonts w:hint="eastAsia"/>
            </w:rPr>
            <w:t>第一节 深化兵地数字融合发展</w:t>
          </w:r>
          <w:r>
            <w:tab/>
          </w:r>
          <w:r>
            <w:fldChar w:fldCharType="begin"/>
          </w:r>
          <w:r>
            <w:instrText xml:space="preserve"> PAGEREF _Toc19677 \h </w:instrText>
          </w:r>
          <w:r>
            <w:fldChar w:fldCharType="separate"/>
          </w:r>
          <w:r>
            <w:t>- 35 -</w:t>
          </w:r>
          <w:r>
            <w:fldChar w:fldCharType="end"/>
          </w:r>
          <w:r>
            <w:fldChar w:fldCharType="end"/>
          </w:r>
        </w:p>
        <w:p w14:paraId="48EAD03B">
          <w:pPr>
            <w:pStyle w:val="17"/>
            <w:tabs>
              <w:tab w:val="right" w:leader="dot" w:pos="8303"/>
            </w:tabs>
            <w:ind w:firstLine="600"/>
          </w:pPr>
          <w:r>
            <w:fldChar w:fldCharType="begin"/>
          </w:r>
          <w:r>
            <w:instrText xml:space="preserve"> HYPERLINK \l "_Toc17717" </w:instrText>
          </w:r>
          <w:r>
            <w:fldChar w:fldCharType="separate"/>
          </w:r>
          <w:r>
            <w:rPr>
              <w:rFonts w:hint="eastAsia"/>
            </w:rPr>
            <w:t>第二节 强化跨域数字联动协作</w:t>
          </w:r>
          <w:r>
            <w:tab/>
          </w:r>
          <w:r>
            <w:fldChar w:fldCharType="begin"/>
          </w:r>
          <w:r>
            <w:instrText xml:space="preserve"> PAGEREF _Toc17717 \h </w:instrText>
          </w:r>
          <w:r>
            <w:fldChar w:fldCharType="separate"/>
          </w:r>
          <w:r>
            <w:t>- 35 -</w:t>
          </w:r>
          <w:r>
            <w:fldChar w:fldCharType="end"/>
          </w:r>
          <w:r>
            <w:fldChar w:fldCharType="end"/>
          </w:r>
        </w:p>
        <w:p w14:paraId="734341B8">
          <w:pPr>
            <w:pStyle w:val="17"/>
            <w:tabs>
              <w:tab w:val="right" w:leader="dot" w:pos="8303"/>
            </w:tabs>
            <w:ind w:firstLine="600"/>
          </w:pPr>
          <w:r>
            <w:fldChar w:fldCharType="begin"/>
          </w:r>
          <w:r>
            <w:instrText xml:space="preserve"> HYPERLINK \l "_Toc17619" </w:instrText>
          </w:r>
          <w:r>
            <w:fldChar w:fldCharType="separate"/>
          </w:r>
          <w:r>
            <w:rPr>
              <w:rFonts w:hint="eastAsia"/>
            </w:rPr>
            <w:t>第三节 拓展向西数字开放合作</w:t>
          </w:r>
          <w:r>
            <w:tab/>
          </w:r>
          <w:r>
            <w:fldChar w:fldCharType="begin"/>
          </w:r>
          <w:r>
            <w:instrText xml:space="preserve"> PAGEREF _Toc17619 \h </w:instrText>
          </w:r>
          <w:r>
            <w:fldChar w:fldCharType="separate"/>
          </w:r>
          <w:r>
            <w:t>- 36 -</w:t>
          </w:r>
          <w:r>
            <w:fldChar w:fldCharType="end"/>
          </w:r>
          <w:r>
            <w:fldChar w:fldCharType="end"/>
          </w:r>
        </w:p>
        <w:p w14:paraId="763D2B53">
          <w:pPr>
            <w:pStyle w:val="16"/>
            <w:tabs>
              <w:tab w:val="right" w:leader="dot" w:pos="8303"/>
            </w:tabs>
          </w:pPr>
          <w:r>
            <w:fldChar w:fldCharType="begin"/>
          </w:r>
          <w:r>
            <w:instrText xml:space="preserve"> HYPERLINK \l "_Toc21241" </w:instrText>
          </w:r>
          <w:r>
            <w:fldChar w:fldCharType="separate"/>
          </w:r>
          <w:r>
            <w:rPr>
              <w:rFonts w:hint="eastAsia"/>
            </w:rPr>
            <w:t>第七章 保障措施</w:t>
          </w:r>
          <w:r>
            <w:tab/>
          </w:r>
          <w:r>
            <w:fldChar w:fldCharType="begin"/>
          </w:r>
          <w:r>
            <w:instrText xml:space="preserve"> PAGEREF _Toc21241 \h </w:instrText>
          </w:r>
          <w:r>
            <w:fldChar w:fldCharType="separate"/>
          </w:r>
          <w:r>
            <w:t>- 38 -</w:t>
          </w:r>
          <w:r>
            <w:fldChar w:fldCharType="end"/>
          </w:r>
          <w:r>
            <w:fldChar w:fldCharType="end"/>
          </w:r>
        </w:p>
        <w:p w14:paraId="23B3F62E">
          <w:pPr>
            <w:pStyle w:val="17"/>
            <w:tabs>
              <w:tab w:val="right" w:leader="dot" w:pos="8303"/>
            </w:tabs>
            <w:ind w:firstLine="600"/>
          </w:pPr>
          <w:r>
            <w:fldChar w:fldCharType="begin"/>
          </w:r>
          <w:r>
            <w:instrText xml:space="preserve"> HYPERLINK \l "_Toc27828" </w:instrText>
          </w:r>
          <w:r>
            <w:fldChar w:fldCharType="separate"/>
          </w:r>
          <w:r>
            <w:rPr>
              <w:rFonts w:hint="eastAsia"/>
            </w:rPr>
            <w:t>第一节 强化组织领导保障</w:t>
          </w:r>
          <w:r>
            <w:tab/>
          </w:r>
          <w:r>
            <w:fldChar w:fldCharType="begin"/>
          </w:r>
          <w:r>
            <w:instrText xml:space="preserve"> PAGEREF _Toc27828 \h </w:instrText>
          </w:r>
          <w:r>
            <w:fldChar w:fldCharType="separate"/>
          </w:r>
          <w:r>
            <w:t>- 38 -</w:t>
          </w:r>
          <w:r>
            <w:fldChar w:fldCharType="end"/>
          </w:r>
          <w:r>
            <w:fldChar w:fldCharType="end"/>
          </w:r>
        </w:p>
        <w:p w14:paraId="49F81342">
          <w:pPr>
            <w:pStyle w:val="17"/>
            <w:tabs>
              <w:tab w:val="right" w:leader="dot" w:pos="8303"/>
            </w:tabs>
            <w:ind w:firstLine="600"/>
          </w:pPr>
          <w:r>
            <w:fldChar w:fldCharType="begin"/>
          </w:r>
          <w:r>
            <w:instrText xml:space="preserve"> HYPERLINK \l "_Toc20845" </w:instrText>
          </w:r>
          <w:r>
            <w:fldChar w:fldCharType="separate"/>
          </w:r>
          <w:r>
            <w:rPr>
              <w:rFonts w:hint="eastAsia"/>
            </w:rPr>
            <w:t>第二节 创新政策支持保障</w:t>
          </w:r>
          <w:r>
            <w:tab/>
          </w:r>
          <w:r>
            <w:fldChar w:fldCharType="begin"/>
          </w:r>
          <w:r>
            <w:instrText xml:space="preserve"> PAGEREF _Toc20845 \h </w:instrText>
          </w:r>
          <w:r>
            <w:fldChar w:fldCharType="separate"/>
          </w:r>
          <w:r>
            <w:t>- 38 -</w:t>
          </w:r>
          <w:r>
            <w:fldChar w:fldCharType="end"/>
          </w:r>
          <w:r>
            <w:fldChar w:fldCharType="end"/>
          </w:r>
        </w:p>
        <w:p w14:paraId="4D07AEEE">
          <w:pPr>
            <w:pStyle w:val="17"/>
            <w:tabs>
              <w:tab w:val="right" w:leader="dot" w:pos="8303"/>
            </w:tabs>
            <w:ind w:firstLine="600"/>
          </w:pPr>
          <w:r>
            <w:fldChar w:fldCharType="begin"/>
          </w:r>
          <w:r>
            <w:instrText xml:space="preserve"> HYPERLINK \l "_Toc21045" </w:instrText>
          </w:r>
          <w:r>
            <w:fldChar w:fldCharType="separate"/>
          </w:r>
          <w:r>
            <w:rPr>
              <w:rFonts w:hint="eastAsia"/>
            </w:rPr>
            <w:t>第三节 加大资金投入保障</w:t>
          </w:r>
          <w:r>
            <w:tab/>
          </w:r>
          <w:r>
            <w:fldChar w:fldCharType="begin"/>
          </w:r>
          <w:r>
            <w:instrText xml:space="preserve"> PAGEREF _Toc21045 \h </w:instrText>
          </w:r>
          <w:r>
            <w:fldChar w:fldCharType="separate"/>
          </w:r>
          <w:r>
            <w:t>- 38 -</w:t>
          </w:r>
          <w:r>
            <w:fldChar w:fldCharType="end"/>
          </w:r>
          <w:r>
            <w:fldChar w:fldCharType="end"/>
          </w:r>
        </w:p>
        <w:p w14:paraId="3ACEC624">
          <w:pPr>
            <w:pStyle w:val="17"/>
            <w:tabs>
              <w:tab w:val="right" w:leader="dot" w:pos="8303"/>
            </w:tabs>
            <w:ind w:firstLine="600"/>
          </w:pPr>
          <w:r>
            <w:fldChar w:fldCharType="begin"/>
          </w:r>
          <w:r>
            <w:instrText xml:space="preserve"> HYPERLINK \l "_Toc13554" </w:instrText>
          </w:r>
          <w:r>
            <w:fldChar w:fldCharType="separate"/>
          </w:r>
          <w:r>
            <w:rPr>
              <w:rFonts w:hint="eastAsia"/>
            </w:rPr>
            <w:t>第四节 加强数据安全保障</w:t>
          </w:r>
          <w:r>
            <w:tab/>
          </w:r>
          <w:r>
            <w:fldChar w:fldCharType="begin"/>
          </w:r>
          <w:r>
            <w:instrText xml:space="preserve"> PAGEREF _Toc13554 \h </w:instrText>
          </w:r>
          <w:r>
            <w:fldChar w:fldCharType="separate"/>
          </w:r>
          <w:r>
            <w:t>- 39 -</w:t>
          </w:r>
          <w:r>
            <w:fldChar w:fldCharType="end"/>
          </w:r>
          <w:r>
            <w:fldChar w:fldCharType="end"/>
          </w:r>
        </w:p>
        <w:p w14:paraId="29941936">
          <w:pPr>
            <w:pStyle w:val="16"/>
            <w:tabs>
              <w:tab w:val="right" w:leader="dot" w:pos="8303"/>
            </w:tabs>
          </w:pPr>
          <w:r>
            <w:fldChar w:fldCharType="begin"/>
          </w:r>
          <w:r>
            <w:instrText xml:space="preserve"> HYPERLINK \l "_Toc18348" </w:instrText>
          </w:r>
          <w:r>
            <w:fldChar w:fldCharType="separate"/>
          </w:r>
          <w:r>
            <w:rPr>
              <w:rFonts w:hint="eastAsia"/>
            </w:rPr>
            <w:t>附件：</w:t>
          </w:r>
          <w:r>
            <w:t>数字经济</w:t>
          </w:r>
          <w:r>
            <w:rPr>
              <w:rFonts w:hint="eastAsia"/>
            </w:rPr>
            <w:t>发展</w:t>
          </w:r>
          <w:r>
            <w:t>规划重大项目</w:t>
          </w:r>
          <w:r>
            <w:rPr>
              <w:rFonts w:hint="eastAsia"/>
            </w:rPr>
            <w:t>清单</w:t>
          </w:r>
          <w:r>
            <w:tab/>
          </w:r>
          <w:r>
            <w:fldChar w:fldCharType="begin"/>
          </w:r>
          <w:r>
            <w:instrText xml:space="preserve"> PAGEREF _Toc18348 \h </w:instrText>
          </w:r>
          <w:r>
            <w:fldChar w:fldCharType="separate"/>
          </w:r>
          <w:r>
            <w:t>- 40 -</w:t>
          </w:r>
          <w:r>
            <w:fldChar w:fldCharType="end"/>
          </w:r>
          <w:r>
            <w:fldChar w:fldCharType="end"/>
          </w:r>
        </w:p>
        <w:p w14:paraId="3198070F">
          <w:pPr>
            <w:ind w:firstLine="640"/>
          </w:pPr>
          <w:r>
            <w:rPr>
              <w:rFonts w:hint="eastAsia"/>
            </w:rPr>
            <w:fldChar w:fldCharType="end"/>
          </w:r>
        </w:p>
      </w:sdtContent>
    </w:sdt>
    <w:p w14:paraId="30538724">
      <w:pPr>
        <w:pStyle w:val="13"/>
        <w:ind w:firstLine="0" w:firstLineChars="0"/>
        <w:jc w:val="both"/>
        <w:sectPr>
          <w:footerReference r:id="rId14" w:type="default"/>
          <w:footerReference r:id="rId15" w:type="even"/>
          <w:pgSz w:w="11906" w:h="16838"/>
          <w:pgMar w:top="1440" w:right="1800" w:bottom="1440" w:left="1803" w:header="851" w:footer="992" w:gutter="0"/>
          <w:pgNumType w:fmt="upperRoman" w:start="1"/>
          <w:cols w:space="425" w:num="1"/>
          <w:docGrid w:type="lines" w:linePitch="312" w:charSpace="0"/>
        </w:sectPr>
      </w:pPr>
    </w:p>
    <w:p w14:paraId="0F744EDE">
      <w:pPr>
        <w:pStyle w:val="2"/>
        <w:ind w:firstLine="0"/>
        <w:rPr>
          <w:rFonts w:hint="eastAsia"/>
        </w:rPr>
      </w:pPr>
      <w:bookmarkStart w:id="6" w:name="_Toc10974"/>
      <w:bookmarkStart w:id="7" w:name="_Toc28309"/>
      <w:bookmarkStart w:id="8" w:name="_Toc13595"/>
      <w:bookmarkStart w:id="9" w:name="_Toc22393"/>
      <w:bookmarkStart w:id="10" w:name="_Toc25565"/>
      <w:bookmarkStart w:id="11" w:name="_Toc25417"/>
      <w:r>
        <w:rPr>
          <w:rFonts w:hint="eastAsia"/>
        </w:rPr>
        <w:t>发展现状和形势</w:t>
      </w:r>
      <w:bookmarkEnd w:id="6"/>
      <w:bookmarkEnd w:id="7"/>
      <w:bookmarkEnd w:id="8"/>
      <w:bookmarkEnd w:id="9"/>
      <w:bookmarkEnd w:id="10"/>
      <w:bookmarkEnd w:id="11"/>
    </w:p>
    <w:p w14:paraId="7C024581">
      <w:pPr>
        <w:pStyle w:val="3"/>
        <w:rPr>
          <w:rFonts w:hint="eastAsia"/>
        </w:rPr>
      </w:pPr>
      <w:bookmarkStart w:id="12" w:name="_Toc8944"/>
      <w:bookmarkStart w:id="13" w:name="_Toc27548"/>
      <w:bookmarkStart w:id="14" w:name="_Toc31712"/>
      <w:bookmarkStart w:id="15" w:name="_Toc4151"/>
      <w:bookmarkStart w:id="16" w:name="_Toc30458"/>
      <w:bookmarkStart w:id="17" w:name="_Toc32765"/>
      <w:bookmarkStart w:id="18" w:name="_Toc11686"/>
      <w:bookmarkStart w:id="19" w:name="_Toc6366"/>
      <w:bookmarkStart w:id="20" w:name="_Toc628"/>
      <w:r>
        <w:rPr>
          <w:rFonts w:hint="eastAsia"/>
        </w:rPr>
        <w:t>发展现状</w:t>
      </w:r>
      <w:bookmarkEnd w:id="12"/>
      <w:bookmarkEnd w:id="13"/>
      <w:bookmarkEnd w:id="14"/>
      <w:bookmarkEnd w:id="15"/>
    </w:p>
    <w:p w14:paraId="7E31622A">
      <w:pPr>
        <w:ind w:firstLine="640"/>
        <w:rPr>
          <w:rFonts w:hint="eastAsia" w:hAnsi="仿宋_GB2312"/>
        </w:rPr>
      </w:pPr>
      <w:r>
        <w:rPr>
          <w:rFonts w:hint="eastAsia" w:hAnsi="仿宋_GB2312"/>
        </w:rPr>
        <w:t>“十四五”时期，师市探索实施数字经济发展战略，不断完善数字基础设施，</w:t>
      </w:r>
      <w:r>
        <w:rPr>
          <w:color w:val="000000" w:themeColor="text1"/>
          <w14:textFill>
            <w14:solidFill>
              <w14:schemeClr w14:val="tx1"/>
            </w14:solidFill>
          </w14:textFill>
        </w:rPr>
        <w:t>推进数字产业化和产业数字化取得积极成效</w:t>
      </w:r>
      <w:r>
        <w:rPr>
          <w:rFonts w:hint="eastAsia" w:hAnsi="仿宋_GB2312"/>
        </w:rPr>
        <w:t>，数字化治理效能和数据要素价值释放初见成效。数字经济呈现零基础起步到稳步起势的良好发展态势，截至2024年，师市数字经济核心产业增加值达</w:t>
      </w:r>
      <w:r>
        <w:rPr>
          <w:rFonts w:hint="eastAsia" w:hAnsi="仿宋_GB2312"/>
          <w:lang w:val="en-US" w:eastAsia="zh-CN"/>
        </w:rPr>
        <w:t>XX</w:t>
      </w:r>
      <w:r>
        <w:rPr>
          <w:rFonts w:hint="eastAsia" w:hAnsi="仿宋_GB2312"/>
        </w:rPr>
        <w:t>万元，占GDP比重</w:t>
      </w:r>
      <w:r>
        <w:rPr>
          <w:rFonts w:hint="eastAsia" w:hAnsi="仿宋_GB2312"/>
          <w:lang w:val="en-US" w:eastAsia="zh-CN"/>
        </w:rPr>
        <w:t>XX</w:t>
      </w:r>
      <w:r>
        <w:rPr>
          <w:rFonts w:hint="eastAsia" w:hAnsi="仿宋_GB2312"/>
        </w:rPr>
        <w:t>%，成为推动师市经济社会发展的新引擎。</w:t>
      </w:r>
    </w:p>
    <w:p w14:paraId="478FF2A6">
      <w:pPr>
        <w:widowControl/>
        <w:ind w:firstLine="643"/>
      </w:pPr>
      <w:r>
        <w:rPr>
          <w:rFonts w:hint="eastAsia"/>
          <w:b/>
          <w:color w:val="000000" w:themeColor="text1"/>
          <w14:textFill>
            <w14:solidFill>
              <w14:schemeClr w14:val="tx1"/>
            </w14:solidFill>
          </w14:textFill>
        </w:rPr>
        <w:t>数字基础设施日趋完善。</w:t>
      </w:r>
      <w:r>
        <w:rPr>
          <w:rFonts w:hint="eastAsia"/>
          <w:b/>
          <w:bCs/>
        </w:rPr>
        <w:t>基础网络全域提质，</w:t>
      </w:r>
      <w:r>
        <w:rPr>
          <w:rFonts w:hint="eastAsia"/>
        </w:rPr>
        <w:t>累计建成5G基站</w:t>
      </w:r>
      <w:r>
        <w:rPr>
          <w:rFonts w:hint="eastAsia" w:hAnsi="仿宋_GB2312"/>
          <w:lang w:val="en-US" w:eastAsia="zh-CN"/>
        </w:rPr>
        <w:t>XX</w:t>
      </w:r>
      <w:r>
        <w:rPr>
          <w:rFonts w:hint="eastAsia"/>
        </w:rPr>
        <w:t>座，基本实现师团连队、城市商圈、产业园区、居民社区、公共场所等重点区域5G信号全覆盖</w:t>
      </w:r>
      <w:r>
        <w:rPr>
          <w:rFonts w:hint="eastAsia" w:hAnsi="仿宋_GB2312"/>
          <w:color w:val="000000"/>
        </w:rPr>
        <w:t>，千兆网络覆盖率</w:t>
      </w:r>
      <w:r>
        <w:rPr>
          <w:rFonts w:hint="eastAsia" w:hAnsi="仿宋_GB2312"/>
          <w:lang w:val="en-US" w:eastAsia="zh-CN"/>
        </w:rPr>
        <w:t>XX</w:t>
      </w:r>
      <w:r>
        <w:rPr>
          <w:rFonts w:hint="eastAsia" w:hAnsi="仿宋_GB2312"/>
          <w:color w:val="000000"/>
        </w:rPr>
        <w:t>%。</w:t>
      </w:r>
      <w:r>
        <w:rPr>
          <w:rFonts w:hint="eastAsia"/>
        </w:rPr>
        <w:t>建成师团连三级广电基础通信网络。</w:t>
      </w:r>
      <w:r>
        <w:rPr>
          <w:rFonts w:hint="eastAsia"/>
          <w:b/>
          <w:bCs/>
        </w:rPr>
        <w:t>政务云网贯通融合，</w:t>
      </w:r>
      <w:r>
        <w:rPr>
          <w:rFonts w:hint="eastAsia"/>
        </w:rPr>
        <w:t>统筹构建师市数据中心，实现师团连三级政务“一张网”贯通，完成师市政务“一朵云”建设，为师市</w:t>
      </w:r>
      <w:r>
        <w:rPr>
          <w:rFonts w:hint="eastAsia" w:hAnsi="仿宋_GB2312"/>
          <w:lang w:val="en-US" w:eastAsia="zh-CN"/>
        </w:rPr>
        <w:t>XX</w:t>
      </w:r>
      <w:r>
        <w:rPr>
          <w:rFonts w:hint="eastAsia"/>
        </w:rPr>
        <w:t>多家党政部门和企事业单位提供基础网络、计算、存储和安全服务。</w:t>
      </w:r>
      <w:r>
        <w:rPr>
          <w:rFonts w:hint="eastAsia"/>
          <w:b/>
          <w:bCs/>
        </w:rPr>
        <w:t>物联感知不断完备，</w:t>
      </w:r>
      <w:r>
        <w:t>面向</w:t>
      </w:r>
      <w:r>
        <w:rPr>
          <w:rFonts w:hint="eastAsia"/>
        </w:rPr>
        <w:t>公安、交通、市监、农业、城管、生态、养老、教育、医疗</w:t>
      </w:r>
      <w:r>
        <w:t>等行业领域，建设部署移动终端、自助终端、传感监测器、卫星定位终端等各类感知设施设备</w:t>
      </w:r>
      <w:r>
        <w:rPr>
          <w:rFonts w:hint="eastAsia"/>
        </w:rPr>
        <w:t>逾万台（套）</w:t>
      </w:r>
      <w:r>
        <w:t>，基本形成泛在感知、高效协同的城市物联智能感知体系。</w:t>
      </w:r>
    </w:p>
    <w:p w14:paraId="785C9AD9">
      <w:pPr>
        <w:widowControl/>
        <w:ind w:firstLine="643"/>
      </w:pPr>
      <w:r>
        <w:rPr>
          <w:rFonts w:hint="eastAsia"/>
          <w:b/>
          <w:color w:val="000000" w:themeColor="text1"/>
          <w14:textFill>
            <w14:solidFill>
              <w14:schemeClr w14:val="tx1"/>
            </w14:solidFill>
          </w14:textFill>
        </w:rPr>
        <w:t>数字产业培育稳步壮大。算力产业快速发展。</w:t>
      </w:r>
      <w:r>
        <w:rPr>
          <w:rFonts w:hint="eastAsia"/>
          <w:bCs/>
          <w:color w:val="000000" w:themeColor="text1"/>
          <w14:textFill>
            <w14:solidFill>
              <w14:schemeClr w14:val="tx1"/>
            </w14:solidFill>
          </w14:textFill>
        </w:rPr>
        <w:t>抢抓国家“东数西算”战略机遇，依托师市风光资源优势，探索</w:t>
      </w:r>
      <w:r>
        <w:rPr>
          <w:rFonts w:hint="eastAsia"/>
        </w:rPr>
        <w:t>“</w:t>
      </w:r>
      <w:r>
        <w:t>算电协同</w:t>
      </w:r>
      <w:r>
        <w:rPr>
          <w:rFonts w:hint="eastAsia"/>
        </w:rPr>
        <w:t>”发展路径，建成兵团首家</w:t>
      </w:r>
      <w:r>
        <w:rPr>
          <w:rFonts w:hint="eastAsia"/>
          <w:bCs/>
          <w:color w:val="000000" w:themeColor="text1"/>
          <w14:textFill>
            <w14:solidFill>
              <w14:schemeClr w14:val="tx1"/>
            </w14:solidFill>
          </w14:textFill>
        </w:rPr>
        <w:t>国产自主可控智算中心，总算力规模达</w:t>
      </w:r>
      <w:r>
        <w:rPr>
          <w:rFonts w:hint="eastAsia" w:hAnsi="仿宋_GB2312"/>
          <w:lang w:val="en-US" w:eastAsia="zh-CN"/>
        </w:rPr>
        <w:t>XX</w:t>
      </w:r>
      <w:r>
        <w:rPr>
          <w:rFonts w:hint="eastAsia"/>
          <w:bCs/>
          <w:color w:val="000000" w:themeColor="text1"/>
          <w14:textFill>
            <w14:solidFill>
              <w14:schemeClr w14:val="tx1"/>
            </w14:solidFill>
          </w14:textFill>
        </w:rPr>
        <w:t>，签订算力服务合同</w:t>
      </w:r>
      <w:r>
        <w:rPr>
          <w:rFonts w:hint="eastAsia" w:hAnsi="仿宋_GB2312"/>
          <w:lang w:val="en-US" w:eastAsia="zh-CN"/>
        </w:rPr>
        <w:t>XX</w:t>
      </w:r>
      <w:r>
        <w:rPr>
          <w:rFonts w:hint="eastAsia"/>
          <w:bCs/>
          <w:color w:val="000000" w:themeColor="text1"/>
          <w14:textFill>
            <w14:solidFill>
              <w14:schemeClr w14:val="tx1"/>
            </w14:solidFill>
          </w14:textFill>
        </w:rPr>
        <w:t>万元，实现算力产业从无到有的跨越式突破。同时，</w:t>
      </w:r>
      <w:r>
        <w:rPr>
          <w:rFonts w:hint="eastAsia"/>
        </w:rPr>
        <w:t>建成师团两级智能化输配电网，</w:t>
      </w:r>
      <w:r>
        <w:rPr>
          <w:rFonts w:hint="eastAsia" w:hAnsi="仿宋_GB2312"/>
          <w:lang w:val="en-US" w:eastAsia="zh-CN"/>
        </w:rPr>
        <w:t>XX</w:t>
      </w:r>
      <w:r>
        <w:rPr>
          <w:rFonts w:hint="eastAsia"/>
        </w:rPr>
        <w:t>座变电站实现无人值守及“五遥”管控，现有光伏、风电新能源装机</w:t>
      </w:r>
      <w:r>
        <w:rPr>
          <w:rFonts w:hint="eastAsia" w:hAnsi="仿宋_GB2312"/>
          <w:lang w:val="en-US" w:eastAsia="zh-CN"/>
        </w:rPr>
        <w:t>XX</w:t>
      </w:r>
      <w:r>
        <w:rPr>
          <w:rFonts w:hint="eastAsia"/>
        </w:rPr>
        <w:t>万千瓦，为师市算力电力协同发展奠定坚实基础。</w:t>
      </w:r>
      <w:r>
        <w:rPr>
          <w:rFonts w:hint="eastAsia"/>
          <w:b/>
          <w:bCs/>
        </w:rPr>
        <w:t>电子新材料产业特色凸显。</w:t>
      </w:r>
      <w:r>
        <w:rPr>
          <w:rFonts w:hint="eastAsia"/>
        </w:rPr>
        <w:t>成功招引</w:t>
      </w:r>
      <w:r>
        <w:rPr>
          <w:rFonts w:cs="Times New Roman"/>
        </w:rPr>
        <w:t>丰川、凯丰高压电极箔项目并投产运营</w:t>
      </w:r>
      <w:r>
        <w:rPr>
          <w:rFonts w:hint="eastAsia"/>
        </w:rPr>
        <w:t>，开发并应用800Vf及以上高压化成箔产品，产能规模达</w:t>
      </w:r>
      <w:r>
        <w:rPr>
          <w:rFonts w:hint="eastAsia" w:hAnsi="仿宋_GB2312"/>
          <w:lang w:val="en-US" w:eastAsia="zh-CN"/>
        </w:rPr>
        <w:t>XX</w:t>
      </w:r>
      <w:r>
        <w:rPr>
          <w:rFonts w:hint="eastAsia"/>
        </w:rPr>
        <w:t>万</w:t>
      </w:r>
      <w:r>
        <w:rPr>
          <w:rFonts w:cs="微软雅黑" w:asciiTheme="majorEastAsia" w:hAnsiTheme="majorEastAsia" w:eastAsiaTheme="majorEastAsia"/>
        </w:rPr>
        <w:t>㎡</w:t>
      </w:r>
      <w:r>
        <w:rPr>
          <w:rFonts w:hint="eastAsia"/>
        </w:rPr>
        <w:t>，单条生产线生产效率位居全国前列，产品广泛应用于航空航天、轨道交通、智能制造等领域。</w:t>
      </w:r>
      <w:r>
        <w:rPr>
          <w:rFonts w:hint="eastAsia"/>
          <w:b/>
          <w:bCs/>
        </w:rPr>
        <w:t>新兴业态多点蓄力。</w:t>
      </w:r>
      <w:r>
        <w:rPr>
          <w:rFonts w:cs="Times New Roman"/>
        </w:rPr>
        <w:t>依托湖北省数据流通交易平台设立</w:t>
      </w:r>
      <w:r>
        <w:rPr>
          <w:rFonts w:hint="eastAsia" w:cs="Times New Roman"/>
        </w:rPr>
        <w:t>“</w:t>
      </w:r>
      <w:r>
        <w:rPr>
          <w:rFonts w:cs="Times New Roman"/>
        </w:rPr>
        <w:t>五师双河专区</w:t>
      </w:r>
      <w:r>
        <w:rPr>
          <w:rFonts w:hint="eastAsia" w:cs="Times New Roman"/>
        </w:rPr>
        <w:t>”</w:t>
      </w:r>
      <w:r>
        <w:rPr>
          <w:rFonts w:cs="Times New Roman"/>
        </w:rPr>
        <w:t>，指导</w:t>
      </w:r>
      <w:r>
        <w:rPr>
          <w:rFonts w:hint="eastAsia" w:hAnsi="仿宋_GB2312"/>
          <w:lang w:val="en-US" w:eastAsia="zh-CN"/>
        </w:rPr>
        <w:t>XX</w:t>
      </w:r>
      <w:r>
        <w:rPr>
          <w:rFonts w:cs="Times New Roman"/>
        </w:rPr>
        <w:t>家辖区企业入驻，上架电量数据等</w:t>
      </w:r>
      <w:r>
        <w:rPr>
          <w:rFonts w:hint="eastAsia" w:hAnsi="仿宋_GB2312"/>
          <w:lang w:val="en-US" w:eastAsia="zh-CN"/>
        </w:rPr>
        <w:t>XX</w:t>
      </w:r>
      <w:r>
        <w:rPr>
          <w:rFonts w:cs="Times New Roman"/>
        </w:rPr>
        <w:t>个特色数据产品</w:t>
      </w:r>
      <w:r>
        <w:rPr>
          <w:rFonts w:hint="eastAsia" w:cs="Times New Roman"/>
        </w:rPr>
        <w:t>，筑牢数据供需对接与交易撮合服务</w:t>
      </w:r>
      <w:r>
        <w:rPr>
          <w:rFonts w:cs="Times New Roman"/>
        </w:rPr>
        <w:t>基础。</w:t>
      </w:r>
      <w:r>
        <w:rPr>
          <w:rFonts w:hint="eastAsia"/>
        </w:rPr>
        <w:t>组织相关企业参与第七、八届数字中国峰会，成功推介签约项目</w:t>
      </w:r>
      <w:r>
        <w:rPr>
          <w:rFonts w:hint="eastAsia" w:hAnsi="仿宋_GB2312"/>
          <w:lang w:val="en-US" w:eastAsia="zh-CN"/>
        </w:rPr>
        <w:t>XX</w:t>
      </w:r>
      <w:r>
        <w:rPr>
          <w:rFonts w:hint="eastAsia"/>
        </w:rPr>
        <w:t>个。组织</w:t>
      </w:r>
      <w:r>
        <w:rPr>
          <w:rFonts w:hint="eastAsia" w:hAnsi="仿宋_GB2312"/>
          <w:lang w:val="en-US" w:eastAsia="zh-CN"/>
        </w:rPr>
        <w:t>XX</w:t>
      </w:r>
      <w:r>
        <w:rPr>
          <w:rFonts w:hint="eastAsia"/>
        </w:rPr>
        <w:t>家企业</w:t>
      </w:r>
      <w:r>
        <w:rPr>
          <w:rFonts w:hint="eastAsia" w:hAnsi="仿宋_GB2312"/>
          <w:lang w:val="en-US" w:eastAsia="zh-CN"/>
        </w:rPr>
        <w:t>XX</w:t>
      </w:r>
      <w:r>
        <w:rPr>
          <w:rFonts w:hint="eastAsia"/>
        </w:rPr>
        <w:t>支队伍参与“数据要素</w:t>
      </w:r>
      <w:r>
        <w:rPr>
          <w:rFonts w:ascii="Arial" w:hAnsi="Arial" w:cs="Arial"/>
        </w:rPr>
        <w:t>×</w:t>
      </w:r>
      <w:r>
        <w:rPr>
          <w:rFonts w:hint="eastAsia"/>
        </w:rPr>
        <w:t>”大赛兵团分赛，激活师市数据产业创新动能。低空经济发展有序起步，无人机在农业、应急、公安、高校等领域落地应用场景，双河职业技术学院同步推进无人机培训基地建设。</w:t>
      </w:r>
    </w:p>
    <w:p w14:paraId="13AD8127">
      <w:pPr>
        <w:widowControl/>
        <w:ind w:firstLine="643"/>
      </w:pPr>
      <w:r>
        <w:rPr>
          <w:rFonts w:hint="eastAsia"/>
          <w:b/>
          <w:color w:val="000000" w:themeColor="text1"/>
          <w14:textFill>
            <w14:solidFill>
              <w14:schemeClr w14:val="tx1"/>
            </w14:solidFill>
          </w14:textFill>
        </w:rPr>
        <w:t>产业数字化持续深化。</w:t>
      </w:r>
      <w:r>
        <w:rPr>
          <w:rFonts w:hint="eastAsia"/>
        </w:rPr>
        <w:t>全面推进农业、工业、服务业数字化转型，融合发展成效初显。</w:t>
      </w:r>
      <w:r>
        <w:rPr>
          <w:rFonts w:hint="eastAsia"/>
          <w:b/>
          <w:bCs/>
        </w:rPr>
        <w:t>持续推进农业数字化转型，</w:t>
      </w:r>
      <w:r>
        <w:rPr>
          <w:rFonts w:hint="eastAsia"/>
        </w:rPr>
        <w:t>聚焦棉花、葡萄、玉米制种等优势产业，依托北斗导航、物联网等数字技术，实现全程机械化、信息化管控；建成高标准数字农业样板区、标准化制种示范基地，依托智能监测与数字化管控体系，有效降低种植成本、提升作物产量，全方位推进农业全链条数字化转型升级，数字农业建设成效显著。</w:t>
      </w:r>
      <w:r>
        <w:rPr>
          <w:rFonts w:hint="eastAsia" w:hAnsi="仿宋_GB2312"/>
          <w:lang w:val="en-US" w:eastAsia="zh-CN"/>
        </w:rPr>
        <w:t>XX</w:t>
      </w:r>
      <w:r>
        <w:rPr>
          <w:rFonts w:hint="eastAsia"/>
        </w:rPr>
        <w:t>团顺利通过兵团数字乡村建设试点终期评估。搭建运行</w:t>
      </w:r>
      <w:r>
        <w:t>师市国家级制种基地监管服务云平台</w:t>
      </w:r>
      <w:r>
        <w:rPr>
          <w:rFonts w:hint="eastAsia"/>
        </w:rPr>
        <w:t>，实现田间虫情、苗情等全天候精准监测；实施</w:t>
      </w:r>
      <w:r>
        <w:rPr>
          <w:rFonts w:hint="eastAsia" w:hAnsi="仿宋_GB2312"/>
          <w:lang w:val="en-US" w:eastAsia="zh-CN"/>
        </w:rPr>
        <w:t>XX</w:t>
      </w:r>
      <w:r>
        <w:rPr>
          <w:rFonts w:hint="eastAsia"/>
        </w:rPr>
        <w:t>万</w:t>
      </w:r>
      <w:r>
        <w:rPr>
          <w:rFonts w:hint="eastAsia" w:ascii="宋体" w:hAnsi="宋体" w:eastAsia="宋体" w:cs="微软雅黑"/>
        </w:rPr>
        <w:t>㎡</w:t>
      </w:r>
      <w:r>
        <w:rPr>
          <w:rFonts w:hint="eastAsia"/>
        </w:rPr>
        <w:t>智能温室建设，推动设施农业向集约化、高效化、智能化升级；畜牧养殖广泛普及智能饲喂、线上疫病防控数字化系统，大力推广“云养牛”“云养羊”特色智慧养殖模式；建成师市农业社会化服务云平台，注册用户</w:t>
      </w:r>
      <w:r>
        <w:rPr>
          <w:rFonts w:hint="eastAsia" w:hAnsi="仿宋_GB2312"/>
          <w:lang w:val="en-US" w:eastAsia="zh-CN"/>
        </w:rPr>
        <w:t>XX</w:t>
      </w:r>
      <w:r>
        <w:rPr>
          <w:rFonts w:hint="eastAsia"/>
        </w:rPr>
        <w:t>万户，归集职工身份地流转信息万余条，线上规范签订、管理土地流转合同近千份，数字惠农惠民成果充分彰显。</w:t>
      </w:r>
      <w:r>
        <w:rPr>
          <w:rFonts w:hint="eastAsia"/>
          <w:b/>
          <w:bCs/>
        </w:rPr>
        <w:t>加快工业数字化转型，</w:t>
      </w:r>
      <w:r>
        <w:rPr>
          <w:rFonts w:hint="eastAsia"/>
        </w:rPr>
        <w:t>践行绿色发展理念，</w:t>
      </w:r>
      <w:r>
        <w:rPr>
          <w:rFonts w:cs="Times New Roman"/>
        </w:rPr>
        <w:t>丰川电子实施节能降碳改造，普耀建材在炉窑冷修中加大节能、环保、智能设备投入</w:t>
      </w:r>
      <w:r>
        <w:rPr>
          <w:rFonts w:hint="eastAsia" w:cs="Times New Roman"/>
        </w:rPr>
        <w:t>，</w:t>
      </w:r>
      <w:r>
        <w:rPr>
          <w:rFonts w:cs="Times New Roman"/>
        </w:rPr>
        <w:t>企业综合用</w:t>
      </w:r>
      <w:r>
        <w:rPr>
          <w:rFonts w:hint="eastAsia" w:cs="Times New Roman"/>
        </w:rPr>
        <w:t>电能</w:t>
      </w:r>
      <w:r>
        <w:rPr>
          <w:rFonts w:cs="Times New Roman"/>
        </w:rPr>
        <w:t>耗</w:t>
      </w:r>
      <w:r>
        <w:rPr>
          <w:rFonts w:hint="eastAsia" w:cs="Times New Roman"/>
        </w:rPr>
        <w:t>有效</w:t>
      </w:r>
      <w:r>
        <w:rPr>
          <w:rFonts w:cs="Times New Roman"/>
        </w:rPr>
        <w:t>降低</w:t>
      </w:r>
      <w:r>
        <w:rPr>
          <w:rFonts w:hint="eastAsia" w:cs="Times New Roman"/>
        </w:rPr>
        <w:t>，生产流程实现全自动精准调控</w:t>
      </w:r>
      <w:r>
        <w:rPr>
          <w:rFonts w:cs="Times New Roman"/>
        </w:rPr>
        <w:t>。指导普耀建材申报智能工厂、丰川电子申报自治区企业技术研究中心、新赛股份申报兵团数字化转型示范项目</w:t>
      </w:r>
      <w:r>
        <w:rPr>
          <w:rFonts w:hint="eastAsia" w:cs="Times New Roman"/>
        </w:rPr>
        <w:t>。目前，师市</w:t>
      </w:r>
      <w:r>
        <w:rPr>
          <w:rFonts w:hint="eastAsia"/>
        </w:rPr>
        <w:t>累计培育高新技术企业</w:t>
      </w:r>
      <w:r>
        <w:rPr>
          <w:rFonts w:hint="eastAsia" w:hAnsi="仿宋_GB2312"/>
          <w:lang w:val="en-US" w:eastAsia="zh-CN"/>
        </w:rPr>
        <w:t>XX</w:t>
      </w:r>
      <w:r>
        <w:rPr>
          <w:rFonts w:hint="eastAsia"/>
        </w:rPr>
        <w:t>家、创新型企业</w:t>
      </w:r>
      <w:r>
        <w:rPr>
          <w:rFonts w:hint="eastAsia" w:hAnsi="仿宋_GB2312"/>
          <w:lang w:val="en-US" w:eastAsia="zh-CN"/>
        </w:rPr>
        <w:t>XX</w:t>
      </w:r>
      <w:r>
        <w:rPr>
          <w:rFonts w:hint="eastAsia"/>
        </w:rPr>
        <w:t>家、专精特新企业</w:t>
      </w:r>
      <w:r>
        <w:rPr>
          <w:rFonts w:hint="eastAsia" w:hAnsi="仿宋_GB2312"/>
          <w:lang w:val="en-US" w:eastAsia="zh-CN"/>
        </w:rPr>
        <w:t>XX</w:t>
      </w:r>
      <w:r>
        <w:rPr>
          <w:rFonts w:hint="eastAsia"/>
        </w:rPr>
        <w:t>家</w:t>
      </w:r>
      <w:r>
        <w:rPr>
          <w:rFonts w:cs="Times New Roman"/>
        </w:rPr>
        <w:t>，</w:t>
      </w:r>
      <w:r>
        <w:rPr>
          <w:rFonts w:hint="eastAsia" w:cs="Times New Roman"/>
        </w:rPr>
        <w:t>组织</w:t>
      </w:r>
      <w:r>
        <w:rPr>
          <w:rFonts w:hint="eastAsia" w:hAnsi="仿宋_GB2312"/>
          <w:lang w:val="en-US" w:eastAsia="zh-CN"/>
        </w:rPr>
        <w:t>XX</w:t>
      </w:r>
      <w:r>
        <w:rPr>
          <w:rFonts w:cs="Times New Roman"/>
        </w:rPr>
        <w:t>家企业制定并实施数字化转型方案</w:t>
      </w:r>
      <w:r>
        <w:rPr>
          <w:rFonts w:hint="eastAsia" w:cs="Times New Roman"/>
        </w:rPr>
        <w:t>，完成</w:t>
      </w:r>
      <w:r>
        <w:rPr>
          <w:rFonts w:hint="eastAsia" w:hAnsi="仿宋_GB2312"/>
          <w:lang w:val="en-US" w:eastAsia="zh-CN"/>
        </w:rPr>
        <w:t>XX</w:t>
      </w:r>
      <w:r>
        <w:rPr>
          <w:rFonts w:hint="eastAsia" w:cs="Times New Roman"/>
        </w:rPr>
        <w:t>家企业</w:t>
      </w:r>
      <w:r>
        <w:rPr>
          <w:rFonts w:cs="Times New Roman"/>
        </w:rPr>
        <w:t>数字化转型评测，企业创新能力与数智化水平持续提升</w:t>
      </w:r>
      <w:r>
        <w:rPr>
          <w:rFonts w:hint="eastAsia"/>
        </w:rPr>
        <w:t>。</w:t>
      </w:r>
      <w:r>
        <w:rPr>
          <w:rFonts w:hint="eastAsia"/>
          <w:b/>
          <w:bCs/>
        </w:rPr>
        <w:t>服务业数字化不断提升。</w:t>
      </w:r>
      <w:r>
        <w:rPr>
          <w:rFonts w:cs="Times New Roman"/>
        </w:rPr>
        <w:t>坚持</w:t>
      </w:r>
      <w:r>
        <w:rPr>
          <w:rFonts w:hint="eastAsia" w:cs="Times New Roman"/>
        </w:rPr>
        <w:t>“</w:t>
      </w:r>
      <w:r>
        <w:rPr>
          <w:rFonts w:cs="Times New Roman"/>
        </w:rPr>
        <w:t>产业基地+专业合作社+电子商务</w:t>
      </w:r>
      <w:r>
        <w:rPr>
          <w:rFonts w:hint="eastAsia" w:cs="Times New Roman"/>
        </w:rPr>
        <w:t>”</w:t>
      </w:r>
      <w:r>
        <w:rPr>
          <w:rFonts w:cs="Times New Roman"/>
        </w:rPr>
        <w:t>模式，推动电商产业提质增效，</w:t>
      </w:r>
      <w:r>
        <w:rPr>
          <w:rFonts w:hint="eastAsia"/>
        </w:rPr>
        <w:t>建成“双河优选”线上平台，农村电商直播带货成交额实现零突破。跨境电商综合试验区成功获批，阿拉山口综保区（五师分区）兵地融合产业园揭牌，新增外贸主体</w:t>
      </w:r>
      <w:r>
        <w:rPr>
          <w:rFonts w:hint="eastAsia" w:hAnsi="仿宋_GB2312"/>
          <w:lang w:val="en-US" w:eastAsia="zh-CN"/>
        </w:rPr>
        <w:t>XX</w:t>
      </w:r>
      <w:r>
        <w:rPr>
          <w:rFonts w:hint="eastAsia"/>
        </w:rPr>
        <w:t>家，累计跨境贸易额</w:t>
      </w:r>
      <w:r>
        <w:rPr>
          <w:rFonts w:hint="eastAsia" w:hAnsi="仿宋_GB2312"/>
          <w:lang w:val="en-US" w:eastAsia="zh-CN"/>
        </w:rPr>
        <w:t>XX</w:t>
      </w:r>
      <w:r>
        <w:rPr>
          <w:rFonts w:hint="eastAsia"/>
        </w:rPr>
        <w:t>余万元。围绕怪石峪景区、古道温泉、“红星耀双河”陈列馆部署数智化服务设施，建成“遇见双河”数字文化空间，通过3D打印技术还原双河都督府，</w:t>
      </w:r>
      <w:r>
        <w:rPr>
          <w:rFonts w:hint="eastAsia" w:ascii="仿宋_GB2312" w:hAnsi="仿宋_GB2312"/>
        </w:rPr>
        <w:t>建成“云上陈列馆”</w:t>
      </w:r>
      <w:r>
        <w:rPr>
          <w:rFonts w:hint="eastAsia"/>
        </w:rPr>
        <w:t>线上展馆，全面赋能文旅产业转型。推广公交实时信息查询等数字化便民应用，有效提升群众出行便捷度。</w:t>
      </w:r>
    </w:p>
    <w:p w14:paraId="024074A3">
      <w:pPr>
        <w:widowControl/>
        <w:ind w:firstLine="643"/>
        <w:rPr>
          <w:color w:val="000000" w:themeColor="text1"/>
          <w14:textFill>
            <w14:solidFill>
              <w14:schemeClr w14:val="tx1"/>
            </w14:solidFill>
          </w14:textFill>
        </w:rPr>
      </w:pPr>
      <w:r>
        <w:rPr>
          <w:rFonts w:hint="eastAsia"/>
          <w:b/>
          <w:color w:val="000000" w:themeColor="text1"/>
          <w14:textFill>
            <w14:solidFill>
              <w14:schemeClr w14:val="tx1"/>
            </w14:solidFill>
          </w14:textFill>
        </w:rPr>
        <w:t>数字化治理效能稳步提升。</w:t>
      </w:r>
      <w:r>
        <w:rPr>
          <w:rFonts w:hint="eastAsia"/>
          <w:b/>
        </w:rPr>
        <w:t>数字政务服务便捷提质。</w:t>
      </w:r>
      <w:r>
        <w:rPr>
          <w:rFonts w:hint="eastAsia"/>
          <w:bCs/>
        </w:rPr>
        <w:t>依托兵团一体化政务服务平台，上线</w:t>
      </w:r>
      <w:r>
        <w:rPr>
          <w:rFonts w:hint="eastAsia" w:hAnsi="仿宋_GB2312"/>
          <w:lang w:val="en-US" w:eastAsia="zh-CN"/>
        </w:rPr>
        <w:t>XX</w:t>
      </w:r>
      <w:r>
        <w:rPr>
          <w:rFonts w:hint="eastAsia"/>
          <w:bCs/>
        </w:rPr>
        <w:t>项政务服务事项，汇聚电子证照</w:t>
      </w:r>
      <w:r>
        <w:rPr>
          <w:rFonts w:hint="eastAsia" w:hAnsi="仿宋_GB2312"/>
          <w:lang w:val="en-US" w:eastAsia="zh-CN"/>
        </w:rPr>
        <w:t>XX</w:t>
      </w:r>
      <w:r>
        <w:rPr>
          <w:rFonts w:hint="eastAsia"/>
          <w:bCs/>
        </w:rPr>
        <w:t>万余张、电子印章</w:t>
      </w:r>
      <w:r>
        <w:rPr>
          <w:rFonts w:hint="eastAsia" w:hAnsi="仿宋_GB2312"/>
          <w:lang w:val="en-US" w:eastAsia="zh-CN"/>
        </w:rPr>
        <w:t>XX</w:t>
      </w:r>
      <w:r>
        <w:rPr>
          <w:rFonts w:hint="eastAsia"/>
          <w:bCs/>
        </w:rPr>
        <w:t>枚，平台总办件量超</w:t>
      </w:r>
      <w:r>
        <w:rPr>
          <w:rFonts w:hint="eastAsia" w:hAnsi="仿宋_GB2312"/>
          <w:lang w:val="en-US" w:eastAsia="zh-CN"/>
        </w:rPr>
        <w:t>XX</w:t>
      </w:r>
      <w:r>
        <w:rPr>
          <w:rFonts w:hint="eastAsia"/>
          <w:bCs/>
        </w:rPr>
        <w:t>万件。</w:t>
      </w:r>
      <w:r>
        <w:rPr>
          <w:rFonts w:hint="eastAsia"/>
        </w:rPr>
        <w:t>依托“兵政通”APP实现水电气暖线上缴费、公交实时查询、社保卡一卡通等便民服务。</w:t>
      </w:r>
      <w:r>
        <w:rPr>
          <w:rFonts w:hint="eastAsia"/>
          <w:bCs/>
        </w:rPr>
        <w:t>开通公安、人社、医保等专属服务专区及AI智能客服。</w:t>
      </w:r>
      <w:r>
        <w:rPr>
          <w:rFonts w:hint="eastAsia"/>
          <w:b/>
          <w:bCs/>
        </w:rPr>
        <w:t>城市数智治理水平显著提升。</w:t>
      </w:r>
      <w:r>
        <w:rPr>
          <w:rFonts w:hint="eastAsia"/>
        </w:rPr>
        <w:t>建设运行数字政府运营指挥中心，搭建并接入智慧城管、智慧水利、智慧农业等平台，运用AI识别、感知监测等信息化、智能化手段开展全域数字化治理。</w:t>
      </w:r>
      <w:r>
        <w:rPr>
          <w:rFonts w:hint="eastAsia"/>
          <w:b/>
          <w:bCs/>
        </w:rPr>
        <w:t>数字民生服务普惠便捷。</w:t>
      </w:r>
      <w:r>
        <w:rPr>
          <w:rFonts w:hint="eastAsia"/>
        </w:rPr>
        <w:t>持续推进“5G+数字校园+互动教学+教育指挥中心”项目试点建设，建成师域教育城域网，部署智慧课堂、智能阅卷系统、学生心理健康监测平台，有效提升学校数字化应用能力。建成师团连三级全民健康平台，覆盖各级医疗机构及连队卫生室；搭建远程医疗平台，深化电子病历互联互通，全面上线预约挂号、在线问诊、智能分诊等线上便民服务；推进药品追溯数字化管理，实现就医购药“一码通行”。推进“5G+智慧养老”试点工作，推进老年人、残疾人家庭数字化适老化及无障碍改造。全面实现社保业务线上办理，推动电子社保卡覆盖就医、出行、文旅等多场景应用。</w:t>
      </w:r>
      <w:r>
        <w:rPr>
          <w:rFonts w:hint="eastAsia"/>
          <w:b/>
          <w:bCs/>
        </w:rPr>
        <w:t>数字边境治理成效凸显。</w:t>
      </w:r>
      <w:r>
        <w:rPr>
          <w:rFonts w:hint="eastAsia"/>
        </w:rPr>
        <w:t>推动</w:t>
      </w:r>
      <w:r>
        <w:rPr>
          <w:rFonts w:hint="eastAsia"/>
          <w:color w:val="000000" w:themeColor="text1"/>
          <w14:textFill>
            <w14:solidFill>
              <w14:schemeClr w14:val="tx1"/>
            </w14:solidFill>
          </w14:textFill>
        </w:rPr>
        <w:t>边境团场部署高空转台、远程预警广播等智能设备，实现立体化智慧防控升级，有力筑牢师市数字边防屏障。</w:t>
      </w:r>
    </w:p>
    <w:p w14:paraId="7DC73EEB">
      <w:pPr>
        <w:ind w:firstLine="640"/>
      </w:pPr>
      <w:r>
        <w:rPr>
          <w:rFonts w:hint="eastAsia"/>
          <w:color w:val="000000" w:themeColor="text1"/>
          <w14:textFill>
            <w14:solidFill>
              <w14:schemeClr w14:val="tx1"/>
            </w14:solidFill>
          </w14:textFill>
        </w:rPr>
        <w:t>在取得阶段性发展成效的同时，师市数字经济发展仍存在诸多不足和挑战：</w:t>
      </w:r>
      <w:r>
        <w:rPr>
          <w:rFonts w:hint="eastAsia"/>
          <w:b/>
          <w:bCs/>
          <w:color w:val="000000" w:themeColor="text1"/>
          <w14:textFill>
            <w14:solidFill>
              <w14:schemeClr w14:val="tx1"/>
            </w14:solidFill>
          </w14:textFill>
        </w:rPr>
        <w:t>一是数字产业规模偏小。</w:t>
      </w:r>
      <w:r>
        <w:rPr>
          <w:rFonts w:hint="eastAsia"/>
          <w:color w:val="000000" w:themeColor="text1"/>
          <w14:textFill>
            <w14:solidFill>
              <w14:schemeClr w14:val="tx1"/>
            </w14:solidFill>
          </w14:textFill>
        </w:rPr>
        <w:t>核心产业总量不大，电子信息、软件服务、绿色算力、算力运营等产业仍处于起步阶段，尚未形成集聚效应，数字经济对经济增长的贡献度偏低。二</w:t>
      </w:r>
      <w:r>
        <w:rPr>
          <w:rFonts w:hint="eastAsia"/>
          <w:b/>
          <w:bCs/>
          <w:color w:val="000000" w:themeColor="text1"/>
          <w14:textFill>
            <w14:solidFill>
              <w14:schemeClr w14:val="tx1"/>
            </w14:solidFill>
          </w14:textFill>
        </w:rPr>
        <w:t>是</w:t>
      </w:r>
      <w:r>
        <w:rPr>
          <w:rFonts w:hint="eastAsia"/>
          <w:b/>
          <w:bCs/>
        </w:rPr>
        <w:t>产业体系尚不完整</w:t>
      </w:r>
      <w:r>
        <w:rPr>
          <w:rFonts w:hint="eastAsia"/>
        </w:rPr>
        <w:t>。仅布局数字产品制造业下游电子专用材料产业，基础规模偏小、链条不完整，</w:t>
      </w:r>
      <w:r>
        <w:t>电子信息制造、人工智能产业基本缺失，软件服务业技术层次低</w:t>
      </w:r>
      <w:r>
        <w:rPr>
          <w:rFonts w:hint="eastAsia"/>
          <w:color w:val="000000" w:themeColor="text1"/>
          <w14:textFill>
            <w14:solidFill>
              <w14:schemeClr w14:val="tx1"/>
            </w14:solidFill>
          </w14:textFill>
        </w:rPr>
        <w:t>，</w:t>
      </w:r>
      <w:r>
        <w:rPr>
          <w:rFonts w:hint="eastAsia"/>
        </w:rPr>
        <w:t>数字技术向传统产业渗透不足，本地应用需求转化能力弱，市场潜力待释放。</w:t>
      </w:r>
      <w:r>
        <w:rPr>
          <w:rFonts w:hint="eastAsia"/>
          <w:b/>
          <w:bCs/>
          <w:color w:val="000000" w:themeColor="text1"/>
          <w14:textFill>
            <w14:solidFill>
              <w14:schemeClr w14:val="tx1"/>
            </w14:solidFill>
          </w14:textFill>
        </w:rPr>
        <w:t>三是数据要素价值释放不充分。</w:t>
      </w:r>
      <w:r>
        <w:rPr>
          <w:rFonts w:hint="eastAsia"/>
          <w:color w:val="000000" w:themeColor="text1"/>
          <w14:textFill>
            <w14:solidFill>
              <w14:schemeClr w14:val="tx1"/>
            </w14:solidFill>
          </w14:textFill>
        </w:rPr>
        <w:t>数据标准不统一、共享不充分，部门、行业、团场数据壁垒依然存在，“数据孤岛”现象突出；数据治理、确权、开发利用和交易尚处于探索阶段，数据要素市场化配置机制尚不完善。</w:t>
      </w:r>
      <w:r>
        <w:rPr>
          <w:rFonts w:hint="eastAsia"/>
          <w:b/>
          <w:bCs/>
          <w:color w:val="000000" w:themeColor="text1"/>
          <w14:textFill>
            <w14:solidFill>
              <w14:schemeClr w14:val="tx1"/>
            </w14:solidFill>
          </w14:textFill>
        </w:rPr>
        <w:t>四是高端数字人才短缺。</w:t>
      </w:r>
      <w:r>
        <w:rPr>
          <w:rFonts w:hint="eastAsia"/>
          <w:color w:val="000000" w:themeColor="text1"/>
          <w14:textFill>
            <w14:solidFill>
              <w14:schemeClr w14:val="tx1"/>
            </w14:solidFill>
          </w14:textFill>
        </w:rPr>
        <w:t>数字技术叠加产业运营的复合型人才引不进、留不住，本地人才培养规模不足、能力偏弱，干部职工群众数字素养有待提升，制约数字经济发展。</w:t>
      </w:r>
    </w:p>
    <w:bookmarkEnd w:id="16"/>
    <w:bookmarkEnd w:id="17"/>
    <w:bookmarkEnd w:id="18"/>
    <w:bookmarkEnd w:id="19"/>
    <w:bookmarkEnd w:id="20"/>
    <w:p w14:paraId="5FC5B5EE">
      <w:pPr>
        <w:pStyle w:val="3"/>
        <w:rPr>
          <w:rFonts w:hint="eastAsia"/>
        </w:rPr>
      </w:pPr>
      <w:bookmarkStart w:id="21" w:name="_Toc10229"/>
      <w:bookmarkStart w:id="22" w:name="_Toc26069"/>
      <w:bookmarkStart w:id="23" w:name="_Toc29579"/>
      <w:bookmarkStart w:id="24" w:name="_Toc22248"/>
      <w:bookmarkStart w:id="25" w:name="_Toc6009"/>
      <w:bookmarkStart w:id="26" w:name="_Toc10043"/>
      <w:r>
        <w:rPr>
          <w:rFonts w:hint="eastAsia"/>
        </w:rPr>
        <w:t>面临形势</w:t>
      </w:r>
      <w:bookmarkEnd w:id="21"/>
      <w:bookmarkEnd w:id="22"/>
      <w:bookmarkEnd w:id="23"/>
      <w:bookmarkEnd w:id="24"/>
      <w:bookmarkEnd w:id="25"/>
      <w:bookmarkEnd w:id="26"/>
    </w:p>
    <w:p w14:paraId="3EE16645">
      <w:pPr>
        <w:ind w:firstLine="640"/>
        <w:rPr>
          <w:color w:val="000000" w:themeColor="text1"/>
          <w14:textFill>
            <w14:solidFill>
              <w14:schemeClr w14:val="tx1"/>
            </w14:solidFill>
          </w14:textFill>
        </w:rPr>
      </w:pPr>
      <w:bookmarkStart w:id="27" w:name="_Toc13659"/>
      <w:bookmarkStart w:id="28" w:name="_Toc24361"/>
      <w:bookmarkStart w:id="29" w:name="_Toc29659"/>
      <w:bookmarkStart w:id="30" w:name="_Toc5770"/>
      <w:r>
        <w:rPr>
          <w:color w:val="000000" w:themeColor="text1"/>
          <w14:textFill>
            <w14:solidFill>
              <w14:schemeClr w14:val="tx1"/>
            </w14:solidFill>
          </w14:textFill>
        </w:rPr>
        <w:t>当前，数字经济已成为</w:t>
      </w:r>
      <w:r>
        <w:rPr>
          <w:rFonts w:hint="eastAsia"/>
          <w:color w:val="000000" w:themeColor="text1"/>
          <w14:textFill>
            <w14:solidFill>
              <w14:schemeClr w14:val="tx1"/>
            </w14:solidFill>
          </w14:textFill>
        </w:rPr>
        <w:t>全球</w:t>
      </w:r>
      <w:r>
        <w:rPr>
          <w:color w:val="000000" w:themeColor="text1"/>
          <w14:textFill>
            <w14:solidFill>
              <w14:schemeClr w14:val="tx1"/>
            </w14:solidFill>
          </w14:textFill>
        </w:rPr>
        <w:t>经济的增长引擎</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区域产业</w:t>
      </w:r>
      <w:r>
        <w:rPr>
          <w:rFonts w:hint="eastAsia"/>
          <w:color w:val="000000" w:themeColor="text1"/>
          <w14:textFill>
            <w14:solidFill>
              <w14:schemeClr w14:val="tx1"/>
            </w14:solidFill>
          </w14:textFill>
        </w:rPr>
        <w:t>发展和提升</w:t>
      </w:r>
      <w:r>
        <w:rPr>
          <w:color w:val="000000" w:themeColor="text1"/>
          <w14:textFill>
            <w14:solidFill>
              <w14:schemeClr w14:val="tx1"/>
            </w14:solidFill>
          </w14:textFill>
        </w:rPr>
        <w:t>竞争力</w:t>
      </w:r>
      <w:r>
        <w:rPr>
          <w:rFonts w:hint="eastAsia"/>
          <w:color w:val="000000" w:themeColor="text1"/>
          <w14:textFill>
            <w14:solidFill>
              <w14:schemeClr w14:val="tx1"/>
            </w14:solidFill>
          </w14:textFill>
        </w:rPr>
        <w:t>的核心抓手</w:t>
      </w:r>
      <w:r>
        <w:rPr>
          <w:color w:val="000000" w:themeColor="text1"/>
          <w14:textFill>
            <w14:solidFill>
              <w14:schemeClr w14:val="tx1"/>
            </w14:solidFill>
          </w14:textFill>
        </w:rPr>
        <w:t>，</w:t>
      </w:r>
      <w:bookmarkEnd w:id="27"/>
      <w:bookmarkEnd w:id="28"/>
      <w:bookmarkEnd w:id="29"/>
      <w:bookmarkEnd w:id="30"/>
      <w:r>
        <w:rPr>
          <w:rFonts w:hint="eastAsia"/>
          <w:color w:val="000000" w:themeColor="text1"/>
          <w14:textFill>
            <w14:solidFill>
              <w14:schemeClr w14:val="tx1"/>
            </w14:solidFill>
          </w14:textFill>
        </w:rPr>
        <w:t>师市</w:t>
      </w:r>
      <w:r>
        <w:rPr>
          <w:color w:val="000000" w:themeColor="text1"/>
          <w14:textFill>
            <w14:solidFill>
              <w14:schemeClr w14:val="tx1"/>
            </w14:solidFill>
          </w14:textFill>
        </w:rPr>
        <w:t>发展数字经济既面临重大机遇，也需主动抢抓布局。</w:t>
      </w:r>
    </w:p>
    <w:p w14:paraId="681D33BD">
      <w:pPr>
        <w:pStyle w:val="12"/>
        <w:ind w:firstLine="643"/>
        <w:jc w:val="both"/>
        <w:rPr>
          <w:color w:val="000000" w:themeColor="text1"/>
          <w:sz w:val="32"/>
          <w14:textFill>
            <w14:solidFill>
              <w14:schemeClr w14:val="tx1"/>
            </w14:solidFill>
          </w14:textFill>
        </w:rPr>
      </w:pPr>
      <w:r>
        <w:rPr>
          <w:rFonts w:hint="eastAsia"/>
          <w:b/>
          <w:bCs/>
          <w:color w:val="000000" w:themeColor="text1"/>
          <w:sz w:val="32"/>
          <w14:textFill>
            <w14:solidFill>
              <w14:schemeClr w14:val="tx1"/>
            </w14:solidFill>
          </w14:textFill>
        </w:rPr>
        <w:t>从国际形势看，</w:t>
      </w:r>
      <w:r>
        <w:rPr>
          <w:color w:val="000000" w:themeColor="text1"/>
          <w:sz w:val="32"/>
          <w14:textFill>
            <w14:solidFill>
              <w14:schemeClr w14:val="tx1"/>
            </w14:solidFill>
          </w14:textFill>
        </w:rPr>
        <w:t>全球进入新一轮科技革命与数字变革深水区，人工智能、区块链、量子计算等技术竞相突破，</w:t>
      </w:r>
      <w:r>
        <w:rPr>
          <w:rFonts w:hint="eastAsia"/>
          <w:color w:val="000000" w:themeColor="text1"/>
          <w:sz w:val="32"/>
          <w14:textFill>
            <w14:solidFill>
              <w14:schemeClr w14:val="tx1"/>
            </w14:solidFill>
          </w14:textFill>
        </w:rPr>
        <w:t>数字基础设施建设、数据要素开发利用、数字产业创新发展等领域加速迭代，实体经济与数字经济深度融合催生大量新模式新业态，全球数字化转型浪潮势头强劲。师市需要顺应科技革命和产业变革趋势，抢抓机遇加快数字经济发展，为经济高质量发展开辟新空间、注入新动能。</w:t>
      </w:r>
    </w:p>
    <w:p w14:paraId="4356CF39">
      <w:pPr>
        <w:ind w:firstLine="643"/>
        <w:rPr>
          <w:color w:val="000000" w:themeColor="text1"/>
          <w14:textFill>
            <w14:solidFill>
              <w14:schemeClr w14:val="tx1"/>
            </w14:solidFill>
          </w14:textFill>
        </w:rPr>
      </w:pPr>
      <w:r>
        <w:rPr>
          <w:rFonts w:hint="eastAsia"/>
          <w:b/>
          <w:bCs/>
          <w:color w:val="000000" w:themeColor="text1"/>
          <w14:textFill>
            <w14:solidFill>
              <w14:schemeClr w14:val="tx1"/>
            </w14:solidFill>
          </w14:textFill>
        </w:rPr>
        <w:t>从国家战略看，</w:t>
      </w:r>
      <w:r>
        <w:rPr>
          <w:rFonts w:hint="eastAsia"/>
        </w:rPr>
        <w:t>党中央、国务院高度重视数字经济发展。</w:t>
      </w:r>
      <w:r>
        <w:t>《中共中央关于进一步全面深化改革、推进中国式现代化的决定》提出</w:t>
      </w:r>
      <w:bookmarkStart w:id="31" w:name="OLE_LINK1"/>
      <w:r>
        <w:rPr>
          <w:rFonts w:hint="eastAsia"/>
          <w:color w:val="000000" w:themeColor="text1"/>
          <w14:textFill>
            <w14:solidFill>
              <w14:schemeClr w14:val="tx1"/>
            </w14:solidFill>
          </w14:textFill>
        </w:rPr>
        <w:t>“</w:t>
      </w:r>
      <w:r>
        <w:rPr>
          <w:color w:val="000000" w:themeColor="text1"/>
          <w14:textFill>
            <w14:solidFill>
              <w14:schemeClr w14:val="tx1"/>
            </w14:solidFill>
          </w14:textFill>
        </w:rPr>
        <w:t>打造具有国际竞争力的数字产业集群</w:t>
      </w:r>
      <w:bookmarkEnd w:id="31"/>
      <w:r>
        <w:rPr>
          <w:rFonts w:hint="eastAsia"/>
          <w:color w:val="000000" w:themeColor="text1"/>
          <w14:textFill>
            <w14:solidFill>
              <w14:schemeClr w14:val="tx1"/>
            </w14:solidFill>
          </w14:textFill>
        </w:rPr>
        <w:t>”，</w:t>
      </w:r>
      <w:r>
        <w:rPr>
          <w:rFonts w:hint="eastAsia"/>
        </w:rPr>
        <w:t>国家“十五五”规划纲要文件中明确提出“促进实体经济和数字经济深度融合”</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师市需要立足自身区位优势与资源禀赋，</w:t>
      </w:r>
      <w:r>
        <w:rPr>
          <w:rFonts w:hint="eastAsia"/>
        </w:rPr>
        <w:t>大力发展数字产业，赋能产业数字化，激活数据要素价值、深化实数融合，用足政策支撑，乘势发展数字经济。</w:t>
      </w:r>
    </w:p>
    <w:p w14:paraId="74589752">
      <w:pPr>
        <w:ind w:firstLine="643"/>
        <w:rPr>
          <w:color w:val="000000" w:themeColor="text1"/>
          <w14:textFill>
            <w14:solidFill>
              <w14:schemeClr w14:val="tx1"/>
            </w14:solidFill>
          </w14:textFill>
        </w:rPr>
      </w:pPr>
      <w:r>
        <w:rPr>
          <w:rFonts w:hint="eastAsia"/>
          <w:b/>
          <w:bCs/>
          <w:color w:val="000000" w:themeColor="text1"/>
          <w14:textFill>
            <w14:solidFill>
              <w14:schemeClr w14:val="tx1"/>
            </w14:solidFill>
          </w14:textFill>
        </w:rPr>
        <w:t>从兵团布局看，</w:t>
      </w:r>
      <w:r>
        <w:rPr>
          <w:rFonts w:hint="eastAsia"/>
          <w:color w:val="000000" w:themeColor="text1"/>
          <w14:textFill>
            <w14:solidFill>
              <w14:schemeClr w14:val="tx1"/>
            </w14:solidFill>
          </w14:textFill>
        </w:rPr>
        <w:t>兵团紧扣国家战略部署，聚焦绿色算力、智能装备、电子新材料、低空经济、特色农业、跨境电商等重</w:t>
      </w:r>
      <w:r>
        <w:rPr>
          <w:rFonts w:hint="eastAsia"/>
        </w:rPr>
        <w:t>点领域引导产业集群成链发展，推动各师市差异化布局、错位协同发展。兵团推进兵地融合、对口援疆、区域结对等机制，畅通要素流动渠道，完善政策支撑、项目统筹、平台共建体系，为承接产业外溢、统筹算力调度、拓展算力出海，汇聚数据资源、共建应用场景创造有利条件。师市</w:t>
      </w:r>
      <w:r>
        <w:t>需</w:t>
      </w:r>
      <w:r>
        <w:rPr>
          <w:rFonts w:hint="eastAsia"/>
        </w:rPr>
        <w:t>要对齐兵团数字经济行动</w:t>
      </w:r>
      <w:r>
        <w:rPr>
          <w:rFonts w:hint="eastAsia"/>
          <w:color w:val="000000" w:themeColor="text1"/>
          <w14:textFill>
            <w14:solidFill>
              <w14:schemeClr w14:val="tx1"/>
            </w14:solidFill>
          </w14:textFill>
        </w:rPr>
        <w:t>计划，</w:t>
      </w:r>
      <w:r>
        <w:rPr>
          <w:color w:val="000000" w:themeColor="text1"/>
          <w14:textFill>
            <w14:solidFill>
              <w14:schemeClr w14:val="tx1"/>
            </w14:solidFill>
          </w14:textFill>
        </w:rPr>
        <w:t>立足本地实际将数字经济作为发展重点，培育</w:t>
      </w:r>
      <w:r>
        <w:rPr>
          <w:rFonts w:hint="eastAsia"/>
          <w:color w:val="000000" w:themeColor="text1"/>
          <w14:textFill>
            <w14:solidFill>
              <w14:schemeClr w14:val="tx1"/>
            </w14:solidFill>
          </w14:textFill>
        </w:rPr>
        <w:t>经济社会</w:t>
      </w:r>
      <w:r>
        <w:rPr>
          <w:color w:val="000000" w:themeColor="text1"/>
          <w14:textFill>
            <w14:solidFill>
              <w14:schemeClr w14:val="tx1"/>
            </w14:solidFill>
          </w14:textFill>
        </w:rPr>
        <w:t>高质量发展新增长极。</w:t>
      </w:r>
    </w:p>
    <w:p w14:paraId="05B207EC">
      <w:pPr>
        <w:ind w:firstLine="643"/>
        <w:rPr>
          <w:color w:val="000000" w:themeColor="text1"/>
          <w14:textFill>
            <w14:solidFill>
              <w14:schemeClr w14:val="tx1"/>
            </w14:solidFill>
          </w14:textFill>
        </w:rPr>
      </w:pPr>
      <w:r>
        <w:rPr>
          <w:rFonts w:hint="eastAsia"/>
          <w:b/>
          <w:bCs/>
          <w:color w:val="000000" w:themeColor="text1"/>
          <w14:textFill>
            <w14:solidFill>
              <w14:schemeClr w14:val="tx1"/>
            </w14:solidFill>
          </w14:textFill>
        </w:rPr>
        <w:t>从师市发展看，</w:t>
      </w:r>
      <w:r>
        <w:rPr>
          <w:rFonts w:hint="eastAsia"/>
        </w:rPr>
        <w:t>“十五五”时期，师市处于重大机遇多重叠加、经济社会跨越发展、改革开放深入推进、基本实现社会主义现代化的关键时期。</w:t>
      </w:r>
      <w:r>
        <w:rPr>
          <w:rFonts w:hint="eastAsia"/>
          <w:color w:val="000000" w:themeColor="text1"/>
          <w14:textFill>
            <w14:solidFill>
              <w14:schemeClr w14:val="tx1"/>
            </w14:solidFill>
          </w14:textFill>
        </w:rPr>
        <w:t>师市地处国家开放前沿通道</w:t>
      </w:r>
      <w:r>
        <w:rPr>
          <w:rFonts w:hint="eastAsia"/>
        </w:rPr>
        <w:t>，</w:t>
      </w:r>
      <w:r>
        <w:rPr>
          <w:rFonts w:hint="eastAsia"/>
          <w:color w:val="000000" w:themeColor="text1"/>
          <w14:textFill>
            <w14:solidFill>
              <w14:schemeClr w14:val="tx1"/>
            </w14:solidFill>
          </w14:textFill>
        </w:rPr>
        <w:t>是联通亚欧黄金通道的“咽喉要道”“核心通道”，区位优势得天独厚；集聚绿色能源、特色农业、物流枢纽、跨境口岸等资源禀赋，叠加兵地融合、对口援疆等机制红利，综合优势突出。师市需</w:t>
      </w:r>
      <w:r>
        <w:rPr>
          <w:rFonts w:hint="eastAsia"/>
        </w:rPr>
        <w:t>加快</w:t>
      </w:r>
      <w:r>
        <w:rPr>
          <w:rFonts w:hint="eastAsia"/>
          <w:color w:val="000000" w:themeColor="text1"/>
          <w14:textFill>
            <w14:solidFill>
              <w14:schemeClr w14:val="tx1"/>
            </w14:solidFill>
          </w14:textFill>
        </w:rPr>
        <w:t>培育壮大绿色算力、特色数据、低空经济和人工智能等新型产业和未来产业，持续推动</w:t>
      </w:r>
      <w:r>
        <w:rPr>
          <w:rFonts w:hint="eastAsia"/>
        </w:rPr>
        <w:t>现代农业、新型工业和服务业数字化转型，做大做强核心优势产业，以数字经济全方位赋能师市经济社会高质量发展。</w:t>
      </w:r>
      <w:r>
        <w:rPr>
          <w:color w:val="000000" w:themeColor="text1"/>
          <w14:textFill>
            <w14:solidFill>
              <w14:schemeClr w14:val="tx1"/>
            </w14:solidFill>
          </w14:textFill>
        </w:rPr>
        <w:br w:type="page"/>
      </w:r>
    </w:p>
    <w:p w14:paraId="19E6A834">
      <w:pPr>
        <w:pStyle w:val="2"/>
        <w:spacing w:line="576" w:lineRule="exact"/>
        <w:ind w:firstLine="0"/>
        <w:rPr>
          <w:rFonts w:hint="eastAsia"/>
        </w:rPr>
      </w:pPr>
      <w:bookmarkStart w:id="32" w:name="_Toc18549"/>
      <w:bookmarkStart w:id="33" w:name="_Toc20968"/>
      <w:bookmarkStart w:id="34" w:name="_Toc17296"/>
      <w:bookmarkStart w:id="35" w:name="_Toc11940"/>
      <w:bookmarkStart w:id="36" w:name="_Toc31234"/>
      <w:bookmarkStart w:id="37" w:name="_Toc4605"/>
      <w:r>
        <w:rPr>
          <w:rFonts w:hint="eastAsia"/>
        </w:rPr>
        <w:t>总体要求</w:t>
      </w:r>
      <w:bookmarkEnd w:id="32"/>
      <w:bookmarkEnd w:id="33"/>
      <w:bookmarkEnd w:id="34"/>
      <w:bookmarkEnd w:id="35"/>
      <w:bookmarkEnd w:id="36"/>
      <w:bookmarkEnd w:id="37"/>
    </w:p>
    <w:p w14:paraId="40CF8099">
      <w:pPr>
        <w:pStyle w:val="3"/>
        <w:spacing w:line="576" w:lineRule="exact"/>
        <w:rPr>
          <w:rFonts w:hint="eastAsia"/>
        </w:rPr>
      </w:pPr>
      <w:bookmarkStart w:id="38" w:name="_Toc18087"/>
      <w:bookmarkStart w:id="39" w:name="_Toc10169"/>
      <w:bookmarkStart w:id="40" w:name="_Toc13163"/>
      <w:bookmarkStart w:id="41" w:name="_Toc19853"/>
      <w:bookmarkStart w:id="42" w:name="_Toc19465"/>
      <w:bookmarkStart w:id="43" w:name="_Toc29476"/>
      <w:bookmarkStart w:id="44" w:name="_Toc29318"/>
      <w:bookmarkStart w:id="45" w:name="_Toc22957"/>
      <w:bookmarkStart w:id="46" w:name="_Toc5007"/>
      <w:bookmarkStart w:id="47" w:name="_Toc15902"/>
      <w:bookmarkStart w:id="48" w:name="_Toc16014"/>
      <w:bookmarkStart w:id="49" w:name="_Toc22380"/>
      <w:r>
        <w:rPr>
          <w:rFonts w:hint="eastAsia"/>
        </w:rPr>
        <w:t>指导思想</w:t>
      </w:r>
      <w:bookmarkEnd w:id="38"/>
      <w:bookmarkEnd w:id="39"/>
      <w:bookmarkEnd w:id="40"/>
      <w:bookmarkEnd w:id="41"/>
      <w:bookmarkEnd w:id="42"/>
      <w:bookmarkEnd w:id="43"/>
      <w:bookmarkEnd w:id="44"/>
      <w:bookmarkEnd w:id="45"/>
      <w:bookmarkEnd w:id="46"/>
    </w:p>
    <w:p w14:paraId="73853FC7">
      <w:pPr>
        <w:spacing w:line="576" w:lineRule="exact"/>
        <w:ind w:firstLine="640"/>
        <w:rPr>
          <w:color w:val="000000" w:themeColor="text1"/>
          <w14:textFill>
            <w14:solidFill>
              <w14:schemeClr w14:val="tx1"/>
            </w14:solidFill>
          </w14:textFill>
        </w:rPr>
      </w:pPr>
      <w:bookmarkStart w:id="50" w:name="_Toc26679"/>
      <w:bookmarkStart w:id="51" w:name="_Toc11960"/>
      <w:bookmarkStart w:id="52" w:name="_Toc7202"/>
      <w:bookmarkStart w:id="53" w:name="_Toc17167"/>
      <w:bookmarkStart w:id="54" w:name="_Toc31886"/>
      <w:bookmarkStart w:id="55" w:name="_Toc215"/>
      <w:bookmarkStart w:id="56" w:name="_Toc25311"/>
      <w:bookmarkStart w:id="57" w:name="_Toc22561"/>
      <w:r>
        <w:rPr>
          <w:color w:val="000000" w:themeColor="text1"/>
          <w14:textFill>
            <w14:solidFill>
              <w14:schemeClr w14:val="tx1"/>
            </w14:solidFill>
          </w14:textFill>
        </w:rPr>
        <w:t>坚持以习近平新时代中国特色社会主义思想为指导，深入贯彻党的二十大和二十届历次全会精神，</w:t>
      </w:r>
      <w:r>
        <w:rPr>
          <w:rFonts w:hint="eastAsia"/>
          <w:color w:val="000000" w:themeColor="text1"/>
          <w14:textFill>
            <w14:solidFill>
              <w14:schemeClr w14:val="tx1"/>
            </w14:solidFill>
          </w14:textFill>
        </w:rPr>
        <w:t>全面贯彻新时代党的治疆方略和党中央对兵团定位要求，</w:t>
      </w:r>
      <w:r>
        <w:rPr>
          <w:color w:val="000000" w:themeColor="text1"/>
          <w14:textFill>
            <w14:solidFill>
              <w14:schemeClr w14:val="tx1"/>
            </w14:solidFill>
          </w14:textFill>
        </w:rPr>
        <w:t>全面</w:t>
      </w:r>
      <w:r>
        <w:rPr>
          <w:rFonts w:hint="eastAsia"/>
          <w:color w:val="000000" w:themeColor="text1"/>
          <w14:textFill>
            <w14:solidFill>
              <w14:schemeClr w14:val="tx1"/>
            </w14:solidFill>
          </w14:textFill>
        </w:rPr>
        <w:t>贯彻</w:t>
      </w:r>
      <w:r>
        <w:rPr>
          <w:color w:val="000000" w:themeColor="text1"/>
          <w14:textFill>
            <w14:solidFill>
              <w14:schemeClr w14:val="tx1"/>
            </w14:solidFill>
          </w14:textFill>
        </w:rPr>
        <w:t>习近平总书记关于数字经济的重要论述，</w:t>
      </w:r>
      <w:r>
        <w:rPr>
          <w:rFonts w:hint="eastAsia"/>
          <w:color w:val="000000" w:themeColor="text1"/>
          <w14:textFill>
            <w14:solidFill>
              <w14:schemeClr w14:val="tx1"/>
            </w14:solidFill>
          </w14:textFill>
        </w:rPr>
        <w:t>遵</w:t>
      </w:r>
      <w:r>
        <w:rPr>
          <w:color w:val="000000" w:themeColor="text1"/>
          <w14:textFill>
            <w14:solidFill>
              <w14:schemeClr w14:val="tx1"/>
            </w14:solidFill>
          </w14:textFill>
        </w:rPr>
        <w:t>照兵团</w:t>
      </w:r>
      <w:r>
        <w:rPr>
          <w:rFonts w:hint="eastAsia"/>
          <w:color w:val="000000" w:themeColor="text1"/>
          <w14:textFill>
            <w14:solidFill>
              <w14:schemeClr w14:val="tx1"/>
            </w14:solidFill>
          </w14:textFill>
        </w:rPr>
        <w:t>数字经济行动计划任务</w:t>
      </w:r>
      <w:r>
        <w:rPr>
          <w:color w:val="000000" w:themeColor="text1"/>
          <w14:textFill>
            <w14:solidFill>
              <w14:schemeClr w14:val="tx1"/>
            </w14:solidFill>
          </w14:textFill>
        </w:rPr>
        <w:t>部署</w:t>
      </w:r>
      <w:r>
        <w:rPr>
          <w:rFonts w:hint="eastAsia"/>
          <w:color w:val="000000" w:themeColor="text1"/>
          <w14:textFill>
            <w14:solidFill>
              <w14:schemeClr w14:val="tx1"/>
            </w14:solidFill>
          </w14:textFill>
        </w:rPr>
        <w:t>要求</w:t>
      </w:r>
      <w:r>
        <w:rPr>
          <w:color w:val="000000" w:themeColor="text1"/>
          <w14:textFill>
            <w14:solidFill>
              <w14:schemeClr w14:val="tx1"/>
            </w14:solidFill>
          </w14:textFill>
        </w:rPr>
        <w:t>，</w:t>
      </w:r>
      <w:r>
        <w:t>坚持</w:t>
      </w:r>
      <w:r>
        <w:rPr>
          <w:rFonts w:hint="eastAsia"/>
        </w:rPr>
        <w:t>战略引领、创新驱动、特色发展、开放协同，安全稳健</w:t>
      </w:r>
      <w:r>
        <w:t>，</w:t>
      </w:r>
      <w:r>
        <w:rPr>
          <w:rFonts w:hint="eastAsia"/>
        </w:rPr>
        <w:t>始终坚持</w:t>
      </w:r>
      <w:r>
        <w:t>以</w:t>
      </w:r>
      <w:r>
        <w:rPr>
          <w:rFonts w:cs="Times New Roman"/>
        </w:rPr>
        <w:t>数据要素市场化配置改革</w:t>
      </w:r>
      <w:r>
        <w:t>为主线，以打造</w:t>
      </w:r>
      <w:r>
        <w:rPr>
          <w:rFonts w:hint="eastAsia"/>
        </w:rPr>
        <w:t>师市</w:t>
      </w:r>
      <w:r>
        <w:t>数字经济</w:t>
      </w:r>
      <w:r>
        <w:rPr>
          <w:rFonts w:hint="eastAsia"/>
        </w:rPr>
        <w:t>核心区</w:t>
      </w:r>
      <w:r>
        <w:t>为抓手，以做大做强新一代信息技术产业为基础，以加快</w:t>
      </w:r>
      <w:r>
        <w:rPr>
          <w:rFonts w:hint="eastAsia"/>
        </w:rPr>
        <w:t>数字技术</w:t>
      </w:r>
      <w:r>
        <w:t>与实体经济深入融合为重点，突出</w:t>
      </w:r>
      <w:r>
        <w:rPr>
          <w:rFonts w:hint="eastAsia"/>
        </w:rPr>
        <w:t>特色农业和</w:t>
      </w:r>
      <w:r>
        <w:t>制造业</w:t>
      </w:r>
      <w:r>
        <w:rPr>
          <w:rFonts w:hint="eastAsia"/>
        </w:rPr>
        <w:t>数智化建设，统筹师市数字经济生产力布局，加快绿色算力和智能制造特色数字产业集群发展</w:t>
      </w:r>
      <w:r>
        <w:t>，一体化构建数据要素资源体系</w:t>
      </w:r>
      <w:r>
        <w:rPr>
          <w:rFonts w:hint="eastAsia"/>
        </w:rPr>
        <w:t>，</w:t>
      </w:r>
      <w:r>
        <w:t>系统性布局数字基础设施</w:t>
      </w:r>
      <w:r>
        <w:rPr>
          <w:rFonts w:hint="eastAsia"/>
        </w:rPr>
        <w:t>，</w:t>
      </w:r>
      <w:r>
        <w:t>推动实体经济和数字经济深度</w:t>
      </w:r>
      <w:r>
        <w:rPr>
          <w:color w:val="000000" w:themeColor="text1"/>
          <w14:textFill>
            <w14:solidFill>
              <w14:schemeClr w14:val="tx1"/>
            </w14:solidFill>
          </w14:textFill>
        </w:rPr>
        <w:t>融合</w:t>
      </w:r>
      <w:r>
        <w:rPr>
          <w:rFonts w:hint="eastAsia"/>
          <w:color w:val="000000" w:themeColor="text1"/>
          <w14:textFill>
            <w14:solidFill>
              <w14:schemeClr w14:val="tx1"/>
            </w14:solidFill>
          </w14:textFill>
        </w:rPr>
        <w:t>，增强师市</w:t>
      </w:r>
      <w:r>
        <w:rPr>
          <w:color w:val="000000" w:themeColor="text1"/>
          <w14:textFill>
            <w14:solidFill>
              <w14:schemeClr w14:val="tx1"/>
            </w14:solidFill>
          </w14:textFill>
        </w:rPr>
        <w:t>数字经济核心竞争力</w:t>
      </w:r>
      <w:r>
        <w:rPr>
          <w:rFonts w:hint="eastAsia"/>
          <w:color w:val="000000" w:themeColor="text1"/>
          <w14:textFill>
            <w14:solidFill>
              <w14:schemeClr w14:val="tx1"/>
            </w14:solidFill>
          </w14:textFill>
        </w:rPr>
        <w:t>，</w:t>
      </w:r>
      <w:r>
        <w:rPr>
          <w:rFonts w:hint="eastAsia"/>
          <w:b/>
          <w:bCs/>
          <w:color w:val="000000" w:themeColor="text1"/>
          <w14:textFill>
            <w14:solidFill>
              <w14:schemeClr w14:val="tx1"/>
            </w14:solidFill>
          </w14:textFill>
        </w:rPr>
        <w:t>凝心</w:t>
      </w:r>
      <w:r>
        <w:rPr>
          <w:b/>
          <w:bCs/>
          <w:color w:val="000000" w:themeColor="text1"/>
          <w14:textFill>
            <w14:solidFill>
              <w14:schemeClr w14:val="tx1"/>
            </w14:solidFill>
          </w14:textFill>
        </w:rPr>
        <w:t>聚力</w:t>
      </w:r>
      <w:r>
        <w:rPr>
          <w:rFonts w:hint="eastAsia"/>
          <w:b/>
          <w:bCs/>
        </w:rPr>
        <w:t>将师市打造成为具有兵团核心竞争力和天山北坡知名的“北疆数字经济高地”</w:t>
      </w:r>
      <w:r>
        <w:rPr>
          <w:b/>
          <w:bCs/>
          <w:color w:val="000000" w:themeColor="text1"/>
          <w14:textFill>
            <w14:solidFill>
              <w14:schemeClr w14:val="tx1"/>
            </w14:solidFill>
          </w14:textFill>
        </w:rPr>
        <w:t>。</w:t>
      </w:r>
    </w:p>
    <w:p w14:paraId="59EC9919">
      <w:pPr>
        <w:pStyle w:val="3"/>
        <w:spacing w:line="576" w:lineRule="exact"/>
        <w:rPr>
          <w:rFonts w:hint="eastAsia"/>
        </w:rPr>
      </w:pPr>
      <w:bookmarkStart w:id="58" w:name="_Toc16890"/>
      <w:r>
        <w:rPr>
          <w:rFonts w:hint="eastAsia"/>
        </w:rPr>
        <w:t>思路定位</w:t>
      </w:r>
      <w:bookmarkEnd w:id="58"/>
    </w:p>
    <w:p w14:paraId="64BA2BD2">
      <w:pPr>
        <w:spacing w:line="576" w:lineRule="exact"/>
        <w:ind w:firstLine="640"/>
        <w:rPr>
          <w:rFonts w:cs="Times New Roman"/>
        </w:rPr>
      </w:pPr>
      <w:r>
        <w:rPr>
          <w:rFonts w:cs="Times New Roman"/>
        </w:rPr>
        <w:t>师市</w:t>
      </w:r>
      <w:r>
        <w:rPr>
          <w:rFonts w:hint="eastAsia" w:cs="Times New Roman"/>
        </w:rPr>
        <w:t>以</w:t>
      </w:r>
      <w:r>
        <w:rPr>
          <w:rFonts w:cs="Times New Roman"/>
        </w:rPr>
        <w:t>推进数字经济创新发展为总牵引，</w:t>
      </w:r>
      <w:r>
        <w:rPr>
          <w:rFonts w:hint="eastAsia" w:cs="Times New Roman"/>
        </w:rPr>
        <w:t>紧扣师市“</w:t>
      </w:r>
      <w:r>
        <w:rPr>
          <w:rFonts w:cs="Times New Roman"/>
        </w:rPr>
        <w:t>绿色智慧赋能</w:t>
      </w:r>
      <w:r>
        <w:rPr>
          <w:rFonts w:hint="eastAsia" w:cs="Times New Roman"/>
        </w:rPr>
        <w:t>”</w:t>
      </w:r>
      <w:r>
        <w:rPr>
          <w:rFonts w:cs="Times New Roman"/>
        </w:rPr>
        <w:t>发展战略</w:t>
      </w:r>
      <w:r>
        <w:rPr>
          <w:rFonts w:hint="eastAsia" w:cs="Times New Roman"/>
        </w:rPr>
        <w:t>，锚定“</w:t>
      </w:r>
      <w:r>
        <w:rPr>
          <w:rFonts w:cs="Times New Roman"/>
        </w:rPr>
        <w:t>北疆数字经济高地</w:t>
      </w:r>
      <w:r>
        <w:rPr>
          <w:rFonts w:hint="eastAsia" w:cs="Times New Roman"/>
        </w:rPr>
        <w:t>”</w:t>
      </w:r>
      <w:r>
        <w:rPr>
          <w:rFonts w:cs="Times New Roman"/>
        </w:rPr>
        <w:t>总体</w:t>
      </w:r>
      <w:r>
        <w:rPr>
          <w:rFonts w:hint="eastAsia" w:cs="Times New Roman"/>
        </w:rPr>
        <w:t>建设</w:t>
      </w:r>
      <w:r>
        <w:rPr>
          <w:rFonts w:cs="Times New Roman"/>
        </w:rPr>
        <w:t>目标，基本思路可归纳为</w:t>
      </w:r>
      <w:r>
        <w:rPr>
          <w:rFonts w:hint="eastAsia" w:cs="Times New Roman"/>
        </w:rPr>
        <w:t>“</w:t>
      </w:r>
      <w:r>
        <w:rPr>
          <w:rFonts w:cs="Times New Roman"/>
        </w:rPr>
        <w:t>3+1+4+1</w:t>
      </w:r>
      <w:r>
        <w:rPr>
          <w:rFonts w:hint="eastAsia" w:cs="Times New Roman"/>
        </w:rPr>
        <w:t>”</w:t>
      </w:r>
      <w:r>
        <w:rPr>
          <w:rFonts w:cs="Times New Roman"/>
        </w:rPr>
        <w:t>，</w:t>
      </w:r>
      <w:r>
        <w:rPr>
          <w:rFonts w:hint="eastAsia" w:cs="Times New Roman"/>
        </w:rPr>
        <w:t>从</w:t>
      </w:r>
      <w:r>
        <w:rPr>
          <w:rFonts w:cs="Times New Roman"/>
        </w:rPr>
        <w:t>发展定位、实现路径、主要任务和园区建设</w:t>
      </w:r>
      <w:r>
        <w:rPr>
          <w:rFonts w:hint="eastAsia" w:cs="Times New Roman"/>
        </w:rPr>
        <w:t>等方面</w:t>
      </w:r>
      <w:r>
        <w:rPr>
          <w:rFonts w:cs="Times New Roman"/>
        </w:rPr>
        <w:t>进行全方位</w:t>
      </w:r>
      <w:r>
        <w:rPr>
          <w:rFonts w:hint="eastAsia" w:cs="Times New Roman"/>
        </w:rPr>
        <w:t>统筹</w:t>
      </w:r>
      <w:r>
        <w:rPr>
          <w:rFonts w:cs="Times New Roman"/>
        </w:rPr>
        <w:t>部署。</w:t>
      </w:r>
    </w:p>
    <w:p w14:paraId="55300C07">
      <w:pPr>
        <w:spacing w:line="360" w:lineRule="auto"/>
        <w:ind w:firstLine="0" w:firstLineChars="0"/>
        <w:rPr>
          <w:rFonts w:hint="eastAsia" w:eastAsia="仿宋_GB2312"/>
          <w:lang w:eastAsia="zh-CN"/>
        </w:rPr>
      </w:pPr>
      <w:r>
        <w:rPr>
          <w:rFonts w:hint="eastAsia" w:eastAsia="仿宋_GB2312"/>
          <w:lang w:eastAsia="zh-CN"/>
        </w:rPr>
        <w:drawing>
          <wp:inline distT="0" distB="0" distL="114300" distR="114300">
            <wp:extent cx="5539740" cy="2682875"/>
            <wp:effectExtent l="0" t="0" r="3810" b="3175"/>
            <wp:docPr id="7" name="图片 7" descr="9ab37d4c0185696ea70fbbe45acd7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9ab37d4c0185696ea70fbbe45acd7121"/>
                    <pic:cNvPicPr>
                      <a:picLocks noChangeAspect="1"/>
                    </pic:cNvPicPr>
                  </pic:nvPicPr>
                  <pic:blipFill>
                    <a:blip r:embed="rId20"/>
                    <a:stretch>
                      <a:fillRect/>
                    </a:stretch>
                  </pic:blipFill>
                  <pic:spPr>
                    <a:xfrm>
                      <a:off x="0" y="0"/>
                      <a:ext cx="5539740" cy="2682875"/>
                    </a:xfrm>
                    <a:prstGeom prst="rect">
                      <a:avLst/>
                    </a:prstGeom>
                  </pic:spPr>
                </pic:pic>
              </a:graphicData>
            </a:graphic>
          </wp:inline>
        </w:drawing>
      </w:r>
    </w:p>
    <w:p w14:paraId="2F4A423C">
      <w:pPr>
        <w:ind w:firstLine="0" w:firstLineChars="0"/>
        <w:jc w:val="center"/>
        <w:rPr>
          <w:rFonts w:ascii="楷体_GB2312" w:eastAsia="楷体_GB2312" w:cs="Times New Roman"/>
          <w:b/>
          <w:bCs/>
          <w:color w:val="000000" w:themeColor="text1"/>
          <w:sz w:val="24"/>
          <w:szCs w:val="24"/>
          <w14:textFill>
            <w14:solidFill>
              <w14:schemeClr w14:val="tx1"/>
            </w14:solidFill>
          </w14:textFill>
        </w:rPr>
      </w:pPr>
      <w:r>
        <w:rPr>
          <w:rFonts w:hint="eastAsia" w:ascii="楷体_GB2312" w:eastAsia="楷体_GB2312" w:cs="Times New Roman"/>
          <w:b/>
          <w:bCs/>
          <w:color w:val="000000" w:themeColor="text1"/>
          <w:sz w:val="24"/>
          <w:szCs w:val="24"/>
          <w14:textFill>
            <w14:solidFill>
              <w14:schemeClr w14:val="tx1"/>
            </w14:solidFill>
          </w14:textFill>
        </w:rPr>
        <w:t>图1 第五师双河市“十五五”数字经济发展思路与定位</w:t>
      </w:r>
    </w:p>
    <w:p w14:paraId="4EDBBB88">
      <w:pPr>
        <w:ind w:firstLine="643"/>
        <w:rPr>
          <w:rFonts w:cs="Times New Roman"/>
          <w:color w:val="auto"/>
        </w:rPr>
      </w:pPr>
      <w:r>
        <w:rPr>
          <w:rFonts w:cs="Times New Roman"/>
          <w:b/>
          <w:bCs/>
          <w:color w:val="auto"/>
        </w:rPr>
        <w:t>立足3个定位</w:t>
      </w:r>
      <w:r>
        <w:rPr>
          <w:rFonts w:cs="Times New Roman"/>
          <w:color w:val="auto"/>
        </w:rPr>
        <w:t>。以建设天山北坡数字产业核心承载区、北疆产业数字化转型示范区、师市数字化治理试验区为发展定位。</w:t>
      </w:r>
    </w:p>
    <w:p w14:paraId="5EB63209">
      <w:pPr>
        <w:pStyle w:val="17"/>
        <w:bidi w:val="0"/>
        <w:rPr>
          <w:rFonts w:hint="eastAsia" w:cs="Times New Roman"/>
          <w:color w:val="auto"/>
          <w:sz w:val="32"/>
          <w:szCs w:val="32"/>
        </w:rPr>
      </w:pPr>
      <w:r>
        <w:rPr>
          <w:rFonts w:cs="Times New Roman"/>
          <w:b/>
          <w:bCs/>
          <w:color w:val="auto"/>
          <w:sz w:val="32"/>
          <w:szCs w:val="32"/>
        </w:rPr>
        <w:t>践行1条主线。</w:t>
      </w:r>
      <w:r>
        <w:rPr>
          <w:rFonts w:cs="Times New Roman"/>
          <w:color w:val="auto"/>
          <w:sz w:val="32"/>
          <w:szCs w:val="32"/>
        </w:rPr>
        <w:t>以数据要素市场化配置改革</w:t>
      </w:r>
      <w:r>
        <w:rPr>
          <w:rFonts w:hint="eastAsia" w:cs="Times New Roman"/>
          <w:color w:val="auto"/>
          <w:sz w:val="32"/>
          <w:szCs w:val="32"/>
        </w:rPr>
        <w:t>为主线，坚持“</w:t>
      </w:r>
      <w:r>
        <w:rPr>
          <w:rFonts w:cs="Times New Roman"/>
          <w:color w:val="auto"/>
          <w:sz w:val="32"/>
          <w:szCs w:val="32"/>
        </w:rPr>
        <w:t>数智兴业、数智赋能、数智治理</w:t>
      </w:r>
      <w:r>
        <w:rPr>
          <w:rFonts w:hint="eastAsia" w:cs="Times New Roman"/>
          <w:color w:val="auto"/>
          <w:sz w:val="32"/>
          <w:szCs w:val="32"/>
        </w:rPr>
        <w:t>”一体</w:t>
      </w:r>
      <w:r>
        <w:rPr>
          <w:rFonts w:hint="eastAsia" w:cs="Times New Roman"/>
          <w:color w:val="auto"/>
          <w:sz w:val="32"/>
          <w:szCs w:val="32"/>
          <w:lang w:val="en-US" w:eastAsia="zh-CN"/>
        </w:rPr>
        <w:t>化</w:t>
      </w:r>
      <w:r>
        <w:rPr>
          <w:rFonts w:hint="eastAsia" w:cs="Times New Roman"/>
          <w:color w:val="auto"/>
          <w:sz w:val="32"/>
          <w:szCs w:val="32"/>
        </w:rPr>
        <w:t>协同</w:t>
      </w:r>
      <w:r>
        <w:rPr>
          <w:rFonts w:cs="Times New Roman"/>
          <w:color w:val="auto"/>
          <w:sz w:val="32"/>
          <w:szCs w:val="32"/>
        </w:rPr>
        <w:t>，加快推动</w:t>
      </w:r>
      <w:r>
        <w:rPr>
          <w:rFonts w:hint="eastAsia" w:cs="Times New Roman"/>
          <w:color w:val="auto"/>
          <w:sz w:val="32"/>
          <w:szCs w:val="32"/>
        </w:rPr>
        <w:t>“</w:t>
      </w:r>
      <w:r>
        <w:rPr>
          <w:rFonts w:cs="Times New Roman"/>
          <w:color w:val="auto"/>
          <w:sz w:val="32"/>
          <w:szCs w:val="32"/>
        </w:rPr>
        <w:t>北疆数字经济高地</w:t>
      </w:r>
      <w:r>
        <w:rPr>
          <w:rFonts w:hint="eastAsia" w:cs="Times New Roman"/>
          <w:color w:val="auto"/>
          <w:sz w:val="32"/>
          <w:szCs w:val="32"/>
        </w:rPr>
        <w:t>”</w:t>
      </w:r>
      <w:r>
        <w:rPr>
          <w:rFonts w:cs="Times New Roman"/>
          <w:color w:val="auto"/>
          <w:sz w:val="32"/>
          <w:szCs w:val="32"/>
        </w:rPr>
        <w:t>全面发展。</w:t>
      </w:r>
    </w:p>
    <w:p w14:paraId="0EAA771D">
      <w:pPr>
        <w:ind w:firstLine="643"/>
        <w:rPr>
          <w:rFonts w:cs="Times New Roman"/>
          <w:color w:val="auto"/>
        </w:rPr>
      </w:pPr>
      <w:r>
        <w:rPr>
          <w:rFonts w:cs="Times New Roman"/>
          <w:b/>
          <w:bCs/>
          <w:color w:val="auto"/>
        </w:rPr>
        <w:t>主抓4项任务。</w:t>
      </w:r>
      <w:r>
        <w:rPr>
          <w:rFonts w:cs="Times New Roman"/>
          <w:color w:val="auto"/>
        </w:rPr>
        <w:t>构建以培育发展壮大特色数字产业集群、深入推进实体经济与数字经济深度融合、统筹优化师市数字治理发展环境和深化区域协同联动开放合作发展4项重点工作为核心的任务体系，作为建设师市</w:t>
      </w:r>
      <w:r>
        <w:rPr>
          <w:rFonts w:hint="eastAsia" w:cs="Times New Roman"/>
          <w:color w:val="auto"/>
        </w:rPr>
        <w:t>“</w:t>
      </w:r>
      <w:r>
        <w:rPr>
          <w:rFonts w:cs="Times New Roman"/>
          <w:color w:val="auto"/>
        </w:rPr>
        <w:t>北疆数字经济高地</w:t>
      </w:r>
      <w:r>
        <w:rPr>
          <w:rFonts w:hint="eastAsia" w:cs="Times New Roman"/>
          <w:color w:val="auto"/>
        </w:rPr>
        <w:t>”</w:t>
      </w:r>
      <w:r>
        <w:rPr>
          <w:rFonts w:cs="Times New Roman"/>
          <w:color w:val="auto"/>
        </w:rPr>
        <w:t>的4大支柱。构建</w:t>
      </w:r>
      <w:r>
        <w:rPr>
          <w:rFonts w:hint="eastAsia" w:cs="Times New Roman"/>
          <w:color w:val="auto"/>
        </w:rPr>
        <w:t>“</w:t>
      </w:r>
      <w:r>
        <w:rPr>
          <w:rFonts w:cs="Times New Roman"/>
          <w:color w:val="auto"/>
        </w:rPr>
        <w:t>数字制造立基、算力能源赋能、数据要素驱动、数智双河示范</w:t>
      </w:r>
      <w:r>
        <w:rPr>
          <w:rFonts w:hint="eastAsia" w:cs="Times New Roman"/>
          <w:color w:val="auto"/>
        </w:rPr>
        <w:t>”</w:t>
      </w:r>
      <w:r>
        <w:rPr>
          <w:rFonts w:cs="Times New Roman"/>
          <w:color w:val="auto"/>
        </w:rPr>
        <w:t>的特色发展布局，积极融入兵团</w:t>
      </w:r>
      <w:r>
        <w:rPr>
          <w:rFonts w:hint="eastAsia" w:cs="Times New Roman"/>
          <w:color w:val="auto"/>
        </w:rPr>
        <w:t>“</w:t>
      </w:r>
      <w:r>
        <w:rPr>
          <w:rFonts w:cs="Times New Roman"/>
          <w:color w:val="auto"/>
        </w:rPr>
        <w:t>双廊协同、全域联动</w:t>
      </w:r>
      <w:r>
        <w:rPr>
          <w:rFonts w:hint="eastAsia" w:cs="Times New Roman"/>
          <w:color w:val="auto"/>
        </w:rPr>
        <w:t>”</w:t>
      </w:r>
      <w:r>
        <w:rPr>
          <w:rFonts w:cs="Times New Roman"/>
          <w:color w:val="auto"/>
        </w:rPr>
        <w:t>的数字经济产业发展格局。</w:t>
      </w:r>
    </w:p>
    <w:p w14:paraId="3CA83FF8">
      <w:pPr>
        <w:ind w:firstLine="643"/>
        <w:rPr>
          <w:rFonts w:cs="Times New Roman"/>
        </w:rPr>
      </w:pPr>
      <w:r>
        <w:rPr>
          <w:rFonts w:cs="Times New Roman"/>
          <w:b/>
          <w:bCs/>
        </w:rPr>
        <w:t>打造1个园区。</w:t>
      </w:r>
      <w:r>
        <w:rPr>
          <w:rFonts w:cs="Times New Roman"/>
        </w:rPr>
        <w:t>积极推动建设1个师市数字经济示范园区：双河经开区绿色算力产业园区。将园区作为</w:t>
      </w:r>
      <w:r>
        <w:rPr>
          <w:rFonts w:hint="eastAsia" w:cs="Times New Roman"/>
        </w:rPr>
        <w:t>“</w:t>
      </w:r>
      <w:r>
        <w:rPr>
          <w:rFonts w:cs="Times New Roman"/>
        </w:rPr>
        <w:t>北疆数字经济高地</w:t>
      </w:r>
      <w:r>
        <w:rPr>
          <w:rFonts w:hint="eastAsia" w:cs="Times New Roman"/>
        </w:rPr>
        <w:t>”</w:t>
      </w:r>
      <w:r>
        <w:rPr>
          <w:rFonts w:cs="Times New Roman"/>
        </w:rPr>
        <w:t>的发展示范窗口。</w:t>
      </w:r>
    </w:p>
    <w:p w14:paraId="1DAADBEC">
      <w:pPr>
        <w:pStyle w:val="3"/>
        <w:rPr>
          <w:rFonts w:hint="eastAsia"/>
        </w:rPr>
      </w:pPr>
      <w:bookmarkStart w:id="59" w:name="_Toc4471"/>
      <w:r>
        <w:rPr>
          <w:rFonts w:hint="eastAsia"/>
        </w:rPr>
        <w:t>发展原则</w:t>
      </w:r>
      <w:bookmarkEnd w:id="50"/>
      <w:bookmarkEnd w:id="51"/>
      <w:bookmarkEnd w:id="52"/>
      <w:bookmarkEnd w:id="53"/>
      <w:bookmarkEnd w:id="54"/>
      <w:bookmarkEnd w:id="55"/>
      <w:bookmarkEnd w:id="56"/>
      <w:bookmarkEnd w:id="57"/>
      <w:bookmarkEnd w:id="59"/>
      <w:bookmarkStart w:id="60" w:name="_Toc24599"/>
      <w:bookmarkStart w:id="61" w:name="_Toc16559"/>
      <w:bookmarkStart w:id="62" w:name="_Toc20534"/>
      <w:bookmarkStart w:id="63" w:name="_Toc1751"/>
    </w:p>
    <w:bookmarkEnd w:id="47"/>
    <w:bookmarkEnd w:id="48"/>
    <w:bookmarkEnd w:id="49"/>
    <w:bookmarkEnd w:id="60"/>
    <w:bookmarkEnd w:id="61"/>
    <w:bookmarkEnd w:id="62"/>
    <w:bookmarkEnd w:id="63"/>
    <w:p w14:paraId="3EC3A382">
      <w:pPr>
        <w:tabs>
          <w:tab w:val="left" w:pos="4985"/>
        </w:tabs>
        <w:ind w:firstLine="643"/>
      </w:pPr>
      <w:bookmarkStart w:id="64" w:name="_Toc5507"/>
      <w:bookmarkStart w:id="65" w:name="_Toc28078"/>
      <w:bookmarkStart w:id="66" w:name="_Toc26338"/>
      <w:bookmarkStart w:id="67" w:name="_Toc3500"/>
      <w:bookmarkStart w:id="68" w:name="_Toc25554"/>
      <w:r>
        <w:rPr>
          <w:rFonts w:hint="eastAsia"/>
          <w:b/>
          <w:bCs/>
        </w:rPr>
        <w:t>坚持战略引领、高位对标。</w:t>
      </w:r>
      <w:r>
        <w:rPr>
          <w:rFonts w:hint="eastAsia"/>
        </w:rPr>
        <w:t>衔接“数字中国”“东数西算”“人工智能+”“数字丝绸之路”等重大战略，精准对齐数字兵团、数字经济总体安排部署，紧扣师市全面实现“四基两区”战略目标，锚定</w:t>
      </w:r>
      <w:r>
        <w:t>兵团天山北坡数字经济发展廊道</w:t>
      </w:r>
      <w:r>
        <w:rPr>
          <w:rFonts w:hint="eastAsia"/>
        </w:rPr>
        <w:t>定位，以高位战略谋划引领师市数字经济高质量可持续发展。</w:t>
      </w:r>
    </w:p>
    <w:p w14:paraId="72648399">
      <w:pPr>
        <w:ind w:firstLine="643"/>
      </w:pPr>
      <w:r>
        <w:rPr>
          <w:rFonts w:hint="eastAsia"/>
          <w:b/>
          <w:bCs/>
        </w:rPr>
        <w:t>坚持创新驱动、前瞻布局。</w:t>
      </w:r>
      <w:r>
        <w:rPr>
          <w:rFonts w:hint="eastAsia"/>
        </w:rPr>
        <w:t>将科技创新作为推动赋能数字经济迭代发展的策源动力，加快推动数字技术、产业形态、商业模式和政策制度协同创新，在数据要素市场培育、人工智能场景探索等方面前瞻性布局，抢占新赛道、培育壮大数字经济新质生产力。</w:t>
      </w:r>
    </w:p>
    <w:p w14:paraId="15196877">
      <w:pPr>
        <w:ind w:firstLine="643"/>
      </w:pPr>
      <w:r>
        <w:rPr>
          <w:rFonts w:hint="eastAsia"/>
          <w:b/>
          <w:bCs/>
        </w:rPr>
        <w:t>坚持特色发展、错位竞争。</w:t>
      </w:r>
      <w:r>
        <w:rPr>
          <w:rFonts w:hint="eastAsia"/>
        </w:rPr>
        <w:t>立足国家、兵团战略要求，依托师市产业基础、资源禀赋和区位优势，聚焦重点领域和优势产业提质增效，统筹推进数字产业化和产业数字化融合发展，培育具有师市鲜明特色的数字经济新集群，构筑“人无我有、人有我优”的数字经济错位发展格局。</w:t>
      </w:r>
    </w:p>
    <w:p w14:paraId="0AC955A8">
      <w:pPr>
        <w:ind w:firstLine="643"/>
      </w:pPr>
      <w:r>
        <w:rPr>
          <w:rFonts w:hint="eastAsia"/>
          <w:b/>
          <w:bCs/>
        </w:rPr>
        <w:t>坚持开放协同、区域联动。</w:t>
      </w:r>
      <w:r>
        <w:rPr>
          <w:rFonts w:hint="eastAsia"/>
        </w:rPr>
        <w:t>主动服务和融入新发展格局，加强与中亚地区国家合作，深入落实兵地融合、区域协同发展部署，对接援疆省市、北疆兄弟师市、阿拉山口口岸优质资源，统筹政策、</w:t>
      </w:r>
      <w:r>
        <w:t>人才、技术、资金等要素</w:t>
      </w:r>
      <w:r>
        <w:rPr>
          <w:rFonts w:hint="eastAsia"/>
        </w:rPr>
        <w:t>流动渠道，加快培育发展区域联动协同发展的开放型数字经济。</w:t>
      </w:r>
    </w:p>
    <w:p w14:paraId="68E7B8E3">
      <w:pPr>
        <w:ind w:firstLine="643"/>
      </w:pPr>
      <w:r>
        <w:rPr>
          <w:rFonts w:hint="eastAsia"/>
          <w:b/>
          <w:bCs/>
        </w:rPr>
        <w:t>坚持安全有序、稳健发展。</w:t>
      </w:r>
      <w:r>
        <w:rPr>
          <w:rFonts w:hint="eastAsia"/>
        </w:rPr>
        <w:t>坚持发展与安全并重，统筹提升安全保障能力，以安全保发展、以发展促安全，严守安全底线，主动防范、控制、化解各类风险，建立包容、审慎的监管制度，保障数据和网络信息安全可控，确保数字经济治理规范有序。</w:t>
      </w:r>
    </w:p>
    <w:bookmarkEnd w:id="64"/>
    <w:bookmarkEnd w:id="65"/>
    <w:bookmarkEnd w:id="66"/>
    <w:bookmarkEnd w:id="67"/>
    <w:bookmarkEnd w:id="68"/>
    <w:p w14:paraId="1CACD8C6">
      <w:pPr>
        <w:pStyle w:val="3"/>
        <w:rPr>
          <w:rFonts w:hint="eastAsia"/>
        </w:rPr>
      </w:pPr>
      <w:bookmarkStart w:id="69" w:name="_Toc28403"/>
      <w:r>
        <w:rPr>
          <w:rFonts w:hint="eastAsia"/>
        </w:rPr>
        <w:t>总体目标</w:t>
      </w:r>
      <w:bookmarkEnd w:id="69"/>
    </w:p>
    <w:p w14:paraId="2E04E485">
      <w:pPr>
        <w:ind w:firstLine="640"/>
      </w:pPr>
      <w:r>
        <w:rPr>
          <w:rFonts w:hint="eastAsia"/>
        </w:rPr>
        <w:t>到2030年，师市数字经济核心产业增加值占GDP比重达到</w:t>
      </w:r>
      <w:r>
        <w:rPr>
          <w:rFonts w:hint="eastAsia"/>
          <w:lang w:val="en-US" w:eastAsia="zh-CN"/>
        </w:rPr>
        <w:t>XX</w:t>
      </w:r>
      <w:r>
        <w:rPr>
          <w:rFonts w:hint="eastAsia"/>
        </w:rPr>
        <w:t>%左右，</w:t>
      </w:r>
      <w:r>
        <w:rPr>
          <w:rFonts w:hint="eastAsia"/>
          <w:b/>
          <w:bCs/>
        </w:rPr>
        <w:t>基本建成兵团天山北坡数字产业核心承载区，北疆产业数字化转型示范区和师市数字化治理试验区，成为师市经济社会发展新增长极。</w:t>
      </w:r>
      <w:r>
        <w:rPr>
          <w:rFonts w:hint="eastAsia"/>
        </w:rPr>
        <w:t>数字产业集群化发展竞争力显著提升，高潜力数字新兴企业不断涌现。数据要素赋能经济提质增效凸显，</w:t>
      </w:r>
      <w:r>
        <w:t>实数深度融合持续强化</w:t>
      </w:r>
      <w:r>
        <w:rPr>
          <w:rFonts w:hint="eastAsia"/>
        </w:rPr>
        <w:t>，数字化治理体系健全，数字经济开放能级显著增强，</w:t>
      </w:r>
      <w:r>
        <w:rPr>
          <w:rFonts w:hint="eastAsia"/>
          <w:b/>
          <w:bCs/>
        </w:rPr>
        <w:t>建成</w:t>
      </w:r>
      <w:r>
        <w:rPr>
          <w:b/>
          <w:bCs/>
        </w:rPr>
        <w:t>现代化数字经济体系</w:t>
      </w:r>
      <w:r>
        <w:rPr>
          <w:rFonts w:hint="eastAsia"/>
          <w:b/>
          <w:bCs/>
        </w:rPr>
        <w:t>，成为支撑师市“四基两区”高质量发展的核心力量</w:t>
      </w:r>
      <w:r>
        <w:rPr>
          <w:rFonts w:hint="eastAsia"/>
        </w:rPr>
        <w:t>。</w:t>
      </w:r>
    </w:p>
    <w:p w14:paraId="0CBF8BD3">
      <w:pPr>
        <w:ind w:firstLine="643"/>
      </w:pPr>
      <w:r>
        <w:rPr>
          <w:rFonts w:hint="eastAsia" w:ascii="楷体_GB2312" w:eastAsia="楷体_GB2312"/>
          <w:b/>
          <w:bCs/>
        </w:rPr>
        <w:t>数字产业发展提质增效。</w:t>
      </w:r>
      <w:r>
        <w:rPr>
          <w:rFonts w:hint="eastAsia"/>
        </w:rPr>
        <w:t>努力打造兵团天山北坡数字产业核心承载区，建成师市绿色算力产业园。发展绿色算力、电子新材料、特色数据三大产业集群，引育一批综合实力优良的数据要素、数据标注、数字制造、人工智能等领域重点企业，培育师市级数字经济龙头企业，集聚若干创新能力强的中小企业，建成一批数字产业发展示范标杆。</w:t>
      </w:r>
      <w:r>
        <w:t>深入实施</w:t>
      </w:r>
      <w:r>
        <w:rPr>
          <w:rFonts w:hint="eastAsia"/>
        </w:rPr>
        <w:t>“</w:t>
      </w:r>
      <w:r>
        <w:t>人工智能+</w:t>
      </w:r>
      <w:r>
        <w:rPr>
          <w:rFonts w:hint="eastAsia"/>
        </w:rPr>
        <w:t>”</w:t>
      </w:r>
      <w:r>
        <w:t>行动</w:t>
      </w:r>
      <w:r>
        <w:rPr>
          <w:rFonts w:hint="eastAsia"/>
        </w:rPr>
        <w:t>，探索低空经济产业化发展。</w:t>
      </w:r>
    </w:p>
    <w:p w14:paraId="2B63D866">
      <w:pPr>
        <w:ind w:firstLine="643"/>
      </w:pPr>
      <w:r>
        <w:rPr>
          <w:rFonts w:hint="eastAsia" w:ascii="楷体_GB2312" w:eastAsia="楷体_GB2312"/>
          <w:b/>
          <w:bCs/>
        </w:rPr>
        <w:t>产业智改数转全面深化。</w:t>
      </w:r>
      <w:r>
        <w:rPr>
          <w:rFonts w:hint="eastAsia"/>
        </w:rPr>
        <w:t>蓄力打造北疆产业数字化转型示范区，深入推进数字技术在政府管理及社会生产生活等各环节的全面渗透和深化应用。持续推进国家数字农业示范基地建设，建成万亩级智慧农业示范区，农业数智化覆盖率显著提升。发展师市工业互联网，规上工业企业数字化转型覆盖率达到80%以上，建成兵团级及以上5G智能工厂1家。</w:t>
      </w:r>
      <w:r>
        <w:t>加快数字技术与</w:t>
      </w:r>
      <w:r>
        <w:rPr>
          <w:rFonts w:hint="eastAsia"/>
        </w:rPr>
        <w:t>物流、</w:t>
      </w:r>
      <w:r>
        <w:t>文旅、商贸等</w:t>
      </w:r>
      <w:r>
        <w:rPr>
          <w:rFonts w:hint="eastAsia"/>
        </w:rPr>
        <w:t>服务</w:t>
      </w:r>
      <w:r>
        <w:t>领域深度融合</w:t>
      </w:r>
      <w:r>
        <w:rPr>
          <w:rFonts w:hint="eastAsia"/>
        </w:rPr>
        <w:t>。聚焦农业、制造业、服务业三大领域全方位推进“智改数转网联”，推动产业数字化水平显著提升。</w:t>
      </w:r>
    </w:p>
    <w:p w14:paraId="3071841E">
      <w:pPr>
        <w:ind w:firstLine="643"/>
      </w:pPr>
      <w:r>
        <w:rPr>
          <w:rFonts w:hint="eastAsia" w:ascii="楷体_GB2312" w:eastAsia="楷体_GB2312"/>
          <w:b/>
          <w:bCs/>
        </w:rPr>
        <w:t>数据要素价值加速释放。</w:t>
      </w:r>
      <w:r>
        <w:rPr>
          <w:rFonts w:hint="eastAsia" w:cs="Times New Roman"/>
          <w:color w:val="000000" w:themeColor="text1"/>
          <w14:textFill>
            <w14:solidFill>
              <w14:schemeClr w14:val="tx1"/>
            </w14:solidFill>
          </w14:textFill>
        </w:rPr>
        <w:t>大力</w:t>
      </w:r>
      <w:r>
        <w:rPr>
          <w:rFonts w:cs="Times New Roman"/>
          <w:color w:val="000000" w:themeColor="text1"/>
          <w14:textFill>
            <w14:solidFill>
              <w14:schemeClr w14:val="tx1"/>
            </w14:solidFill>
          </w14:textFill>
        </w:rPr>
        <w:t>推动数据要素市场化配置改革</w:t>
      </w:r>
      <w:r>
        <w:rPr>
          <w:rFonts w:hint="eastAsia" w:cs="Times New Roman"/>
          <w:color w:val="000000" w:themeColor="text1"/>
          <w14:textFill>
            <w14:solidFill>
              <w14:schemeClr w14:val="tx1"/>
            </w14:solidFill>
          </w14:textFill>
        </w:rPr>
        <w:t>，</w:t>
      </w:r>
      <w:r>
        <w:rPr>
          <w:rFonts w:hint="eastAsia"/>
        </w:rPr>
        <w:t>培育师市一体化数据要素市场。</w:t>
      </w:r>
      <w:r>
        <w:rPr>
          <w:rFonts w:cs="Times New Roman"/>
          <w:color w:val="000000" w:themeColor="text1"/>
          <w14:textFill>
            <w14:solidFill>
              <w14:schemeClr w14:val="tx1"/>
            </w14:solidFill>
          </w14:textFill>
        </w:rPr>
        <w:t>探索数据要素与实体经济深度融合创新，围绕</w:t>
      </w:r>
      <w:r>
        <w:rPr>
          <w:rFonts w:hint="eastAsia" w:cs="Times New Roman"/>
          <w:color w:val="000000" w:themeColor="text1"/>
          <w14:textFill>
            <w14:solidFill>
              <w14:schemeClr w14:val="tx1"/>
            </w14:solidFill>
          </w14:textFill>
        </w:rPr>
        <w:t>现代农业、文化旅游、口岸物流、跨境贸易</w:t>
      </w:r>
      <w:r>
        <w:rPr>
          <w:rFonts w:cs="Times New Roman"/>
          <w:color w:val="000000" w:themeColor="text1"/>
          <w14:textFill>
            <w14:solidFill>
              <w14:schemeClr w14:val="tx1"/>
            </w14:solidFill>
          </w14:textFill>
        </w:rPr>
        <w:t>等特色产业领域，丰富完善数据要素市场体系。探索</w:t>
      </w:r>
      <w:r>
        <w:rPr>
          <w:rFonts w:hint="eastAsia" w:cs="Times New Roman"/>
          <w:color w:val="000000" w:themeColor="text1"/>
          <w14:textFill>
            <w14:solidFill>
              <w14:schemeClr w14:val="tx1"/>
            </w14:solidFill>
          </w14:textFill>
        </w:rPr>
        <w:t>师市</w:t>
      </w:r>
      <w:r>
        <w:rPr>
          <w:rFonts w:cs="Times New Roman"/>
          <w:color w:val="000000" w:themeColor="text1"/>
          <w14:textFill>
            <w14:solidFill>
              <w14:schemeClr w14:val="tx1"/>
            </w14:solidFill>
          </w14:textFill>
        </w:rPr>
        <w:t>国资监管企业数据资产管理工作</w:t>
      </w:r>
      <w:r>
        <w:rPr>
          <w:rFonts w:hint="eastAsia" w:cs="Times New Roman"/>
          <w:color w:val="000000" w:themeColor="text1"/>
          <w14:textFill>
            <w14:solidFill>
              <w14:schemeClr w14:val="tx1"/>
            </w14:solidFill>
          </w14:textFill>
        </w:rPr>
        <w:t>试点。协同其他生产要素以数据资产化、市场化推进数据交易流通</w:t>
      </w:r>
      <w:r>
        <w:rPr>
          <w:rFonts w:cs="Times New Roman"/>
          <w:color w:val="000000" w:themeColor="text1"/>
          <w14:textFill>
            <w14:solidFill>
              <w14:schemeClr w14:val="tx1"/>
            </w14:solidFill>
          </w14:textFill>
        </w:rPr>
        <w:t>。</w:t>
      </w:r>
    </w:p>
    <w:p w14:paraId="0DE63C2F">
      <w:pPr>
        <w:ind w:firstLine="643"/>
        <w:rPr>
          <w:rFonts w:cs="Times New Roman"/>
          <w:color w:val="000000" w:themeColor="text1"/>
          <w14:textFill>
            <w14:solidFill>
              <w14:schemeClr w14:val="tx1"/>
            </w14:solidFill>
          </w14:textFill>
        </w:rPr>
      </w:pPr>
      <w:r>
        <w:rPr>
          <w:rFonts w:hint="eastAsia" w:ascii="楷体_GB2312" w:eastAsia="楷体_GB2312"/>
          <w:b/>
          <w:bCs/>
        </w:rPr>
        <w:t>数字治理效能全面增强</w:t>
      </w:r>
      <w:r>
        <w:rPr>
          <w:rFonts w:hint="eastAsia"/>
          <w:b/>
          <w:bCs/>
        </w:rPr>
        <w:t>。</w:t>
      </w:r>
      <w:r>
        <w:rPr>
          <w:rFonts w:hint="eastAsia"/>
        </w:rPr>
        <w:t>聚力打造</w:t>
      </w:r>
      <w:r>
        <w:t>师市数字化治理试验区</w:t>
      </w:r>
      <w:r>
        <w:rPr>
          <w:rFonts w:hint="eastAsia"/>
        </w:rPr>
        <w:t>，</w:t>
      </w:r>
      <w:r>
        <w:rPr>
          <w:rFonts w:hint="eastAsia" w:cs="Times New Roman"/>
        </w:rPr>
        <w:t>全面</w:t>
      </w:r>
      <w:r>
        <w:rPr>
          <w:rFonts w:hint="eastAsia"/>
        </w:rPr>
        <w:t>建成“一网统管，一数融通”的师市数字治理体系。</w:t>
      </w:r>
      <w:r>
        <w:rPr>
          <w:rFonts w:cs="Times New Roman"/>
        </w:rPr>
        <w:t>健全监测评估、人才引育、</w:t>
      </w:r>
      <w:r>
        <w:rPr>
          <w:rFonts w:hint="eastAsia" w:cs="Times New Roman"/>
        </w:rPr>
        <w:t>协同开放</w:t>
      </w:r>
      <w:r>
        <w:rPr>
          <w:rFonts w:cs="Times New Roman"/>
        </w:rPr>
        <w:t>体系</w:t>
      </w:r>
      <w:r>
        <w:rPr>
          <w:rFonts w:hint="eastAsia" w:cs="Times New Roman"/>
        </w:rPr>
        <w:t>，推动师市数字治理建设发展取得明显成效。推进数据</w:t>
      </w:r>
      <w:r>
        <w:rPr>
          <w:rFonts w:hint="eastAsia" w:cs="Times New Roman"/>
          <w:color w:val="000000" w:themeColor="text1"/>
          <w14:textFill>
            <w14:solidFill>
              <w14:schemeClr w14:val="tx1"/>
            </w14:solidFill>
          </w14:textFill>
        </w:rPr>
        <w:t>要素赋能体系逐步畅通，数字经济、数字社会、数字政务、数字文化、数字生态文明等应用场景广泛部署，数据要素和创新引擎作用充分释放，师市整体性、系统性、协同性全面提升，职工群众的“数字获得感”和“数字满意度”显著提升。</w:t>
      </w:r>
    </w:p>
    <w:p w14:paraId="549F7CE9">
      <w:pPr>
        <w:ind w:firstLine="643"/>
        <w:rPr>
          <w:rFonts w:cs="Times New Roman"/>
          <w:color w:val="000000" w:themeColor="text1"/>
          <w14:textFill>
            <w14:solidFill>
              <w14:schemeClr w14:val="tx1"/>
            </w14:solidFill>
          </w14:textFill>
        </w:rPr>
      </w:pPr>
      <w:r>
        <w:rPr>
          <w:rFonts w:hint="eastAsia" w:ascii="楷体_GB2312" w:eastAsia="楷体_GB2312"/>
          <w:b/>
          <w:bCs/>
        </w:rPr>
        <w:t>数字经济协同开放突破</w:t>
      </w:r>
      <w:r>
        <w:rPr>
          <w:rFonts w:hint="eastAsia"/>
          <w:b/>
          <w:bCs/>
        </w:rPr>
        <w:t>。</w:t>
      </w:r>
      <w:r>
        <w:rPr>
          <w:rFonts w:hint="eastAsia" w:cs="Times New Roman"/>
          <w:color w:val="000000" w:themeColor="text1"/>
          <w14:textFill>
            <w14:solidFill>
              <w14:schemeClr w14:val="tx1"/>
            </w14:solidFill>
          </w14:textFill>
        </w:rPr>
        <w:t>协力</w:t>
      </w:r>
      <w:r>
        <w:rPr>
          <w:rFonts w:cs="Times New Roman"/>
          <w:color w:val="000000" w:themeColor="text1"/>
          <w14:textFill>
            <w14:solidFill>
              <w14:schemeClr w14:val="tx1"/>
            </w14:solidFill>
          </w14:textFill>
        </w:rPr>
        <w:t>打造成为</w:t>
      </w:r>
      <w:r>
        <w:rPr>
          <w:rFonts w:hint="eastAsia" w:cs="Times New Roman"/>
          <w:color w:val="000000" w:themeColor="text1"/>
          <w14:textFill>
            <w14:solidFill>
              <w14:schemeClr w14:val="tx1"/>
            </w14:solidFill>
          </w14:textFill>
        </w:rPr>
        <w:t>兵团向西开放型</w:t>
      </w:r>
      <w:r>
        <w:rPr>
          <w:rFonts w:cs="Times New Roman"/>
          <w:color w:val="000000" w:themeColor="text1"/>
          <w14:textFill>
            <w14:solidFill>
              <w14:schemeClr w14:val="tx1"/>
            </w14:solidFill>
          </w14:textFill>
        </w:rPr>
        <w:t>数字经济的关键枢纽</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深度融入对口援疆</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向西开放战</w:t>
      </w:r>
      <w:r>
        <w:rPr>
          <w:rFonts w:cs="Times New Roman"/>
        </w:rPr>
        <w:t>略，</w:t>
      </w:r>
      <w:r>
        <w:rPr>
          <w:rFonts w:hint="eastAsia" w:cs="Times New Roman"/>
        </w:rPr>
        <w:t>用好师市跨境电商综合试验区、自贸区联动创新区、开发开放试验区“三区”叠加的独特优势，</w:t>
      </w:r>
      <w:r>
        <w:rPr>
          <w:rFonts w:cs="Times New Roman"/>
        </w:rPr>
        <w:t>主动</w:t>
      </w:r>
      <w:r>
        <w:rPr>
          <w:rFonts w:cs="Times New Roman"/>
          <w:color w:val="000000" w:themeColor="text1"/>
          <w14:textFill>
            <w14:solidFill>
              <w14:schemeClr w14:val="tx1"/>
            </w14:solidFill>
          </w14:textFill>
        </w:rPr>
        <w:t>对接数字经济创新资源</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加强与市场主体在数字基础设施、数据要素流通、产业协同等方面合作，推动设立相关数字经济发展基金，促进数字技术、人才、资本等要素自由流动</w:t>
      </w:r>
      <w:r>
        <w:rPr>
          <w:rFonts w:hint="eastAsia" w:cs="Times New Roman"/>
          <w:color w:val="000000" w:themeColor="text1"/>
          <w14:textFill>
            <w14:solidFill>
              <w14:schemeClr w14:val="tx1"/>
            </w14:solidFill>
          </w14:textFill>
        </w:rPr>
        <w:t>。</w:t>
      </w:r>
    </w:p>
    <w:p w14:paraId="0587EC70">
      <w:pPr>
        <w:keepNext/>
        <w:ind w:firstLine="562"/>
        <w:jc w:val="center"/>
        <w:rPr>
          <w:rFonts w:ascii="楷体_GB2312" w:eastAsia="楷体_GB2312" w:cs="Times New Roman"/>
          <w:b/>
          <w:bCs/>
          <w:color w:val="000000" w:themeColor="text1"/>
          <w:sz w:val="28"/>
          <w:szCs w:val="28"/>
          <w14:textFill>
            <w14:solidFill>
              <w14:schemeClr w14:val="tx1"/>
            </w14:solidFill>
          </w14:textFill>
        </w:rPr>
      </w:pPr>
      <w:r>
        <w:rPr>
          <w:rFonts w:hint="eastAsia" w:ascii="楷体_GB2312" w:eastAsia="楷体_GB2312" w:cs="Times New Roman"/>
          <w:b/>
          <w:bCs/>
          <w:color w:val="000000" w:themeColor="text1"/>
          <w:sz w:val="28"/>
          <w:szCs w:val="28"/>
          <w14:textFill>
            <w14:solidFill>
              <w14:schemeClr w14:val="tx1"/>
            </w14:solidFill>
          </w14:textFill>
        </w:rPr>
        <w:t>第五师双河市“十五五”数字经济发展主要指标</w:t>
      </w:r>
    </w:p>
    <w:tbl>
      <w:tblPr>
        <w:tblStyle w:val="20"/>
        <w:tblW w:w="49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809"/>
        <w:gridCol w:w="2462"/>
        <w:gridCol w:w="917"/>
        <w:gridCol w:w="1241"/>
        <w:gridCol w:w="1200"/>
        <w:gridCol w:w="1002"/>
      </w:tblGrid>
      <w:tr w14:paraId="2B699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tblHeader/>
        </w:trPr>
        <w:tc>
          <w:tcPr>
            <w:tcW w:w="496" w:type="pct"/>
            <w:vAlign w:val="center"/>
          </w:tcPr>
          <w:p w14:paraId="4A86267B">
            <w:pPr>
              <w:ind w:firstLine="0" w:firstLineChars="0"/>
              <w:jc w:val="center"/>
              <w:rPr>
                <w:b/>
                <w:bCs/>
                <w:sz w:val="24"/>
                <w:szCs w:val="16"/>
              </w:rPr>
            </w:pPr>
            <w:r>
              <w:rPr>
                <w:rFonts w:hint="eastAsia"/>
                <w:b/>
                <w:bCs/>
                <w:sz w:val="24"/>
                <w:szCs w:val="16"/>
              </w:rPr>
              <w:t>类型</w:t>
            </w:r>
          </w:p>
        </w:tc>
        <w:tc>
          <w:tcPr>
            <w:tcW w:w="477" w:type="pct"/>
            <w:vAlign w:val="center"/>
          </w:tcPr>
          <w:p w14:paraId="177F1374">
            <w:pPr>
              <w:ind w:firstLine="0" w:firstLineChars="0"/>
              <w:jc w:val="center"/>
              <w:rPr>
                <w:b/>
                <w:bCs/>
                <w:sz w:val="24"/>
                <w:szCs w:val="16"/>
              </w:rPr>
            </w:pPr>
            <w:r>
              <w:rPr>
                <w:rFonts w:hint="eastAsia"/>
                <w:b/>
                <w:bCs/>
                <w:sz w:val="24"/>
                <w:szCs w:val="16"/>
              </w:rPr>
              <w:t>序号</w:t>
            </w:r>
          </w:p>
        </w:tc>
        <w:tc>
          <w:tcPr>
            <w:tcW w:w="1452" w:type="pct"/>
            <w:vAlign w:val="center"/>
          </w:tcPr>
          <w:p w14:paraId="011A09A8">
            <w:pPr>
              <w:ind w:firstLine="0" w:firstLineChars="0"/>
              <w:jc w:val="center"/>
              <w:rPr>
                <w:b/>
                <w:bCs/>
                <w:sz w:val="24"/>
                <w:szCs w:val="16"/>
              </w:rPr>
            </w:pPr>
            <w:r>
              <w:rPr>
                <w:rFonts w:hint="eastAsia"/>
                <w:b/>
                <w:bCs/>
                <w:sz w:val="24"/>
                <w:szCs w:val="16"/>
              </w:rPr>
              <w:t>指标</w:t>
            </w:r>
          </w:p>
        </w:tc>
        <w:tc>
          <w:tcPr>
            <w:tcW w:w="541" w:type="pct"/>
            <w:vAlign w:val="center"/>
          </w:tcPr>
          <w:p w14:paraId="5EF13491">
            <w:pPr>
              <w:ind w:firstLine="0" w:firstLineChars="0"/>
              <w:jc w:val="center"/>
              <w:rPr>
                <w:b/>
                <w:bCs/>
                <w:sz w:val="24"/>
                <w:szCs w:val="16"/>
              </w:rPr>
            </w:pPr>
            <w:r>
              <w:rPr>
                <w:rFonts w:hint="eastAsia"/>
                <w:b/>
                <w:bCs/>
                <w:sz w:val="24"/>
                <w:szCs w:val="16"/>
              </w:rPr>
              <w:t>单位</w:t>
            </w:r>
          </w:p>
        </w:tc>
        <w:tc>
          <w:tcPr>
            <w:tcW w:w="732" w:type="pct"/>
            <w:vAlign w:val="center"/>
          </w:tcPr>
          <w:p w14:paraId="667A83E7">
            <w:pPr>
              <w:ind w:firstLine="0" w:firstLineChars="0"/>
              <w:jc w:val="center"/>
              <w:rPr>
                <w:b/>
                <w:bCs/>
                <w:sz w:val="24"/>
                <w:szCs w:val="16"/>
              </w:rPr>
            </w:pPr>
            <w:r>
              <w:rPr>
                <w:rFonts w:hint="eastAsia"/>
                <w:b/>
                <w:bCs/>
                <w:sz w:val="24"/>
                <w:szCs w:val="16"/>
              </w:rPr>
              <w:t>2025年</w:t>
            </w:r>
          </w:p>
        </w:tc>
        <w:tc>
          <w:tcPr>
            <w:tcW w:w="708" w:type="pct"/>
            <w:vAlign w:val="center"/>
          </w:tcPr>
          <w:p w14:paraId="0523296F">
            <w:pPr>
              <w:ind w:firstLine="0" w:firstLineChars="0"/>
              <w:jc w:val="center"/>
              <w:rPr>
                <w:b/>
                <w:bCs/>
                <w:sz w:val="24"/>
                <w:szCs w:val="16"/>
              </w:rPr>
            </w:pPr>
            <w:r>
              <w:rPr>
                <w:rFonts w:hint="eastAsia"/>
                <w:b/>
                <w:bCs/>
                <w:sz w:val="24"/>
                <w:szCs w:val="16"/>
              </w:rPr>
              <w:t>2030年</w:t>
            </w:r>
          </w:p>
        </w:tc>
        <w:tc>
          <w:tcPr>
            <w:tcW w:w="591" w:type="pct"/>
            <w:vAlign w:val="center"/>
          </w:tcPr>
          <w:p w14:paraId="30F94C1C">
            <w:pPr>
              <w:ind w:firstLine="0" w:firstLineChars="0"/>
              <w:jc w:val="center"/>
              <w:rPr>
                <w:b/>
                <w:bCs/>
                <w:sz w:val="24"/>
                <w:szCs w:val="16"/>
              </w:rPr>
            </w:pPr>
            <w:r>
              <w:rPr>
                <w:rFonts w:hint="eastAsia"/>
                <w:b/>
                <w:bCs/>
                <w:sz w:val="24"/>
                <w:szCs w:val="16"/>
              </w:rPr>
              <w:t>指标</w:t>
            </w:r>
          </w:p>
          <w:p w14:paraId="66E99E45">
            <w:pPr>
              <w:ind w:firstLine="0" w:firstLineChars="0"/>
              <w:jc w:val="center"/>
              <w:rPr>
                <w:b/>
                <w:bCs/>
                <w:sz w:val="24"/>
                <w:szCs w:val="16"/>
              </w:rPr>
            </w:pPr>
            <w:r>
              <w:rPr>
                <w:rFonts w:hint="eastAsia"/>
                <w:b/>
                <w:bCs/>
                <w:sz w:val="24"/>
                <w:szCs w:val="16"/>
              </w:rPr>
              <w:t>类型</w:t>
            </w:r>
          </w:p>
        </w:tc>
      </w:tr>
      <w:tr w14:paraId="4800B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496" w:type="pct"/>
            <w:vMerge w:val="restart"/>
            <w:vAlign w:val="center"/>
          </w:tcPr>
          <w:p w14:paraId="0DCEE872">
            <w:pPr>
              <w:ind w:firstLine="0" w:firstLineChars="0"/>
              <w:jc w:val="center"/>
              <w:rPr>
                <w:sz w:val="24"/>
                <w:szCs w:val="16"/>
              </w:rPr>
            </w:pPr>
            <w:r>
              <w:rPr>
                <w:rFonts w:hint="eastAsia"/>
                <w:sz w:val="24"/>
                <w:szCs w:val="16"/>
              </w:rPr>
              <w:t>数字产业化</w:t>
            </w:r>
          </w:p>
        </w:tc>
        <w:tc>
          <w:tcPr>
            <w:tcW w:w="477" w:type="pct"/>
            <w:vAlign w:val="center"/>
          </w:tcPr>
          <w:p w14:paraId="55B8214C">
            <w:pPr>
              <w:ind w:firstLine="0" w:firstLineChars="0"/>
              <w:jc w:val="center"/>
              <w:rPr>
                <w:sz w:val="24"/>
                <w:szCs w:val="16"/>
              </w:rPr>
            </w:pPr>
            <w:r>
              <w:rPr>
                <w:sz w:val="24"/>
                <w:szCs w:val="16"/>
              </w:rPr>
              <w:t>1</w:t>
            </w:r>
          </w:p>
        </w:tc>
        <w:tc>
          <w:tcPr>
            <w:tcW w:w="1452" w:type="pct"/>
            <w:vAlign w:val="center"/>
          </w:tcPr>
          <w:p w14:paraId="13E2502E">
            <w:pPr>
              <w:ind w:firstLine="0" w:firstLineChars="0"/>
              <w:jc w:val="left"/>
              <w:rPr>
                <w:sz w:val="24"/>
                <w:szCs w:val="16"/>
              </w:rPr>
            </w:pPr>
            <w:r>
              <w:rPr>
                <w:rFonts w:hint="eastAsia"/>
                <w:sz w:val="24"/>
                <w:szCs w:val="16"/>
              </w:rPr>
              <w:t>数字经济核心产业增加值占GDP比重</w:t>
            </w:r>
          </w:p>
        </w:tc>
        <w:tc>
          <w:tcPr>
            <w:tcW w:w="541" w:type="pct"/>
            <w:vAlign w:val="center"/>
          </w:tcPr>
          <w:p w14:paraId="6C2AB9F1">
            <w:pPr>
              <w:ind w:firstLine="0" w:firstLineChars="0"/>
              <w:jc w:val="center"/>
              <w:rPr>
                <w:sz w:val="24"/>
                <w:szCs w:val="16"/>
              </w:rPr>
            </w:pPr>
            <w:r>
              <w:rPr>
                <w:sz w:val="24"/>
                <w:szCs w:val="16"/>
              </w:rPr>
              <w:t>%</w:t>
            </w:r>
          </w:p>
        </w:tc>
        <w:tc>
          <w:tcPr>
            <w:tcW w:w="732" w:type="pct"/>
            <w:vAlign w:val="center"/>
          </w:tcPr>
          <w:p w14:paraId="3E2C4C76">
            <w:pPr>
              <w:ind w:firstLine="0" w:firstLineChars="0"/>
              <w:jc w:val="center"/>
              <w:rPr>
                <w:sz w:val="24"/>
                <w:szCs w:val="16"/>
              </w:rPr>
            </w:pPr>
            <w:r>
              <w:rPr>
                <w:rFonts w:hint="eastAsia"/>
                <w:sz w:val="24"/>
                <w:szCs w:val="16"/>
              </w:rPr>
              <w:t>0.81*</w:t>
            </w:r>
          </w:p>
        </w:tc>
        <w:tc>
          <w:tcPr>
            <w:tcW w:w="708" w:type="pct"/>
            <w:vAlign w:val="center"/>
          </w:tcPr>
          <w:p w14:paraId="447E12B9">
            <w:pPr>
              <w:ind w:firstLine="0" w:firstLineChars="0"/>
              <w:jc w:val="center"/>
              <w:rPr>
                <w:sz w:val="24"/>
                <w:szCs w:val="16"/>
              </w:rPr>
            </w:pPr>
            <w:r>
              <w:rPr>
                <w:rFonts w:hint="eastAsia"/>
                <w:sz w:val="24"/>
                <w:szCs w:val="16"/>
              </w:rPr>
              <w:t>1.2左右</w:t>
            </w:r>
          </w:p>
        </w:tc>
        <w:tc>
          <w:tcPr>
            <w:tcW w:w="591" w:type="pct"/>
            <w:vAlign w:val="center"/>
          </w:tcPr>
          <w:p w14:paraId="33A12477">
            <w:pPr>
              <w:ind w:firstLine="0" w:firstLineChars="0"/>
              <w:jc w:val="center"/>
              <w:rPr>
                <w:sz w:val="24"/>
                <w:szCs w:val="16"/>
              </w:rPr>
            </w:pPr>
            <w:r>
              <w:rPr>
                <w:rFonts w:hint="eastAsia"/>
                <w:sz w:val="24"/>
                <w:szCs w:val="16"/>
              </w:rPr>
              <w:t>预期性</w:t>
            </w:r>
          </w:p>
        </w:tc>
      </w:tr>
      <w:tr w14:paraId="301A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496" w:type="pct"/>
            <w:vMerge w:val="continue"/>
            <w:vAlign w:val="center"/>
          </w:tcPr>
          <w:p w14:paraId="5EF52A78">
            <w:pPr>
              <w:ind w:firstLine="0" w:firstLineChars="0"/>
              <w:jc w:val="center"/>
              <w:rPr>
                <w:sz w:val="24"/>
                <w:szCs w:val="16"/>
              </w:rPr>
            </w:pPr>
          </w:p>
        </w:tc>
        <w:tc>
          <w:tcPr>
            <w:tcW w:w="477" w:type="pct"/>
            <w:vAlign w:val="center"/>
          </w:tcPr>
          <w:p w14:paraId="7E6B30E8">
            <w:pPr>
              <w:ind w:firstLine="0" w:firstLineChars="0"/>
              <w:jc w:val="center"/>
              <w:rPr>
                <w:sz w:val="24"/>
                <w:szCs w:val="16"/>
              </w:rPr>
            </w:pPr>
            <w:r>
              <w:rPr>
                <w:rFonts w:hint="eastAsia"/>
                <w:sz w:val="24"/>
                <w:szCs w:val="16"/>
              </w:rPr>
              <w:t>2</w:t>
            </w:r>
          </w:p>
        </w:tc>
        <w:tc>
          <w:tcPr>
            <w:tcW w:w="1452" w:type="pct"/>
            <w:vAlign w:val="center"/>
          </w:tcPr>
          <w:p w14:paraId="71402306">
            <w:pPr>
              <w:ind w:firstLine="0" w:firstLineChars="0"/>
              <w:jc w:val="left"/>
              <w:rPr>
                <w:sz w:val="24"/>
                <w:szCs w:val="16"/>
              </w:rPr>
            </w:pPr>
            <w:r>
              <w:rPr>
                <w:rFonts w:hint="eastAsia"/>
                <w:sz w:val="24"/>
                <w:szCs w:val="16"/>
              </w:rPr>
              <w:t>数字经济产业园区</w:t>
            </w:r>
          </w:p>
        </w:tc>
        <w:tc>
          <w:tcPr>
            <w:tcW w:w="541" w:type="pct"/>
            <w:vAlign w:val="center"/>
          </w:tcPr>
          <w:p w14:paraId="448C8900">
            <w:pPr>
              <w:ind w:firstLine="0" w:firstLineChars="0"/>
              <w:jc w:val="center"/>
              <w:rPr>
                <w:sz w:val="24"/>
                <w:szCs w:val="16"/>
              </w:rPr>
            </w:pPr>
            <w:r>
              <w:rPr>
                <w:rFonts w:hint="eastAsia"/>
                <w:sz w:val="24"/>
                <w:szCs w:val="16"/>
              </w:rPr>
              <w:t>个</w:t>
            </w:r>
          </w:p>
        </w:tc>
        <w:tc>
          <w:tcPr>
            <w:tcW w:w="732" w:type="pct"/>
            <w:vAlign w:val="center"/>
          </w:tcPr>
          <w:p w14:paraId="5E70AD86">
            <w:pPr>
              <w:ind w:firstLine="0" w:firstLineChars="0"/>
              <w:jc w:val="center"/>
              <w:rPr>
                <w:sz w:val="24"/>
                <w:szCs w:val="16"/>
              </w:rPr>
            </w:pPr>
            <w:r>
              <w:rPr>
                <w:sz w:val="24"/>
                <w:szCs w:val="16"/>
              </w:rPr>
              <w:t>-</w:t>
            </w:r>
          </w:p>
        </w:tc>
        <w:tc>
          <w:tcPr>
            <w:tcW w:w="708" w:type="pct"/>
            <w:vAlign w:val="center"/>
          </w:tcPr>
          <w:p w14:paraId="23BDD66E">
            <w:pPr>
              <w:ind w:firstLine="0" w:firstLineChars="0"/>
              <w:jc w:val="center"/>
              <w:rPr>
                <w:sz w:val="24"/>
                <w:szCs w:val="16"/>
              </w:rPr>
            </w:pPr>
            <w:r>
              <w:rPr>
                <w:rFonts w:hint="eastAsia"/>
                <w:sz w:val="24"/>
                <w:szCs w:val="16"/>
              </w:rPr>
              <w:t>1</w:t>
            </w:r>
          </w:p>
        </w:tc>
        <w:tc>
          <w:tcPr>
            <w:tcW w:w="591" w:type="pct"/>
            <w:vAlign w:val="center"/>
          </w:tcPr>
          <w:p w14:paraId="44D81141">
            <w:pPr>
              <w:ind w:firstLine="0" w:firstLineChars="0"/>
              <w:jc w:val="center"/>
              <w:rPr>
                <w:sz w:val="24"/>
                <w:szCs w:val="16"/>
              </w:rPr>
            </w:pPr>
            <w:r>
              <w:rPr>
                <w:rFonts w:hint="eastAsia"/>
                <w:sz w:val="24"/>
                <w:szCs w:val="16"/>
              </w:rPr>
              <w:t>预期性</w:t>
            </w:r>
          </w:p>
        </w:tc>
      </w:tr>
      <w:tr w14:paraId="36AC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496" w:type="pct"/>
            <w:vMerge w:val="continue"/>
            <w:vAlign w:val="center"/>
          </w:tcPr>
          <w:p w14:paraId="0BB3618D">
            <w:pPr>
              <w:ind w:firstLine="0" w:firstLineChars="0"/>
              <w:jc w:val="center"/>
              <w:rPr>
                <w:sz w:val="24"/>
                <w:szCs w:val="16"/>
              </w:rPr>
            </w:pPr>
          </w:p>
        </w:tc>
        <w:tc>
          <w:tcPr>
            <w:tcW w:w="477" w:type="pct"/>
            <w:vAlign w:val="center"/>
          </w:tcPr>
          <w:p w14:paraId="7BB21FB5">
            <w:pPr>
              <w:ind w:firstLine="0" w:firstLineChars="0"/>
              <w:jc w:val="center"/>
              <w:rPr>
                <w:sz w:val="24"/>
                <w:szCs w:val="16"/>
              </w:rPr>
            </w:pPr>
            <w:r>
              <w:rPr>
                <w:rFonts w:hint="eastAsia"/>
                <w:sz w:val="24"/>
                <w:szCs w:val="16"/>
              </w:rPr>
              <w:t>3</w:t>
            </w:r>
          </w:p>
        </w:tc>
        <w:tc>
          <w:tcPr>
            <w:tcW w:w="1452" w:type="pct"/>
            <w:vAlign w:val="center"/>
          </w:tcPr>
          <w:p w14:paraId="7B775983">
            <w:pPr>
              <w:ind w:firstLine="0" w:firstLineChars="0"/>
              <w:jc w:val="left"/>
              <w:rPr>
                <w:sz w:val="24"/>
                <w:szCs w:val="16"/>
              </w:rPr>
            </w:pPr>
            <w:r>
              <w:rPr>
                <w:rFonts w:hint="eastAsia"/>
                <w:sz w:val="24"/>
                <w:szCs w:val="16"/>
              </w:rPr>
              <w:t>行业高质量数据集</w:t>
            </w:r>
          </w:p>
        </w:tc>
        <w:tc>
          <w:tcPr>
            <w:tcW w:w="541" w:type="pct"/>
            <w:vAlign w:val="center"/>
          </w:tcPr>
          <w:p w14:paraId="2CB1F30C">
            <w:pPr>
              <w:ind w:firstLine="0" w:firstLineChars="0"/>
              <w:jc w:val="center"/>
              <w:rPr>
                <w:sz w:val="24"/>
                <w:szCs w:val="16"/>
              </w:rPr>
            </w:pPr>
            <w:r>
              <w:rPr>
                <w:rFonts w:hint="eastAsia"/>
                <w:sz w:val="24"/>
                <w:szCs w:val="16"/>
              </w:rPr>
              <w:t>个</w:t>
            </w:r>
          </w:p>
        </w:tc>
        <w:tc>
          <w:tcPr>
            <w:tcW w:w="732" w:type="pct"/>
            <w:vAlign w:val="center"/>
          </w:tcPr>
          <w:p w14:paraId="41C5E1F6">
            <w:pPr>
              <w:ind w:firstLine="0" w:firstLineChars="0"/>
              <w:jc w:val="center"/>
              <w:rPr>
                <w:sz w:val="24"/>
                <w:szCs w:val="16"/>
              </w:rPr>
            </w:pPr>
            <w:r>
              <w:rPr>
                <w:sz w:val="24"/>
                <w:szCs w:val="16"/>
              </w:rPr>
              <w:t>-</w:t>
            </w:r>
          </w:p>
        </w:tc>
        <w:tc>
          <w:tcPr>
            <w:tcW w:w="708" w:type="pct"/>
            <w:vAlign w:val="center"/>
          </w:tcPr>
          <w:p w14:paraId="5F7A6299">
            <w:pPr>
              <w:ind w:firstLine="0" w:firstLineChars="0"/>
              <w:jc w:val="center"/>
              <w:rPr>
                <w:sz w:val="24"/>
                <w:szCs w:val="16"/>
              </w:rPr>
            </w:pPr>
            <w:r>
              <w:rPr>
                <w:rFonts w:hint="eastAsia"/>
                <w:sz w:val="24"/>
                <w:szCs w:val="16"/>
              </w:rPr>
              <w:t>1</w:t>
            </w:r>
          </w:p>
        </w:tc>
        <w:tc>
          <w:tcPr>
            <w:tcW w:w="591" w:type="pct"/>
            <w:vAlign w:val="center"/>
          </w:tcPr>
          <w:p w14:paraId="75256550">
            <w:pPr>
              <w:ind w:firstLine="0" w:firstLineChars="0"/>
              <w:jc w:val="center"/>
              <w:rPr>
                <w:sz w:val="24"/>
                <w:szCs w:val="16"/>
              </w:rPr>
            </w:pPr>
            <w:r>
              <w:rPr>
                <w:rFonts w:hint="eastAsia"/>
                <w:sz w:val="24"/>
                <w:szCs w:val="16"/>
              </w:rPr>
              <w:t>预期性</w:t>
            </w:r>
          </w:p>
        </w:tc>
      </w:tr>
      <w:tr w14:paraId="3E9F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96" w:type="pct"/>
            <w:vAlign w:val="center"/>
          </w:tcPr>
          <w:p w14:paraId="1AFC4923">
            <w:pPr>
              <w:ind w:firstLine="0" w:firstLineChars="0"/>
              <w:jc w:val="center"/>
              <w:rPr>
                <w:sz w:val="24"/>
                <w:szCs w:val="16"/>
              </w:rPr>
            </w:pPr>
            <w:r>
              <w:rPr>
                <w:rFonts w:hint="eastAsia"/>
                <w:sz w:val="24"/>
                <w:szCs w:val="16"/>
              </w:rPr>
              <w:t>产业数字化</w:t>
            </w:r>
          </w:p>
        </w:tc>
        <w:tc>
          <w:tcPr>
            <w:tcW w:w="477" w:type="pct"/>
            <w:vAlign w:val="center"/>
          </w:tcPr>
          <w:p w14:paraId="5B8E8CFE">
            <w:pPr>
              <w:ind w:firstLine="0" w:firstLineChars="0"/>
              <w:jc w:val="center"/>
              <w:rPr>
                <w:sz w:val="24"/>
                <w:szCs w:val="16"/>
              </w:rPr>
            </w:pPr>
            <w:r>
              <w:rPr>
                <w:rFonts w:hint="eastAsia"/>
                <w:sz w:val="24"/>
                <w:szCs w:val="16"/>
              </w:rPr>
              <w:t>4</w:t>
            </w:r>
          </w:p>
        </w:tc>
        <w:tc>
          <w:tcPr>
            <w:tcW w:w="1452" w:type="pct"/>
            <w:vAlign w:val="center"/>
          </w:tcPr>
          <w:p w14:paraId="06C3DED8">
            <w:pPr>
              <w:ind w:firstLine="0" w:firstLineChars="0"/>
              <w:jc w:val="left"/>
              <w:rPr>
                <w:sz w:val="24"/>
                <w:szCs w:val="16"/>
              </w:rPr>
            </w:pPr>
            <w:r>
              <w:rPr>
                <w:rFonts w:hint="eastAsia"/>
                <w:sz w:val="24"/>
                <w:szCs w:val="16"/>
              </w:rPr>
              <w:t>兵团级及以上（5G）智能工厂</w:t>
            </w:r>
          </w:p>
        </w:tc>
        <w:tc>
          <w:tcPr>
            <w:tcW w:w="541" w:type="pct"/>
            <w:vAlign w:val="center"/>
          </w:tcPr>
          <w:p w14:paraId="2348AD88">
            <w:pPr>
              <w:ind w:firstLine="0" w:firstLineChars="0"/>
              <w:jc w:val="center"/>
              <w:rPr>
                <w:sz w:val="24"/>
                <w:szCs w:val="16"/>
              </w:rPr>
            </w:pPr>
            <w:r>
              <w:rPr>
                <w:rFonts w:hint="eastAsia"/>
                <w:sz w:val="24"/>
                <w:szCs w:val="16"/>
              </w:rPr>
              <w:t>家</w:t>
            </w:r>
          </w:p>
        </w:tc>
        <w:tc>
          <w:tcPr>
            <w:tcW w:w="732" w:type="pct"/>
            <w:vAlign w:val="center"/>
          </w:tcPr>
          <w:p w14:paraId="36360290">
            <w:pPr>
              <w:ind w:firstLine="0" w:firstLineChars="0"/>
              <w:jc w:val="center"/>
              <w:rPr>
                <w:sz w:val="24"/>
                <w:szCs w:val="16"/>
              </w:rPr>
            </w:pPr>
            <w:r>
              <w:rPr>
                <w:sz w:val="24"/>
                <w:szCs w:val="16"/>
              </w:rPr>
              <w:t>-</w:t>
            </w:r>
          </w:p>
        </w:tc>
        <w:tc>
          <w:tcPr>
            <w:tcW w:w="708" w:type="pct"/>
            <w:vAlign w:val="center"/>
          </w:tcPr>
          <w:p w14:paraId="510D2514">
            <w:pPr>
              <w:ind w:firstLine="0" w:firstLineChars="0"/>
              <w:jc w:val="center"/>
              <w:rPr>
                <w:sz w:val="24"/>
                <w:szCs w:val="16"/>
              </w:rPr>
            </w:pPr>
            <w:r>
              <w:rPr>
                <w:rFonts w:hint="eastAsia"/>
                <w:sz w:val="24"/>
                <w:szCs w:val="16"/>
              </w:rPr>
              <w:t>1</w:t>
            </w:r>
          </w:p>
        </w:tc>
        <w:tc>
          <w:tcPr>
            <w:tcW w:w="591" w:type="pct"/>
            <w:vAlign w:val="center"/>
          </w:tcPr>
          <w:p w14:paraId="00545725">
            <w:pPr>
              <w:ind w:firstLine="0" w:firstLineChars="0"/>
              <w:jc w:val="center"/>
              <w:rPr>
                <w:sz w:val="24"/>
                <w:szCs w:val="16"/>
              </w:rPr>
            </w:pPr>
            <w:r>
              <w:rPr>
                <w:rFonts w:hint="eastAsia"/>
                <w:sz w:val="24"/>
                <w:szCs w:val="16"/>
              </w:rPr>
              <w:t>预期性</w:t>
            </w:r>
          </w:p>
        </w:tc>
      </w:tr>
    </w:tbl>
    <w:p w14:paraId="17B9A40D">
      <w:pPr>
        <w:ind w:firstLine="482"/>
        <w:rPr>
          <w:rFonts w:ascii="楷体_GB2312" w:eastAsia="楷体_GB2312" w:cs="Times New Roman"/>
          <w:b/>
          <w:bCs/>
          <w:color w:val="auto"/>
          <w:sz w:val="24"/>
          <w:szCs w:val="24"/>
        </w:rPr>
      </w:pPr>
      <w:r>
        <w:rPr>
          <w:rFonts w:hint="eastAsia" w:ascii="楷体_GB2312" w:eastAsia="楷体_GB2312" w:cs="Times New Roman"/>
          <w:b/>
          <w:bCs/>
          <w:color w:val="auto"/>
          <w:sz w:val="24"/>
          <w:szCs w:val="24"/>
        </w:rPr>
        <w:t>*2024年数据</w:t>
      </w:r>
    </w:p>
    <w:p w14:paraId="47D757CB">
      <w:pPr>
        <w:ind w:firstLine="562"/>
        <w:rPr>
          <w:rFonts w:ascii="楷体_GB2312" w:eastAsia="楷体_GB2312" w:cs="Times New Roman"/>
          <w:b/>
          <w:bCs/>
          <w:color w:val="0000FF"/>
          <w:sz w:val="28"/>
          <w:szCs w:val="28"/>
        </w:rPr>
      </w:pPr>
    </w:p>
    <w:bookmarkEnd w:id="0"/>
    <w:p w14:paraId="2B4FF51E">
      <w:pPr>
        <w:widowControl/>
        <w:ind w:firstLine="640"/>
        <w:jc w:val="left"/>
        <w:rPr>
          <w:color w:val="000000" w:themeColor="text1"/>
          <w14:textFill>
            <w14:solidFill>
              <w14:schemeClr w14:val="tx1"/>
            </w14:solidFill>
          </w14:textFill>
        </w:rPr>
      </w:pPr>
      <w:bookmarkStart w:id="70" w:name="_Toc28088"/>
      <w:bookmarkStart w:id="71" w:name="_Toc22163"/>
      <w:bookmarkStart w:id="72" w:name="_Toc21817"/>
      <w:r>
        <w:rPr>
          <w:color w:val="000000" w:themeColor="text1"/>
          <w14:textFill>
            <w14:solidFill>
              <w14:schemeClr w14:val="tx1"/>
            </w14:solidFill>
          </w14:textFill>
        </w:rPr>
        <w:br w:type="page"/>
      </w:r>
    </w:p>
    <w:p w14:paraId="357B48BB">
      <w:pPr>
        <w:pStyle w:val="2"/>
        <w:ind w:firstLine="0"/>
        <w:rPr>
          <w:rFonts w:hint="eastAsia"/>
        </w:rPr>
      </w:pPr>
      <w:bookmarkStart w:id="73" w:name="_Toc13017"/>
      <w:r>
        <w:rPr>
          <w:rFonts w:hint="eastAsia"/>
        </w:rPr>
        <w:fldChar w:fldCharType="begin"/>
      </w:r>
      <w:r>
        <w:instrText xml:space="preserve"> HYPERLINK \l "_Toc18993" </w:instrText>
      </w:r>
      <w:r>
        <w:rPr>
          <w:rFonts w:hint="eastAsia"/>
        </w:rPr>
        <w:fldChar w:fldCharType="separate"/>
      </w:r>
      <w:r>
        <w:rPr>
          <w:rFonts w:hint="eastAsia"/>
        </w:rPr>
        <w:t>引育特色产业集群，激活产业跃升动能</w:t>
      </w:r>
      <w:r>
        <w:rPr>
          <w:rFonts w:hint="eastAsia"/>
        </w:rPr>
        <w:fldChar w:fldCharType="end"/>
      </w:r>
      <w:bookmarkEnd w:id="73"/>
    </w:p>
    <w:p w14:paraId="55A1F6B0">
      <w:pPr>
        <w:pStyle w:val="3"/>
        <w:rPr>
          <w:rFonts w:hint="eastAsia"/>
        </w:rPr>
      </w:pPr>
      <w:bookmarkStart w:id="74" w:name="_Toc20875"/>
      <w:r>
        <w:rPr>
          <w:rFonts w:hint="eastAsia"/>
        </w:rPr>
        <w:t>培育发展</w:t>
      </w:r>
      <w:r>
        <w:t>绿色算力产业</w:t>
      </w:r>
      <w:bookmarkEnd w:id="74"/>
    </w:p>
    <w:p w14:paraId="4181A617">
      <w:pPr>
        <w:ind w:firstLine="643"/>
      </w:pPr>
      <w:r>
        <w:rPr>
          <w:rFonts w:hint="eastAsia"/>
          <w:b/>
          <w:bCs/>
        </w:rPr>
        <w:t>强化绿色算力产业集约布局。</w:t>
      </w:r>
      <w:r>
        <w:rPr>
          <w:rFonts w:hint="eastAsia"/>
        </w:rPr>
        <w:t>深入实施国家“东数西算”工程，统筹布局算力基础设施，高标准推进双河经开区绿色算力产业园建设，打造集算力供给、技术创新、产业孵化、场景赋能于一体的师市综合型算力产业载体。巩固双河经开区绿色算力产业园的算力核心地位，支持有条件的团场发展算力支点，统筹构建“一核多点、协同联动”的师市算力产业空间布局，争创兵团算力创新示范区。在师市产业发展重点区域轻量化部署边缘算力节点，以网络带动“云-边-端”协同发展，打造多层次算力调度架构体系，</w:t>
      </w:r>
      <w:r>
        <w:t>全面提升算力规模化、集约化市场服务能力</w:t>
      </w:r>
      <w:r>
        <w:rPr>
          <w:rFonts w:hint="eastAsia"/>
        </w:rPr>
        <w:t>。到2030年，全师算力集群规模突破10000P，建成绿色低碳、调度灵活的算力基础设施底座。</w:t>
      </w:r>
    </w:p>
    <w:p w14:paraId="25CD8644">
      <w:pPr>
        <w:ind w:firstLine="643"/>
      </w:pPr>
      <w:r>
        <w:rPr>
          <w:rFonts w:hint="eastAsia"/>
          <w:b/>
          <w:bCs/>
        </w:rPr>
        <w:t>深化算力电力协同融合发展。</w:t>
      </w:r>
      <w:r>
        <w:rPr>
          <w:rFonts w:hint="eastAsia"/>
        </w:rPr>
        <w:t>充分发挥师市新能源资源优势，统筹推进“算力+新能源”协同融合发展。推动师市“源网荷储”一体化建设，加大配套风光电储能设施建设力度，提高绿电供给稳定性。探索实施绿电直连（供）模式，推动绿电向绿色算力的高效转化，将电价“洼地”优势转化为产业发展胜势。鼓励算力企业采用液冷降温及余热回收技术，构建“算力+余热”循环经济产业链，实现算力中心余热在智慧农业温室场景的利用，打造节能降碳的低碳发展新路径。</w:t>
      </w:r>
    </w:p>
    <w:p w14:paraId="58A4A43C">
      <w:pPr>
        <w:ind w:firstLine="643"/>
      </w:pPr>
      <w:r>
        <w:rPr>
          <w:rFonts w:hint="eastAsia"/>
          <w:b/>
          <w:bCs/>
        </w:rPr>
        <w:t>积极构建算力消纳体系。</w:t>
      </w:r>
      <w:r>
        <w:rPr>
          <w:rFonts w:hint="eastAsia"/>
        </w:rPr>
        <w:t>优化网络通道布局，建设至国家算力枢纽节点和东部算力需求旺盛城市的高速直连网络，降低网络时延，提升跨区域算力流转能力。有序推动师域算力接入兵团算力公共服务平台，融入全国（兵团）一体化算力网，实现算力供需动态匹配与智能调度。精准承接东部地区离线分析、存储备份、影视渲染、大模型推理训练等中高时延算力业务。引导面向本地围绕“算力+工业”“算力+农业”拓展应用场景，加强人工智能、数据标注、数据分析等数字经济核心产业的引进培育，提升师市算力本土化消纳能力。</w:t>
      </w:r>
    </w:p>
    <w:p w14:paraId="3F3D8137">
      <w:pPr>
        <w:ind w:firstLine="643"/>
      </w:pPr>
      <w:r>
        <w:rPr>
          <w:rFonts w:hint="eastAsia"/>
          <w:b/>
          <w:bCs/>
        </w:rPr>
        <w:t>探索建设国际算力出口通道。</w:t>
      </w:r>
      <w:r>
        <w:rPr>
          <w:rFonts w:hint="eastAsia"/>
        </w:rPr>
        <w:t>立足丝绸之路经济带核心区节点及毗邻阿拉山口口岸的区位优势，抢抓国家向西开放与数字丝绸之路建设战略机遇。积极探索建设面向中亚的国际算力高速出口，打通“数据+算力”中亚出海通道。聚焦中亚地区农业种植、矿产开发、跨境物流、数字政务等领域算力需求，提供绿色算力服务。鼓励师市算力企业承接境外AI训练推理、数据处理等业务，实现算力跨境消纳，将师市打造为联通中亚的跨境算力服务前沿阵地。</w:t>
      </w:r>
    </w:p>
    <w:tbl>
      <w:tblPr>
        <w:tblStyle w:val="19"/>
        <w:tblW w:w="5000" w:type="pct"/>
        <w:tblInd w:w="0" w:type="dxa"/>
        <w:tblLayout w:type="autofit"/>
        <w:tblCellMar>
          <w:top w:w="0" w:type="dxa"/>
          <w:left w:w="108" w:type="dxa"/>
          <w:bottom w:w="0" w:type="dxa"/>
          <w:right w:w="108" w:type="dxa"/>
        </w:tblCellMar>
      </w:tblPr>
      <w:tblGrid>
        <w:gridCol w:w="8516"/>
      </w:tblGrid>
      <w:tr w14:paraId="6259875D">
        <w:tblPrEx>
          <w:tblCellMar>
            <w:top w:w="0" w:type="dxa"/>
            <w:left w:w="108" w:type="dxa"/>
            <w:bottom w:w="0" w:type="dxa"/>
            <w:right w:w="108" w:type="dxa"/>
          </w:tblCellMar>
        </w:tblPrEx>
        <w:trPr>
          <w:trHeight w:val="420"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3592F8A4">
            <w:pPr>
              <w:ind w:firstLine="0" w:firstLineChars="0"/>
              <w:jc w:val="center"/>
              <w:rPr>
                <w:rFonts w:ascii="楷体_GB2312" w:eastAsia="楷体_GB2312" w:cs="Times New Roman"/>
                <w:b/>
                <w:bCs/>
              </w:rPr>
            </w:pPr>
            <w:r>
              <w:rPr>
                <w:rFonts w:hint="eastAsia" w:ascii="楷体_GB2312" w:hAnsi="仿宋_GB2312" w:eastAsia="楷体_GB2312"/>
                <w:b/>
                <w:bCs/>
                <w:color w:val="000000" w:themeColor="text1"/>
                <w14:textFill>
                  <w14:solidFill>
                    <w14:schemeClr w14:val="tx1"/>
                  </w14:solidFill>
                </w14:textFill>
              </w:rPr>
              <w:t>专栏1 绿色算力产业培育发展工程</w:t>
            </w:r>
          </w:p>
        </w:tc>
      </w:tr>
      <w:tr w14:paraId="5C59985F">
        <w:tblPrEx>
          <w:tblCellMar>
            <w:top w:w="0" w:type="dxa"/>
            <w:left w:w="108" w:type="dxa"/>
            <w:bottom w:w="0" w:type="dxa"/>
            <w:right w:w="108" w:type="dxa"/>
          </w:tblCellMar>
        </w:tblPrEx>
        <w:trPr>
          <w:trHeight w:val="606"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1E445430">
            <w:pPr>
              <w:pStyle w:val="18"/>
              <w:spacing w:beforeAutospacing="0" w:afterAutospacing="0" w:line="240" w:lineRule="auto"/>
              <w:ind w:firstLine="562"/>
              <w:jc w:val="both"/>
              <w:rPr>
                <w:rFonts w:hint="eastAsia" w:cs="仿宋_GB2312"/>
                <w:color w:val="auto"/>
                <w:kern w:val="2"/>
                <w:sz w:val="28"/>
                <w:szCs w:val="28"/>
              </w:rPr>
            </w:pPr>
            <w:r>
              <w:rPr>
                <w:rFonts w:hint="eastAsia" w:ascii="楷体_GB2312" w:hAnsi="仿宋_GB2312" w:eastAsia="楷体_GB2312" w:cs="仿宋_GB2312"/>
                <w:b/>
                <w:bCs/>
                <w:color w:val="auto"/>
                <w:sz w:val="28"/>
                <w:szCs w:val="28"/>
              </w:rPr>
              <w:t>双河经开区绿色算力产业园。</w:t>
            </w:r>
          </w:p>
          <w:p w14:paraId="1A430BD1">
            <w:pPr>
              <w:pStyle w:val="18"/>
              <w:spacing w:beforeAutospacing="0" w:afterAutospacing="0" w:line="240" w:lineRule="auto"/>
              <w:ind w:firstLine="562"/>
              <w:jc w:val="both"/>
              <w:rPr>
                <w:rFonts w:hint="eastAsia" w:ascii="楷体_GB2312" w:hAnsi="仿宋_GB2312" w:eastAsia="楷体_GB2312" w:cs="仿宋_GB2312"/>
                <w:b/>
                <w:bCs/>
                <w:color w:val="000000" w:themeColor="text1"/>
                <w:sz w:val="28"/>
                <w:szCs w:val="28"/>
                <w14:textFill>
                  <w14:solidFill>
                    <w14:schemeClr w14:val="tx1"/>
                  </w14:solidFill>
                </w14:textFill>
              </w:rPr>
            </w:pPr>
            <w:r>
              <w:rPr>
                <w:rFonts w:hint="eastAsia" w:ascii="楷体_GB2312" w:hAnsi="仿宋_GB2312" w:eastAsia="楷体_GB2312" w:cs="仿宋_GB2312"/>
                <w:b/>
                <w:bCs/>
                <w:color w:val="000000" w:themeColor="text1"/>
                <w:sz w:val="28"/>
                <w:szCs w:val="28"/>
                <w14:textFill>
                  <w14:solidFill>
                    <w14:schemeClr w14:val="tx1"/>
                  </w14:solidFill>
                </w14:textFill>
              </w:rPr>
              <w:t>算力电力协同融合发展项目。</w:t>
            </w:r>
          </w:p>
          <w:p w14:paraId="031993F7">
            <w:pPr>
              <w:pStyle w:val="18"/>
              <w:spacing w:beforeAutospacing="0" w:afterAutospacing="0" w:line="240" w:lineRule="auto"/>
              <w:ind w:firstLine="562"/>
              <w:jc w:val="both"/>
              <w:rPr>
                <w:rFonts w:cs="仿宋_GB2312"/>
                <w:kern w:val="2"/>
                <w:sz w:val="28"/>
                <w:szCs w:val="28"/>
              </w:rPr>
            </w:pPr>
            <w:r>
              <w:rPr>
                <w:rFonts w:hint="eastAsia" w:ascii="楷体_GB2312" w:hAnsi="仿宋_GB2312" w:eastAsia="楷体_GB2312" w:cs="仿宋_GB2312"/>
                <w:b/>
                <w:bCs/>
                <w:color w:val="000000" w:themeColor="text1"/>
                <w:sz w:val="28"/>
                <w:szCs w:val="28"/>
                <w14:textFill>
                  <w14:solidFill>
                    <w14:schemeClr w14:val="tx1"/>
                  </w14:solidFill>
                </w14:textFill>
              </w:rPr>
              <w:t>算力高速直连网络项目。</w:t>
            </w:r>
          </w:p>
          <w:p w14:paraId="074E27CD">
            <w:pPr>
              <w:pStyle w:val="18"/>
              <w:spacing w:beforeAutospacing="0" w:afterAutospacing="0" w:line="240" w:lineRule="auto"/>
              <w:ind w:firstLine="562"/>
              <w:jc w:val="both"/>
              <w:rPr>
                <w:rFonts w:cs="仿宋_GB2312"/>
                <w:kern w:val="2"/>
                <w:sz w:val="28"/>
                <w:szCs w:val="28"/>
              </w:rPr>
            </w:pPr>
            <w:r>
              <w:rPr>
                <w:rFonts w:hint="eastAsia" w:ascii="楷体_GB2312" w:hAnsi="仿宋_GB2312" w:eastAsia="楷体_GB2312" w:cs="仿宋_GB2312"/>
                <w:b/>
                <w:bCs/>
                <w:color w:val="000000" w:themeColor="text1"/>
                <w:sz w:val="28"/>
                <w:szCs w:val="28"/>
                <w14:textFill>
                  <w14:solidFill>
                    <w14:schemeClr w14:val="tx1"/>
                  </w14:solidFill>
                </w14:textFill>
              </w:rPr>
              <w:t>电网调度平台升级项目。</w:t>
            </w:r>
          </w:p>
        </w:tc>
      </w:tr>
    </w:tbl>
    <w:p w14:paraId="74376E7C">
      <w:pPr>
        <w:pStyle w:val="3"/>
        <w:rPr>
          <w:rFonts w:hint="eastAsia"/>
        </w:rPr>
      </w:pPr>
      <w:bookmarkStart w:id="75" w:name="_Toc30710"/>
      <w:r>
        <w:t>积极发展特色数据产业</w:t>
      </w:r>
      <w:bookmarkEnd w:id="75"/>
    </w:p>
    <w:p w14:paraId="0D9670E1">
      <w:pPr>
        <w:spacing w:line="576" w:lineRule="exact"/>
        <w:ind w:firstLine="643"/>
      </w:pPr>
      <w:r>
        <w:rPr>
          <w:rFonts w:hint="eastAsia"/>
          <w:b/>
          <w:bCs/>
        </w:rPr>
        <w:t>加强数据资源供给能力。</w:t>
      </w:r>
      <w:r>
        <w:rPr>
          <w:rFonts w:hint="eastAsia"/>
        </w:rPr>
        <w:t>开展数字资源供给能力建设工程，加快师市大数据中心（师级政务云）建设，分层分类归集公共、行业和企业数据，实现应采尽采、按需归集，并与兵团平台对接，实现资源统一纳管。严格落实公共数据目录编制要求，深化“一数一源”治理，形成师市公共数据资源“一本账”。开展数据清洗、去重、脱敏和质量核查，统一数据标准与接口规范，落实分级分类保护，破除数据孤岛。坚持数据要素市场化配置改革主线，推动建立数据要素市场体系，积极融入全国一体化技术和数据市场，探索建设师市企业、行业、城市可信数据空间，严格落实“原始数据不出域、数据可用不可见”要求，促进数据要素市场化、价值化发展。</w:t>
      </w:r>
    </w:p>
    <w:p w14:paraId="5F751585">
      <w:pPr>
        <w:spacing w:line="576" w:lineRule="exact"/>
        <w:ind w:firstLine="643"/>
      </w:pPr>
      <w:r>
        <w:rPr>
          <w:rFonts w:hint="eastAsia"/>
          <w:b/>
          <w:bCs/>
        </w:rPr>
        <w:t>打造特色高质量数据集。</w:t>
      </w:r>
      <w:r>
        <w:rPr>
          <w:rFonts w:hint="eastAsia"/>
        </w:rPr>
        <w:t>紧扣师市产业实际，聚焦现代农业、电子新材料、口岸跨境及城市治理等重点领域，打造标准的行业化高质量数据集。依托师市算力资源，引进专业标注企业建设本地化标注工场，联合双河职业技术学院培育本地数据标注产业，构建覆盖“数据采集-清洗-标注-训练-安全”的全链条数据产业生态。</w:t>
      </w:r>
    </w:p>
    <w:p w14:paraId="29C7687C">
      <w:pPr>
        <w:spacing w:line="576" w:lineRule="exact"/>
        <w:ind w:firstLine="643"/>
      </w:pPr>
      <w:r>
        <w:rPr>
          <w:rFonts w:hint="eastAsia"/>
          <w:b/>
          <w:bCs/>
        </w:rPr>
        <w:t>健全数据流通交易体系。</w:t>
      </w:r>
      <w:r>
        <w:rPr>
          <w:rFonts w:hint="eastAsia"/>
          <w:color w:val="000000" w:themeColor="text1"/>
          <w14:textFill>
            <w14:solidFill>
              <w14:schemeClr w14:val="tx1"/>
            </w14:solidFill>
          </w14:textFill>
        </w:rPr>
        <w:t>遵循兵团数据要素基础制度，健全师市数据流通交易体系。</w:t>
      </w:r>
      <w:r>
        <w:rPr>
          <w:color w:val="000000" w:themeColor="text1"/>
          <w14:textFill>
            <w14:solidFill>
              <w14:schemeClr w14:val="tx1"/>
            </w14:solidFill>
          </w14:textFill>
        </w:rPr>
        <w:t>依托兵团公共数据资源登记平台，开展</w:t>
      </w:r>
      <w:r>
        <w:rPr>
          <w:rFonts w:hint="eastAsia"/>
          <w:color w:val="000000" w:themeColor="text1"/>
          <w14:textFill>
            <w14:solidFill>
              <w14:schemeClr w14:val="tx1"/>
            </w14:solidFill>
          </w14:textFill>
        </w:rPr>
        <w:t>师市</w:t>
      </w:r>
      <w:r>
        <w:rPr>
          <w:color w:val="000000" w:themeColor="text1"/>
          <w14:textFill>
            <w14:solidFill>
              <w14:schemeClr w14:val="tx1"/>
            </w14:solidFill>
          </w14:textFill>
        </w:rPr>
        <w:t>公共数据资源登记工作，实现公共数据资源</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应登尽登</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依托兵团公共数据管理平台，</w:t>
      </w:r>
      <w:r>
        <w:rPr>
          <w:color w:val="000000" w:themeColor="text1"/>
          <w14:textFill>
            <w14:solidFill>
              <w14:schemeClr w14:val="tx1"/>
            </w14:solidFill>
          </w14:textFill>
        </w:rPr>
        <w:t>围绕</w:t>
      </w:r>
      <w:r>
        <w:rPr>
          <w:rFonts w:hint="eastAsia"/>
          <w:color w:val="000000" w:themeColor="text1"/>
          <w14:textFill>
            <w14:solidFill>
              <w14:schemeClr w14:val="tx1"/>
            </w14:solidFill>
          </w14:textFill>
        </w:rPr>
        <w:t>现代</w:t>
      </w:r>
      <w:r>
        <w:rPr>
          <w:color w:val="000000" w:themeColor="text1"/>
          <w14:textFill>
            <w14:solidFill>
              <w14:schemeClr w14:val="tx1"/>
            </w14:solidFill>
          </w14:textFill>
        </w:rPr>
        <w:t>农业、口岸物流等重点场景，有序推进</w:t>
      </w:r>
      <w:r>
        <w:rPr>
          <w:rFonts w:hint="eastAsia"/>
          <w:color w:val="000000" w:themeColor="text1"/>
          <w14:textFill>
            <w14:solidFill>
              <w14:schemeClr w14:val="tx1"/>
            </w14:solidFill>
          </w14:textFill>
        </w:rPr>
        <w:t>师市</w:t>
      </w:r>
      <w:r>
        <w:rPr>
          <w:color w:val="000000" w:themeColor="text1"/>
          <w14:textFill>
            <w14:solidFill>
              <w14:schemeClr w14:val="tx1"/>
            </w14:solidFill>
          </w14:textFill>
        </w:rPr>
        <w:t>公共数据授权运营</w:t>
      </w:r>
      <w:r>
        <w:rPr>
          <w:rFonts w:hint="eastAsia"/>
          <w:color w:val="000000" w:themeColor="text1"/>
          <w14:textFill>
            <w14:solidFill>
              <w14:schemeClr w14:val="tx1"/>
            </w14:solidFill>
          </w14:textFill>
        </w:rPr>
        <w:t>，加强数据资源整合共享和开发利用</w:t>
      </w:r>
      <w:r>
        <w:rPr>
          <w:color w:val="000000" w:themeColor="text1"/>
          <w14:textFill>
            <w14:solidFill>
              <w14:schemeClr w14:val="tx1"/>
            </w14:solidFill>
          </w14:textFill>
        </w:rPr>
        <w:t>。</w:t>
      </w:r>
      <w:r>
        <w:rPr>
          <w:rFonts w:hint="eastAsia"/>
        </w:rPr>
        <w:t>加快对接援疆省市及兵团数据交易服务平台，争取设立师市数据交易分区</w:t>
      </w:r>
      <w:r>
        <w:rPr>
          <w:rFonts w:hint="eastAsia"/>
          <w:color w:val="000000" w:themeColor="text1"/>
          <w14:textFill>
            <w14:solidFill>
              <w14:schemeClr w14:val="tx1"/>
            </w14:solidFill>
          </w14:textFill>
        </w:rPr>
        <w:t>，畅通区域数据流通渠道。</w:t>
      </w:r>
      <w:r>
        <w:rPr>
          <w:rFonts w:hint="eastAsia"/>
        </w:rPr>
        <w:t>建立健全登记、评估、入账全流程管理机制，积极推进国企数据资产入表试点工作。</w:t>
      </w:r>
    </w:p>
    <w:p w14:paraId="6200165E">
      <w:pPr>
        <w:spacing w:line="576" w:lineRule="exact"/>
        <w:ind w:firstLine="643"/>
      </w:pPr>
      <w:r>
        <w:rPr>
          <w:rFonts w:hint="eastAsia"/>
          <w:b/>
          <w:bCs/>
        </w:rPr>
        <w:t>培育数据交易生态与产业融合。</w:t>
      </w:r>
      <w:r>
        <w:rPr>
          <w:rFonts w:hint="eastAsia"/>
        </w:rPr>
        <w:t>探索组建师市国资控股的数字产业建设运营公司，围绕数据基础设施建设运营、信息安全保障、数字产业化和产业数字化等需要，统筹全域数据资源整合与市场化运营，有效引领师市数字经济发展，促进数据产业壮大。加快构建“供给方+需求方+服务方”协同的数据产业生态体系，大力招引数据合规认证、资产评估、数据审计等第三方专业服务机构。以产业需求为导向，推动数据产品在精准种植、生产管控、通关物流等场景的交易应用。推动师市与自治州在数据基础设施互联互通、数据资源跨域共享、流通标准互认等方面深化合作。依托口岸优势探索面向中亚国家的数据服务出口，打造向西开放的数据要素流通节点。</w:t>
      </w:r>
    </w:p>
    <w:tbl>
      <w:tblPr>
        <w:tblStyle w:val="19"/>
        <w:tblW w:w="5000" w:type="pct"/>
        <w:tblInd w:w="0" w:type="dxa"/>
        <w:tblLayout w:type="autofit"/>
        <w:tblCellMar>
          <w:top w:w="0" w:type="dxa"/>
          <w:left w:w="108" w:type="dxa"/>
          <w:bottom w:w="0" w:type="dxa"/>
          <w:right w:w="108" w:type="dxa"/>
        </w:tblCellMar>
      </w:tblPr>
      <w:tblGrid>
        <w:gridCol w:w="8516"/>
      </w:tblGrid>
      <w:tr w14:paraId="5F82B78E">
        <w:trPr>
          <w:trHeight w:val="420"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3866EC44">
            <w:pPr>
              <w:ind w:firstLine="0" w:firstLineChars="0"/>
              <w:jc w:val="center"/>
              <w:rPr>
                <w:rFonts w:ascii="楷体_GB2312" w:eastAsia="楷体_GB2312" w:cs="Times New Roman"/>
                <w:b/>
                <w:bCs/>
              </w:rPr>
            </w:pPr>
            <w:r>
              <w:rPr>
                <w:rFonts w:hint="eastAsia" w:ascii="楷体_GB2312" w:hAnsi="仿宋_GB2312" w:eastAsia="楷体_GB2312"/>
                <w:b/>
                <w:bCs/>
                <w:color w:val="000000" w:themeColor="text1"/>
                <w14:textFill>
                  <w14:solidFill>
                    <w14:schemeClr w14:val="tx1"/>
                  </w14:solidFill>
                </w14:textFill>
              </w:rPr>
              <w:t>专栏2 特色数据产业培育发展工程</w:t>
            </w:r>
          </w:p>
        </w:tc>
      </w:tr>
      <w:tr w14:paraId="29321162">
        <w:tblPrEx>
          <w:tblCellMar>
            <w:top w:w="0" w:type="dxa"/>
            <w:left w:w="108" w:type="dxa"/>
            <w:bottom w:w="0" w:type="dxa"/>
            <w:right w:w="108" w:type="dxa"/>
          </w:tblCellMar>
        </w:tblPrEx>
        <w:trPr>
          <w:trHeight w:val="606"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2D043E0F">
            <w:pPr>
              <w:numPr>
                <w:ilvl w:val="255"/>
                <w:numId w:val="0"/>
              </w:numPr>
              <w:spacing w:line="240" w:lineRule="auto"/>
              <w:ind w:firstLine="562" w:firstLineChars="200"/>
              <w:rPr>
                <w:rFonts w:hint="eastAsia" w:ascii="楷体_GB2312" w:hAnsi="仿宋_GB2312" w:eastAsia="楷体_GB2312"/>
                <w:b/>
                <w:sz w:val="28"/>
                <w:szCs w:val="28"/>
              </w:rPr>
            </w:pPr>
            <w:r>
              <w:rPr>
                <w:rFonts w:hint="eastAsia" w:ascii="楷体_GB2312" w:hAnsi="仿宋_GB2312" w:eastAsia="楷体_GB2312"/>
                <w:b/>
                <w:sz w:val="28"/>
                <w:szCs w:val="28"/>
              </w:rPr>
              <w:t>数据基础设施项目。</w:t>
            </w:r>
          </w:p>
          <w:p w14:paraId="11C954E2">
            <w:pPr>
              <w:numPr>
                <w:ilvl w:val="255"/>
                <w:numId w:val="0"/>
              </w:numPr>
              <w:spacing w:line="240" w:lineRule="auto"/>
              <w:ind w:firstLine="562" w:firstLineChars="200"/>
              <w:rPr>
                <w:rFonts w:hint="eastAsia" w:hAnsi="仿宋_GB2312"/>
                <w:bCs/>
                <w:sz w:val="28"/>
                <w:szCs w:val="28"/>
              </w:rPr>
            </w:pPr>
            <w:r>
              <w:rPr>
                <w:rFonts w:hint="eastAsia" w:ascii="楷体_GB2312" w:eastAsia="楷体_GB2312"/>
                <w:b/>
                <w:sz w:val="28"/>
                <w:szCs w:val="28"/>
              </w:rPr>
              <w:t>城市</w:t>
            </w:r>
            <w:r>
              <w:rPr>
                <w:rFonts w:hint="eastAsia" w:ascii="楷体_GB2312" w:hAnsi="仿宋_GB2312" w:eastAsia="楷体_GB2312"/>
                <w:b/>
                <w:sz w:val="28"/>
                <w:szCs w:val="28"/>
              </w:rPr>
              <w:t>可信数据空间</w:t>
            </w:r>
            <w:r>
              <w:rPr>
                <w:rFonts w:hint="eastAsia" w:ascii="楷体_GB2312" w:hAnsi="仿宋_GB2312" w:eastAsia="楷体_GB2312"/>
                <w:b/>
                <w:bCs/>
                <w:color w:val="000000" w:themeColor="text1"/>
                <w:sz w:val="28"/>
                <w:szCs w:val="28"/>
                <w14:textFill>
                  <w14:solidFill>
                    <w14:schemeClr w14:val="tx1"/>
                  </w14:solidFill>
                </w14:textFill>
              </w:rPr>
              <w:t>项目</w:t>
            </w:r>
            <w:r>
              <w:rPr>
                <w:rFonts w:hint="eastAsia" w:ascii="楷体_GB2312" w:hAnsi="仿宋_GB2312" w:eastAsia="楷体_GB2312"/>
                <w:b/>
                <w:sz w:val="28"/>
                <w:szCs w:val="28"/>
              </w:rPr>
              <w:t>。</w:t>
            </w:r>
          </w:p>
          <w:p w14:paraId="73CA0BC2">
            <w:pPr>
              <w:numPr>
                <w:ilvl w:val="255"/>
                <w:numId w:val="0"/>
              </w:numPr>
              <w:spacing w:line="240" w:lineRule="auto"/>
              <w:ind w:firstLine="562" w:firstLineChars="200"/>
              <w:rPr>
                <w:rFonts w:hint="eastAsia" w:hAnsi="仿宋_GB2312"/>
                <w:color w:val="000000" w:themeColor="text1"/>
                <w:sz w:val="30"/>
                <w:szCs w:val="30"/>
                <w14:textFill>
                  <w14:solidFill>
                    <w14:schemeClr w14:val="tx1"/>
                  </w14:solidFill>
                </w14:textFill>
              </w:rPr>
            </w:pPr>
            <w:r>
              <w:rPr>
                <w:rFonts w:hint="eastAsia" w:ascii="楷体_GB2312" w:eastAsia="楷体_GB2312"/>
                <w:b/>
                <w:sz w:val="28"/>
                <w:szCs w:val="28"/>
              </w:rPr>
              <w:t>国企数据资产入表试点项目。</w:t>
            </w:r>
          </w:p>
        </w:tc>
      </w:tr>
    </w:tbl>
    <w:p w14:paraId="00D1927B">
      <w:pPr>
        <w:pStyle w:val="3"/>
        <w:rPr>
          <w:rFonts w:hint="eastAsia"/>
        </w:rPr>
      </w:pPr>
      <w:bookmarkStart w:id="76" w:name="_Toc30751"/>
      <w:r>
        <w:rPr>
          <w:rFonts w:hint="eastAsia"/>
        </w:rPr>
        <w:t>延链发展</w:t>
      </w:r>
      <w:r>
        <w:t>智能</w:t>
      </w:r>
      <w:r>
        <w:rPr>
          <w:rFonts w:hint="eastAsia"/>
        </w:rPr>
        <w:t>制造</w:t>
      </w:r>
      <w:r>
        <w:t>产业</w:t>
      </w:r>
      <w:bookmarkEnd w:id="76"/>
    </w:p>
    <w:p w14:paraId="02ED1CCE">
      <w:pPr>
        <w:ind w:firstLine="643"/>
      </w:pPr>
      <w:r>
        <w:rPr>
          <w:rFonts w:hint="eastAsia"/>
          <w:b/>
          <w:bCs/>
        </w:rPr>
        <w:t>做强做优电极箔主导产业。</w:t>
      </w:r>
      <w:r>
        <w:rPr>
          <w:rFonts w:hint="eastAsia"/>
        </w:rPr>
        <w:t>加快高压电极箔扩产提能，推动企业向特高压电极箔、电解电容器、腐蚀箔延伸产业链。精准承接东中部新材料产业转移，积极引进铝基、铜基头部企业，发展电解铜箔、电子铜箔等上下游配套产业。发挥链主企业带动作用，吸引长三角、珠三角电子材料企业转移落户，形成“电子材料-元器件-组件”闭环产业链，打造兵团电极箔产业基地和电子新材料产业集群。</w:t>
      </w:r>
    </w:p>
    <w:p w14:paraId="5D76AD14">
      <w:pPr>
        <w:spacing w:line="576" w:lineRule="exact"/>
        <w:ind w:firstLine="643"/>
      </w:pPr>
      <w:r>
        <w:rPr>
          <w:rFonts w:hint="eastAsia"/>
          <w:b/>
          <w:bCs/>
        </w:rPr>
        <w:t>推进装备制造业数智化升级。</w:t>
      </w:r>
      <w:r>
        <w:rPr>
          <w:rFonts w:hint="eastAsia"/>
        </w:rPr>
        <w:t>紧扣现代农业装备数智化需求，重点围绕特色农作物播种、精准整地、田间植保、籽粒作物收获、大型化饲料加工、微小型农机具等方面进行智能装备升级，以及智能采摘、清洗、分拣成套装备、农业植保无人机等智能农牧装备，推动装备产品与农业物联网、数字农情监测系统深度适配，积极吸引一批具备数字化研发配套能力的农牧业装备制造企业落地。依托本地及中亚地区工业品市场需求，重点发展新能源智能装备、智慧农机装备，以及出口型特种车辆、智能机械装备、智慧家电等数字化组装制造产业，联动数字口岸与跨境供应链协同体系，打造面向中亚的智能装备制造业数字化出口基地。紧盯中亚地区市场消费升级趋势，大力引进一批具备数字化柔性生产能力的机电组装、轻工制造、智能家居生产制造企业，支持企业依托跨境电商平台开展数字化营销与个性化定制服务。</w:t>
      </w:r>
    </w:p>
    <w:p w14:paraId="2CDABDFB">
      <w:pPr>
        <w:spacing w:line="576" w:lineRule="exact"/>
        <w:ind w:firstLine="643"/>
      </w:pPr>
      <w:r>
        <w:rPr>
          <w:rFonts w:hint="eastAsia"/>
          <w:b/>
          <w:bCs/>
        </w:rPr>
        <w:t>深化产业链协同数字化转型。</w:t>
      </w:r>
      <w:r>
        <w:rPr>
          <w:rFonts w:hint="eastAsia"/>
        </w:rPr>
        <w:t>推行产业链图谱化管理，聚焦电子新材料、绿矿资源加工、农产品加工等优势制造产业，引导资源精准配置与上下游产业协同改造。围绕援疆省市引育电线电缆、电子铜箔等深加工制造企业，培育电子信息制造产业集群。依托阿拉山口口岸保税仓储及战略物资储备设施，培育布局进口矿产资源加工转化产业，同步推进全链条数字化赋能，建设战略性矿产资源进口加工储备基地，以数字化手段提升产业供应链抗风险能力与协同发展水平。</w:t>
      </w:r>
    </w:p>
    <w:tbl>
      <w:tblPr>
        <w:tblStyle w:val="19"/>
        <w:tblW w:w="5000" w:type="pct"/>
        <w:tblInd w:w="0" w:type="dxa"/>
        <w:tblLayout w:type="autofit"/>
        <w:tblCellMar>
          <w:top w:w="0" w:type="dxa"/>
          <w:left w:w="108" w:type="dxa"/>
          <w:bottom w:w="0" w:type="dxa"/>
          <w:right w:w="108" w:type="dxa"/>
        </w:tblCellMar>
      </w:tblPr>
      <w:tblGrid>
        <w:gridCol w:w="8516"/>
      </w:tblGrid>
      <w:tr w14:paraId="2F54DA62">
        <w:tblPrEx>
          <w:tblCellMar>
            <w:top w:w="0" w:type="dxa"/>
            <w:left w:w="108" w:type="dxa"/>
            <w:bottom w:w="0" w:type="dxa"/>
            <w:right w:w="108" w:type="dxa"/>
          </w:tblCellMar>
        </w:tblPrEx>
        <w:trPr>
          <w:trHeight w:val="420"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5EB70C04">
            <w:pPr>
              <w:ind w:firstLine="0" w:firstLineChars="0"/>
              <w:jc w:val="center"/>
              <w:rPr>
                <w:rFonts w:ascii="楷体_GB2312" w:eastAsia="楷体_GB2312" w:cs="Times New Roman"/>
                <w:b/>
                <w:bCs/>
              </w:rPr>
            </w:pPr>
            <w:r>
              <w:rPr>
                <w:rFonts w:hint="eastAsia" w:ascii="楷体_GB2312" w:hAnsi="仿宋_GB2312" w:eastAsia="楷体_GB2312"/>
                <w:b/>
                <w:bCs/>
                <w:color w:val="000000" w:themeColor="text1"/>
                <w14:textFill>
                  <w14:solidFill>
                    <w14:schemeClr w14:val="tx1"/>
                  </w14:solidFill>
                </w14:textFill>
              </w:rPr>
              <w:t>专栏3 智能制造产业延链发展工程</w:t>
            </w:r>
          </w:p>
        </w:tc>
      </w:tr>
      <w:tr w14:paraId="7D1FE593">
        <w:tblPrEx>
          <w:tblCellMar>
            <w:top w:w="0" w:type="dxa"/>
            <w:left w:w="108" w:type="dxa"/>
            <w:bottom w:w="0" w:type="dxa"/>
            <w:right w:w="108" w:type="dxa"/>
          </w:tblCellMar>
        </w:tblPrEx>
        <w:trPr>
          <w:trHeight w:val="606"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654AAEC7">
            <w:pPr>
              <w:pStyle w:val="18"/>
              <w:spacing w:beforeAutospacing="0" w:afterAutospacing="0" w:line="240" w:lineRule="auto"/>
              <w:ind w:firstLine="562"/>
              <w:jc w:val="both"/>
              <w:rPr>
                <w:rFonts w:hint="eastAsia" w:hAnsi="仿宋_GB2312" w:cs="仿宋_GB2312"/>
                <w:color w:val="000000" w:themeColor="text1"/>
                <w:sz w:val="30"/>
                <w:szCs w:val="30"/>
                <w14:textFill>
                  <w14:solidFill>
                    <w14:schemeClr w14:val="tx1"/>
                  </w14:solidFill>
                </w14:textFill>
              </w:rPr>
            </w:pPr>
            <w:r>
              <w:rPr>
                <w:rFonts w:hint="eastAsia" w:ascii="楷体_GB2312" w:hAnsi="仿宋_GB2312" w:eastAsia="楷体_GB2312" w:cs="仿宋_GB2312"/>
                <w:b/>
                <w:bCs/>
                <w:color w:val="000000" w:themeColor="text1"/>
                <w:sz w:val="28"/>
                <w:szCs w:val="28"/>
                <w14:textFill>
                  <w14:solidFill>
                    <w14:schemeClr w14:val="tx1"/>
                  </w14:solidFill>
                </w14:textFill>
              </w:rPr>
              <w:t>电极箔产线扩产提质项目。</w:t>
            </w:r>
          </w:p>
        </w:tc>
      </w:tr>
    </w:tbl>
    <w:p w14:paraId="4BB73E13">
      <w:pPr>
        <w:pStyle w:val="3"/>
        <w:rPr>
          <w:rFonts w:hint="eastAsia"/>
        </w:rPr>
      </w:pPr>
      <w:bookmarkStart w:id="77" w:name="_Toc27797"/>
      <w:r>
        <w:rPr>
          <w:rFonts w:hint="eastAsia"/>
        </w:rPr>
        <w:t>探索发展</w:t>
      </w:r>
      <w:r>
        <w:t>低空经济产业</w:t>
      </w:r>
      <w:bookmarkEnd w:id="77"/>
    </w:p>
    <w:p w14:paraId="4FD53A8A">
      <w:pPr>
        <w:ind w:firstLine="643"/>
      </w:pPr>
      <w:r>
        <w:rPr>
          <w:rFonts w:hint="eastAsia"/>
          <w:b/>
          <w:bCs/>
        </w:rPr>
        <w:t>构建全域低空基础设施网络。</w:t>
      </w:r>
      <w:r>
        <w:rPr>
          <w:rFonts w:hint="eastAsia"/>
        </w:rPr>
        <w:t>统筹低空经济空间布局，谋划推进通用机场规划建设，在各团场、重点景区、双河经开区等关键节点布局起降点、无人机蜂巢等低空配套基础设施，逐步建立“博乐阿拉山口机场+团场通用机场+起降点+蜂巢”多层级航空网络体系，夯实低空经济发展基础。</w:t>
      </w:r>
    </w:p>
    <w:p w14:paraId="42339F97">
      <w:pPr>
        <w:ind w:firstLine="643"/>
      </w:pPr>
      <w:r>
        <w:rPr>
          <w:rFonts w:hint="eastAsia"/>
          <w:b/>
          <w:bCs/>
        </w:rPr>
        <w:t>拓展多元低空融合应用场景。拓展“低空+文旅”新业态。</w:t>
      </w:r>
      <w:r>
        <w:rPr>
          <w:rFonts w:hint="eastAsia"/>
        </w:rPr>
        <w:t>依托怪石峪、夏尔西里、艾比湖等景区资源，打造特色低空观光航线。引进低空文旅运营企业，建设低空旅游服务综合体，发展商业载人观光产业。</w:t>
      </w:r>
      <w:r>
        <w:rPr>
          <w:rFonts w:hint="eastAsia"/>
          <w:b/>
          <w:bCs/>
        </w:rPr>
        <w:t>构建“低空+物流”新网络。</w:t>
      </w:r>
      <w:r>
        <w:rPr>
          <w:rFonts w:hint="eastAsia"/>
        </w:rPr>
        <w:t>构建区域低空物流网络，探索面向中亚的跨境电商物流、冷链药品运输以及特色农产品短途低空配送，形成“通用机场+起降点+末端配送”三级体系。</w:t>
      </w:r>
      <w:r>
        <w:rPr>
          <w:rFonts w:hint="eastAsia"/>
          <w:b/>
          <w:bCs/>
        </w:rPr>
        <w:t>深化“低空+农林业”新应用。</w:t>
      </w:r>
      <w:r>
        <w:rPr>
          <w:rFonts w:hint="eastAsia"/>
        </w:rPr>
        <w:t>推广无人机在农田和果林精准施药施肥、播种及病虫害监测；拓展无人机草原补播、森林防火巡查等服务。</w:t>
      </w:r>
      <w:r>
        <w:rPr>
          <w:rFonts w:hint="eastAsia"/>
          <w:b/>
          <w:bCs/>
        </w:rPr>
        <w:t>强化“低空+治理”新支撑。</w:t>
      </w:r>
      <w:r>
        <w:rPr>
          <w:rFonts w:hint="eastAsia"/>
        </w:rPr>
        <w:t>助力立体化空地一体治安防控圈建设，利用红外热成像、高清视频回传及AI行为识别技术，对重点通道和无人区进行不间断监控与智能预警。推动口岸跨境巡检、边境无人巡逻等治理场景应用。</w:t>
      </w:r>
      <w:r>
        <w:rPr>
          <w:rFonts w:hint="eastAsia"/>
          <w:b/>
          <w:bCs/>
        </w:rPr>
        <w:t>打造“低空+应急”新通道。</w:t>
      </w:r>
      <w:r>
        <w:rPr>
          <w:rFonts w:hint="eastAsia"/>
        </w:rPr>
        <w:t>构建低空应急响应体系，建设林草防火、防汛抗旱、地灾排查、应急搜救、灾情快勘与应急物资精准投送等场景应用，打通低空飞行数据与应急指挥平台链路，实现灾情快速研判、救援力量高效调度，提升师市应急处突与防灾减灾救灾能力。</w:t>
      </w:r>
    </w:p>
    <w:tbl>
      <w:tblPr>
        <w:tblStyle w:val="19"/>
        <w:tblW w:w="5000" w:type="pct"/>
        <w:tblInd w:w="0" w:type="dxa"/>
        <w:tblLayout w:type="autofit"/>
        <w:tblCellMar>
          <w:top w:w="0" w:type="dxa"/>
          <w:left w:w="108" w:type="dxa"/>
          <w:bottom w:w="0" w:type="dxa"/>
          <w:right w:w="108" w:type="dxa"/>
        </w:tblCellMar>
      </w:tblPr>
      <w:tblGrid>
        <w:gridCol w:w="8516"/>
      </w:tblGrid>
      <w:tr w14:paraId="756D4C2D">
        <w:tblPrEx>
          <w:tblCellMar>
            <w:top w:w="0" w:type="dxa"/>
            <w:left w:w="108" w:type="dxa"/>
            <w:bottom w:w="0" w:type="dxa"/>
            <w:right w:w="108" w:type="dxa"/>
          </w:tblCellMar>
        </w:tblPrEx>
        <w:trPr>
          <w:trHeight w:val="420"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517E4D6E">
            <w:pPr>
              <w:ind w:firstLine="0" w:firstLineChars="0"/>
              <w:jc w:val="center"/>
              <w:rPr>
                <w:rFonts w:ascii="楷体_GB2312" w:eastAsia="楷体_GB2312" w:cs="Times New Roman"/>
                <w:b/>
                <w:bCs/>
              </w:rPr>
            </w:pPr>
            <w:r>
              <w:rPr>
                <w:rFonts w:hint="eastAsia" w:ascii="楷体_GB2312" w:hAnsi="仿宋_GB2312" w:eastAsia="楷体_GB2312"/>
                <w:b/>
                <w:bCs/>
                <w:color w:val="000000" w:themeColor="text1"/>
                <w14:textFill>
                  <w14:solidFill>
                    <w14:schemeClr w14:val="tx1"/>
                  </w14:solidFill>
                </w14:textFill>
              </w:rPr>
              <w:t>专栏4 低空经济产业培育发展工程</w:t>
            </w:r>
          </w:p>
        </w:tc>
      </w:tr>
      <w:tr w14:paraId="74274ABB">
        <w:tblPrEx>
          <w:tblCellMar>
            <w:top w:w="0" w:type="dxa"/>
            <w:left w:w="108" w:type="dxa"/>
            <w:bottom w:w="0" w:type="dxa"/>
            <w:right w:w="108" w:type="dxa"/>
          </w:tblCellMar>
        </w:tblPrEx>
        <w:trPr>
          <w:trHeight w:val="606"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7D1044AB">
            <w:pPr>
              <w:numPr>
                <w:ilvl w:val="255"/>
                <w:numId w:val="0"/>
              </w:numPr>
              <w:spacing w:line="240" w:lineRule="auto"/>
              <w:ind w:firstLine="562" w:firstLineChars="200"/>
            </w:pPr>
            <w:r>
              <w:rPr>
                <w:rFonts w:hint="eastAsia" w:ascii="楷体_GB2312" w:hAnsi="仿宋_GB2312" w:eastAsia="楷体_GB2312"/>
                <w:b/>
                <w:bCs/>
                <w:color w:val="000000" w:themeColor="text1"/>
                <w:kern w:val="0"/>
                <w:sz w:val="28"/>
                <w:szCs w:val="28"/>
                <w14:textFill>
                  <w14:solidFill>
                    <w14:schemeClr w14:val="tx1"/>
                  </w14:solidFill>
                </w14:textFill>
              </w:rPr>
              <w:t>低空经济项目</w:t>
            </w:r>
            <w:r>
              <w:rPr>
                <w:rFonts w:hint="eastAsia" w:ascii="楷体_GB2312" w:hAnsi="仿宋_GB2312" w:eastAsia="楷体_GB2312"/>
                <w:b/>
                <w:bCs/>
                <w:color w:val="000000" w:themeColor="text1"/>
                <w:kern w:val="0"/>
                <w:sz w:val="30"/>
                <w:szCs w:val="30"/>
                <w14:textFill>
                  <w14:solidFill>
                    <w14:schemeClr w14:val="tx1"/>
                  </w14:solidFill>
                </w14:textFill>
              </w:rPr>
              <w:t>。</w:t>
            </w:r>
          </w:p>
        </w:tc>
      </w:tr>
    </w:tbl>
    <w:p w14:paraId="226AD674">
      <w:pPr>
        <w:pStyle w:val="3"/>
        <w:rPr>
          <w:rFonts w:hint="eastAsia"/>
        </w:rPr>
      </w:pPr>
      <w:bookmarkStart w:id="78" w:name="_Toc719"/>
      <w:r>
        <w:t>布局</w:t>
      </w:r>
      <w:r>
        <w:rPr>
          <w:rFonts w:hint="eastAsia"/>
        </w:rPr>
        <w:t>发展</w:t>
      </w:r>
      <w:r>
        <w:t>人工智能产业</w:t>
      </w:r>
      <w:bookmarkEnd w:id="78"/>
    </w:p>
    <w:p w14:paraId="77B1F6FB">
      <w:pPr>
        <w:ind w:firstLine="643"/>
        <w:rPr>
          <w:color w:val="00B0F0"/>
        </w:rPr>
      </w:pPr>
      <w:r>
        <w:rPr>
          <w:rFonts w:hint="eastAsia"/>
          <w:b/>
          <w:bCs/>
          <w:color w:val="000000" w:themeColor="text1"/>
          <w14:textFill>
            <w14:solidFill>
              <w14:schemeClr w14:val="tx1"/>
            </w14:solidFill>
          </w14:textFill>
        </w:rPr>
        <w:t>加快人工智能算力与数据产业融合。</w:t>
      </w:r>
      <w:r>
        <w:rPr>
          <w:rFonts w:hint="eastAsia"/>
          <w:color w:val="000000" w:themeColor="text1"/>
          <w14:textFill>
            <w14:solidFill>
              <w14:schemeClr w14:val="tx1"/>
            </w14:solidFill>
          </w14:textFill>
        </w:rPr>
        <w:t>依托师市绿色算力基础设施，探索融合国内领先多模平台，提供普惠化AI模型训练与推理算力服务，支撑师市企事业单位数字化转型需求。</w:t>
      </w:r>
      <w:r>
        <w:rPr>
          <w:color w:val="000000" w:themeColor="text1"/>
          <w14:textFill>
            <w14:solidFill>
              <w14:schemeClr w14:val="tx1"/>
            </w14:solidFill>
          </w14:textFill>
        </w:rPr>
        <w:t>加快建设面向特色农业、智能装备、文化旅游、</w:t>
      </w:r>
      <w:r>
        <w:rPr>
          <w:rFonts w:hint="eastAsia"/>
          <w:color w:val="000000" w:themeColor="text1"/>
          <w14:textFill>
            <w14:solidFill>
              <w14:schemeClr w14:val="tx1"/>
            </w14:solidFill>
          </w14:textFill>
        </w:rPr>
        <w:t>城市</w:t>
      </w:r>
      <w:r>
        <w:rPr>
          <w:color w:val="000000" w:themeColor="text1"/>
          <w14:textFill>
            <w14:solidFill>
              <w14:schemeClr w14:val="tx1"/>
            </w14:solidFill>
          </w14:textFill>
        </w:rPr>
        <w:t>治理等领域的高质量数据集，构建交通运输、医疗健康、教育教学、工业制造、智慧能源、</w:t>
      </w:r>
      <w:r>
        <w:rPr>
          <w:rFonts w:hint="eastAsia"/>
          <w:color w:val="000000" w:themeColor="text1"/>
          <w14:textFill>
            <w14:solidFill>
              <w14:schemeClr w14:val="tx1"/>
            </w14:solidFill>
          </w14:textFill>
        </w:rPr>
        <w:t>跨境电商、</w:t>
      </w:r>
      <w:r>
        <w:rPr>
          <w:color w:val="000000" w:themeColor="text1"/>
          <w14:textFill>
            <w14:solidFill>
              <w14:schemeClr w14:val="tx1"/>
            </w14:solidFill>
          </w14:textFill>
        </w:rPr>
        <w:t>应急管理等行业高质量数据集，赋能行业大模型及传统智能模型研发。</w:t>
      </w:r>
    </w:p>
    <w:p w14:paraId="015CE908">
      <w:pPr>
        <w:ind w:firstLine="643"/>
        <w:rPr>
          <w:color w:val="000000" w:themeColor="text1"/>
          <w14:textFill>
            <w14:solidFill>
              <w14:schemeClr w14:val="tx1"/>
            </w14:solidFill>
          </w14:textFill>
        </w:rPr>
      </w:pPr>
      <w:r>
        <w:rPr>
          <w:rFonts w:hint="eastAsia"/>
          <w:b/>
          <w:bCs/>
          <w:color w:val="000000" w:themeColor="text1"/>
          <w14:textFill>
            <w14:solidFill>
              <w14:schemeClr w14:val="tx1"/>
            </w14:solidFill>
          </w14:textFill>
        </w:rPr>
        <w:t>深化“人工智能+”现代农业应用。</w:t>
      </w:r>
      <w:r>
        <w:rPr>
          <w:rFonts w:hint="eastAsia"/>
          <w:color w:val="000000" w:themeColor="text1"/>
          <w14:textFill>
            <w14:solidFill>
              <w14:schemeClr w14:val="tx1"/>
            </w14:solidFill>
          </w14:textFill>
        </w:rPr>
        <w:t>依托高标准数字农业样板区、玉米制种示范基地，推广作物长势监测、病虫害智能识别与预警、产量预测等AI应用，提升精准种植水平。拓展智慧畜牧场景，深化智慧生态养殖应用，引入畜禽个体行为识别、疫病防控预警等AI应用。支持涉农企业试点引入AI大模型，应用于农产品智能质检、饲料加工工艺优化及农业供应链调度，赋能农业全产业链提质增效。</w:t>
      </w:r>
    </w:p>
    <w:p w14:paraId="64649678">
      <w:pPr>
        <w:ind w:firstLine="643"/>
        <w:rPr>
          <w:color w:val="000000" w:themeColor="text1"/>
          <w14:textFill>
            <w14:solidFill>
              <w14:schemeClr w14:val="tx1"/>
            </w14:solidFill>
          </w14:textFill>
        </w:rPr>
      </w:pPr>
      <w:r>
        <w:rPr>
          <w:rFonts w:hint="eastAsia"/>
          <w:b/>
          <w:bCs/>
          <w:color w:val="000000" w:themeColor="text1"/>
          <w14:textFill>
            <w14:solidFill>
              <w14:schemeClr w14:val="tx1"/>
            </w14:solidFill>
          </w14:textFill>
        </w:rPr>
        <w:t>推进“人工智能+”工业智造转型。</w:t>
      </w:r>
      <w:r>
        <w:rPr>
          <w:rFonts w:hint="eastAsia"/>
          <w:color w:val="000000" w:themeColor="text1"/>
          <w14:textFill>
            <w14:solidFill>
              <w14:schemeClr w14:val="tx1"/>
            </w14:solidFill>
          </w14:textFill>
        </w:rPr>
        <w:t>鼓励链主企业在工艺优化、产品质检、设备维护、智能温控、能耗管理等AI应用场景，引导建设卓越型智能工厂。依托经开区工业互联网公共服务平台，逐步集成AI分析工具，试点“模数共振”，推动工业制造“智改数转”向纵深发展。</w:t>
      </w:r>
    </w:p>
    <w:p w14:paraId="01ED6D23">
      <w:pPr>
        <w:ind w:firstLine="643"/>
        <w:rPr>
          <w:color w:val="000000" w:themeColor="text1"/>
          <w14:textFill>
            <w14:solidFill>
              <w14:schemeClr w14:val="tx1"/>
            </w14:solidFill>
          </w14:textFill>
        </w:rPr>
      </w:pPr>
      <w:r>
        <w:rPr>
          <w:rFonts w:hint="eastAsia"/>
          <w:b/>
          <w:bCs/>
          <w:color w:val="000000" w:themeColor="text1"/>
          <w14:textFill>
            <w14:solidFill>
              <w14:schemeClr w14:val="tx1"/>
            </w14:solidFill>
          </w14:textFill>
        </w:rPr>
        <w:t>拓展“人工智能+”文旅融合创新。</w:t>
      </w:r>
      <w:r>
        <w:rPr>
          <w:rFonts w:hint="eastAsia"/>
          <w:color w:val="000000" w:themeColor="text1"/>
          <w14:textFill>
            <w14:solidFill>
              <w14:schemeClr w14:val="tx1"/>
            </w14:solidFill>
          </w14:textFill>
        </w:rPr>
        <w:t>立足师市军垦文化底蕴与文旅资源禀赋，以人工智能技术全面赋能文旅产业全链条升级，培育数字文旅新业态新模式。融合人工智能算法与AR/VR技术，面向游客提供智能行程规划、实时导览问答、个性化服务推荐等全流程智慧服务，全面提升游客游览体验与服务便捷度。运用AI算法构建重大节假日客流量精准预测与动态管控机制，建立文旅服务质量智能评价模型，搭建文旅产业垂直知识库，赋能市场趋势研判、企业经营优化与精准决策，推动文旅行业治理向精细化、智能化升级。</w:t>
      </w:r>
    </w:p>
    <w:p w14:paraId="0C809A1B">
      <w:pPr>
        <w:ind w:firstLine="643"/>
      </w:pPr>
      <w:r>
        <w:rPr>
          <w:rFonts w:hint="eastAsia"/>
          <w:b/>
          <w:bCs/>
          <w:color w:val="000000" w:themeColor="text1"/>
          <w14:textFill>
            <w14:solidFill>
              <w14:schemeClr w14:val="tx1"/>
            </w14:solidFill>
          </w14:textFill>
        </w:rPr>
        <w:t>提升“人工智能+”城市治理效能。</w:t>
      </w:r>
      <w:r>
        <w:rPr>
          <w:rFonts w:hint="eastAsia"/>
          <w:color w:val="000000" w:themeColor="text1"/>
          <w14:textFill>
            <w14:solidFill>
              <w14:schemeClr w14:val="tx1"/>
            </w14:solidFill>
          </w14:textFill>
        </w:rPr>
        <w:t>探索构建双河智慧城市运行智能中枢底座，加强AI在公共安全预警、社会治安治理、宏观态势监测、应急指挥调度、网络舆情监测、智慧边防建设、安全生产监督、提升公共服务、推进产业发展、促进消费提质等场景应用，提升“一网统管”智能化水平。推动“人工智能+”政务服务，探索智能预审、政策精准推送与智能问答。稳步拓展AI在智慧水利的</w:t>
      </w:r>
      <w:r>
        <w:rPr>
          <w:color w:val="000000" w:themeColor="text1"/>
          <w14:textFill>
            <w14:solidFill>
              <w14:schemeClr w14:val="tx1"/>
            </w14:solidFill>
          </w14:textFill>
        </w:rPr>
        <w:t>水雨情监测预警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水资源优化配置</w:t>
      </w:r>
      <w:r>
        <w:rPr>
          <w:rFonts w:hint="eastAsia"/>
          <w:color w:val="000000" w:themeColor="text1"/>
          <w14:textFill>
            <w14:solidFill>
              <w14:schemeClr w14:val="tx1"/>
            </w14:solidFill>
          </w14:textFill>
        </w:rPr>
        <w:t>，智慧医疗的医学影像辅助诊断、健康筛查，智慧教育的智能助教、个性化学习等民生领域的场景应用，提升公共服务均等化、普惠化水平。</w:t>
      </w:r>
    </w:p>
    <w:p w14:paraId="3CA4AEBD">
      <w:pPr>
        <w:pStyle w:val="2"/>
        <w:ind w:firstLine="0"/>
        <w:rPr>
          <w:rFonts w:hint="eastAsia"/>
        </w:rPr>
      </w:pPr>
      <w:bookmarkStart w:id="79" w:name="_Toc11777"/>
      <w:bookmarkStart w:id="80" w:name="_Toc24049"/>
      <w:bookmarkStart w:id="81" w:name="_Toc4868"/>
      <w:r>
        <w:rPr>
          <w:rFonts w:hint="eastAsia"/>
        </w:rPr>
        <w:t>推进实数深度融合，赋能实体经济发展</w:t>
      </w:r>
      <w:bookmarkEnd w:id="79"/>
    </w:p>
    <w:bookmarkEnd w:id="80"/>
    <w:bookmarkEnd w:id="81"/>
    <w:p w14:paraId="14D06A96">
      <w:pPr>
        <w:pStyle w:val="3"/>
        <w:rPr>
          <w:rFonts w:hint="eastAsia"/>
        </w:rPr>
      </w:pPr>
      <w:bookmarkStart w:id="82" w:name="_Toc18616"/>
      <w:bookmarkStart w:id="83" w:name="_Toc7097"/>
      <w:bookmarkStart w:id="84" w:name="_Toc7751"/>
      <w:bookmarkStart w:id="85" w:name="_Toc20785"/>
      <w:bookmarkStart w:id="86" w:name="_Toc2820"/>
      <w:bookmarkStart w:id="87" w:name="_Toc13463"/>
      <w:bookmarkStart w:id="88" w:name="_Toc6240"/>
      <w:bookmarkStart w:id="89" w:name="_Toc8222"/>
      <w:bookmarkStart w:id="90" w:name="_Toc18332"/>
      <w:bookmarkStart w:id="91" w:name="_Toc29836"/>
      <w:bookmarkStart w:id="92" w:name="_Toc2148"/>
      <w:bookmarkStart w:id="93" w:name="_Toc23493"/>
      <w:bookmarkStart w:id="94" w:name="_Toc2895"/>
      <w:bookmarkStart w:id="95" w:name="_Toc19818"/>
      <w:bookmarkStart w:id="96" w:name="_Toc10261"/>
      <w:r>
        <w:rPr>
          <w:rFonts w:hint="eastAsia"/>
        </w:rPr>
        <w:t>推动特色数智农业综合发展</w:t>
      </w:r>
      <w:bookmarkEnd w:id="82"/>
    </w:p>
    <w:p w14:paraId="1A95B032">
      <w:pPr>
        <w:ind w:firstLine="643"/>
      </w:pPr>
      <w:r>
        <w:rPr>
          <w:b/>
          <w:bCs/>
        </w:rPr>
        <w:t>打造高标准数字农业样板区</w:t>
      </w:r>
      <w:r>
        <w:rPr>
          <w:rFonts w:hint="eastAsia"/>
          <w:b/>
          <w:bCs/>
        </w:rPr>
        <w:t>。</w:t>
      </w:r>
      <w:r>
        <w:rPr>
          <w:rFonts w:hint="eastAsia"/>
        </w:rPr>
        <w:t>建设高标准数字农业样板，围绕棉花、葡萄等优势主导产业，分批推进国家数字农业创新示范基地建设，完善布设土壤墒情、气象监测、病虫害预警、水肥一体化等感知终端，拓展“北斗定位+智能灌溉+精准植保”集成场景，推进智慧棉田、智慧果园数智化改造，全力打造万亩级智慧种植示范区。加快发展智能设施农业，推进</w:t>
      </w:r>
      <w:r>
        <w:rPr>
          <w:rFonts w:cs="Times New Roman"/>
        </w:rPr>
        <w:t>AI智能</w:t>
      </w:r>
      <w:r>
        <w:rPr>
          <w:rFonts w:hint="eastAsia"/>
        </w:rPr>
        <w:t>温室建设，实现温室实时监测与智能调控。健全农产品“产供储销”溯源体系，建设全周期数字档案和棉花、葡萄高质量数据集，夯实农产品数字化数据基础。</w:t>
      </w:r>
    </w:p>
    <w:p w14:paraId="7B952E60">
      <w:pPr>
        <w:ind w:firstLine="643"/>
      </w:pPr>
      <w:r>
        <w:rPr>
          <w:rFonts w:hint="eastAsia"/>
          <w:b/>
          <w:bCs/>
        </w:rPr>
        <w:t>推进畜牧养殖数智赋能。</w:t>
      </w:r>
      <w:r>
        <w:rPr>
          <w:rFonts w:hint="eastAsia"/>
        </w:rPr>
        <w:t>构建种养一体化数字化管控体系，搭建师市畜牧业数字化管理平台，围绕养殖环境实时监测、动物健康远程诊断、疫病风险动态预警等场景，实现畜牧产品全生产周期精准管控。深化智慧养殖试点示范，在生猪、肉牛、蛋鸡养殖场推行精细化养殖管理，提升生产效率与资源利用水平。推动三文鱼等冷水鱼养殖数字化升级，部署物联网监测终端与智慧管控平台，推广AI病害识别、精准投喂等应用，提升水产养殖数字化管控水平。</w:t>
      </w:r>
    </w:p>
    <w:p w14:paraId="25210C44">
      <w:pPr>
        <w:ind w:firstLine="643"/>
      </w:pPr>
      <w:r>
        <w:rPr>
          <w:rFonts w:hint="eastAsia"/>
          <w:b/>
          <w:bCs/>
        </w:rPr>
        <w:t>健全涉农数智化服务体系。</w:t>
      </w:r>
      <w:r>
        <w:rPr>
          <w:rFonts w:hint="eastAsia"/>
        </w:rPr>
        <w:t>推动农业社会化服务数字平台升级，利用</w:t>
      </w:r>
      <w:r>
        <w:rPr>
          <w:rFonts w:cs="Times New Roman"/>
        </w:rPr>
        <w:t>数据+AI</w:t>
      </w:r>
      <w:r>
        <w:rPr>
          <w:rFonts w:hint="eastAsia"/>
        </w:rPr>
        <w:t>技术强化智能生产决策、病虫害智能识别、供应链协同调度、产销分析研判、农资集中议价等核心场景，打造面向团场连片种植区、家庭农场及各类新型农业经营主体的一站式数字服务入口。试点建设涉农高质量数据集，探索开发农产品价格指数、种植规划建议等数据产品，实现数据赋能农业科学决策，提升社会化服务效能。</w:t>
      </w:r>
    </w:p>
    <w:p w14:paraId="7FE05C0C">
      <w:pPr>
        <w:ind w:firstLine="643"/>
      </w:pPr>
      <w:r>
        <w:rPr>
          <w:rFonts w:hint="eastAsia"/>
          <w:b/>
          <w:bCs/>
        </w:rPr>
        <w:t>提升农副产品加工数智水平。</w:t>
      </w:r>
      <w:r>
        <w:rPr>
          <w:rFonts w:hint="eastAsia"/>
        </w:rPr>
        <w:t>引导农副产品精深加工企业向双河经开区集聚，聚焦果蔬、粮油、畜禽特色品类，以产业链延伸增值为方向，全面推进行业“智改数转”。推动加工产业向果蔬饮品、酒类酿造等高附加值方向延伸，引入无菌冷灌装智能生产线，推进NFC果蔬汁智能工厂建设，打造智能化果蔬饮料生产基地。推进粮油饲料加工数字化升级，引入MES、PLC系统，打通产供销全链路数据，实现自动采集、实时监控与智能分析。鼓励番茄制品、肉制品加工企业集成应用智能分选、无损检测、自动化包装等装备，实现“产加储供销”一体化协同管控。全面提升行业关键工序数控化率与农产品精深加工附加值，推动农品生产制造、质量检测、流通追溯全流程数智化转型升级。</w:t>
      </w:r>
    </w:p>
    <w:tbl>
      <w:tblPr>
        <w:tblStyle w:val="19"/>
        <w:tblW w:w="5000" w:type="pct"/>
        <w:tblInd w:w="0" w:type="dxa"/>
        <w:tblLayout w:type="autofit"/>
        <w:tblCellMar>
          <w:top w:w="0" w:type="dxa"/>
          <w:left w:w="108" w:type="dxa"/>
          <w:bottom w:w="0" w:type="dxa"/>
          <w:right w:w="108" w:type="dxa"/>
        </w:tblCellMar>
      </w:tblPr>
      <w:tblGrid>
        <w:gridCol w:w="8516"/>
      </w:tblGrid>
      <w:tr w14:paraId="52ECC677">
        <w:tblPrEx>
          <w:tblCellMar>
            <w:top w:w="0" w:type="dxa"/>
            <w:left w:w="108" w:type="dxa"/>
            <w:bottom w:w="0" w:type="dxa"/>
            <w:right w:w="108" w:type="dxa"/>
          </w:tblCellMar>
        </w:tblPrEx>
        <w:trPr>
          <w:trHeight w:val="420"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5D384646">
            <w:pPr>
              <w:ind w:firstLine="0" w:firstLineChars="0"/>
              <w:jc w:val="center"/>
              <w:rPr>
                <w:rFonts w:ascii="楷体_GB2312" w:eastAsia="楷体_GB2312" w:cs="Times New Roman"/>
                <w:b/>
                <w:bCs/>
              </w:rPr>
            </w:pPr>
            <w:r>
              <w:rPr>
                <w:rFonts w:hint="eastAsia" w:ascii="楷体_GB2312" w:hAnsi="仿宋_GB2312" w:eastAsia="楷体_GB2312"/>
                <w:b/>
                <w:bCs/>
                <w:color w:val="000000" w:themeColor="text1"/>
                <w14:textFill>
                  <w14:solidFill>
                    <w14:schemeClr w14:val="tx1"/>
                  </w14:solidFill>
                </w14:textFill>
              </w:rPr>
              <w:t xml:space="preserve">专栏5  </w:t>
            </w:r>
            <w:r>
              <w:rPr>
                <w:rFonts w:hint="eastAsia" w:ascii="楷体_GB2312" w:hAnsi="楷体_GB2312" w:eastAsia="楷体_GB2312" w:cs="楷体_GB2312"/>
                <w:b/>
              </w:rPr>
              <w:t>特色农业数智化发展</w:t>
            </w:r>
            <w:r>
              <w:rPr>
                <w:rFonts w:hint="eastAsia" w:ascii="楷体_GB2312" w:hAnsi="仿宋_GB2312" w:eastAsia="楷体_GB2312"/>
                <w:b/>
                <w:bCs/>
                <w:color w:val="000000" w:themeColor="text1"/>
                <w14:textFill>
                  <w14:solidFill>
                    <w14:schemeClr w14:val="tx1"/>
                  </w14:solidFill>
                </w14:textFill>
              </w:rPr>
              <w:t>工程</w:t>
            </w:r>
          </w:p>
        </w:tc>
      </w:tr>
      <w:tr w14:paraId="23B77077">
        <w:tblPrEx>
          <w:tblCellMar>
            <w:top w:w="0" w:type="dxa"/>
            <w:left w:w="108" w:type="dxa"/>
            <w:bottom w:w="0" w:type="dxa"/>
            <w:right w:w="108" w:type="dxa"/>
          </w:tblCellMar>
        </w:tblPrEx>
        <w:trPr>
          <w:trHeight w:val="606"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3168833A">
            <w:pPr>
              <w:pStyle w:val="18"/>
              <w:spacing w:beforeAutospacing="0" w:afterAutospacing="0" w:line="240" w:lineRule="auto"/>
              <w:ind w:firstLine="562"/>
              <w:jc w:val="both"/>
              <w:rPr>
                <w:rFonts w:hint="eastAsia" w:ascii="楷体_GB2312" w:eastAsia="楷体_GB2312" w:cs="仿宋_GB2312"/>
                <w:b/>
                <w:bCs/>
                <w:color w:val="000000" w:themeColor="text1"/>
                <w:sz w:val="28"/>
                <w:szCs w:val="28"/>
                <w14:textFill>
                  <w14:solidFill>
                    <w14:schemeClr w14:val="tx1"/>
                  </w14:solidFill>
                </w14:textFill>
              </w:rPr>
            </w:pPr>
            <w:r>
              <w:rPr>
                <w:rFonts w:hint="eastAsia" w:ascii="楷体_GB2312" w:hAnsi="仿宋_GB2312" w:eastAsia="楷体_GB2312" w:cs="仿宋_GB2312"/>
                <w:b/>
                <w:bCs/>
                <w:color w:val="000000" w:themeColor="text1"/>
                <w:sz w:val="28"/>
                <w:szCs w:val="28"/>
                <w14:textFill>
                  <w14:solidFill>
                    <w14:schemeClr w14:val="tx1"/>
                  </w14:solidFill>
                </w14:textFill>
              </w:rPr>
              <w:t>数字农业创新应用基地项目</w:t>
            </w:r>
            <w:r>
              <w:rPr>
                <w:rFonts w:hint="eastAsia" w:ascii="楷体_GB2312" w:eastAsia="楷体_GB2312" w:cs="仿宋_GB2312"/>
                <w:b/>
                <w:bCs/>
                <w:color w:val="000000" w:themeColor="text1"/>
                <w:sz w:val="28"/>
                <w:szCs w:val="28"/>
                <w14:textFill>
                  <w14:solidFill>
                    <w14:schemeClr w14:val="tx1"/>
                  </w14:solidFill>
                </w14:textFill>
              </w:rPr>
              <w:t>。</w:t>
            </w:r>
          </w:p>
          <w:p w14:paraId="66BAAA49">
            <w:pPr>
              <w:pStyle w:val="18"/>
              <w:spacing w:beforeAutospacing="0" w:afterAutospacing="0" w:line="240" w:lineRule="auto"/>
              <w:ind w:firstLine="562"/>
              <w:jc w:val="both"/>
              <w:rPr>
                <w:rFonts w:hint="eastAsia" w:ascii="楷体_GB2312" w:eastAsia="楷体_GB2312" w:cs="仿宋_GB2312"/>
                <w:b/>
                <w:bCs/>
                <w:color w:val="000000" w:themeColor="text1"/>
                <w:sz w:val="28"/>
                <w:szCs w:val="28"/>
                <w14:textFill>
                  <w14:solidFill>
                    <w14:schemeClr w14:val="tx1"/>
                  </w14:solidFill>
                </w14:textFill>
              </w:rPr>
            </w:pPr>
            <w:r>
              <w:rPr>
                <w:rFonts w:hint="eastAsia" w:ascii="楷体_GB2312" w:eastAsia="楷体_GB2312" w:cs="仿宋_GB2312"/>
                <w:b/>
                <w:bCs/>
                <w:color w:val="000000" w:themeColor="text1"/>
                <w:sz w:val="28"/>
                <w:szCs w:val="28"/>
                <w14:textFill>
                  <w14:solidFill>
                    <w14:schemeClr w14:val="tx1"/>
                  </w14:solidFill>
                </w14:textFill>
              </w:rPr>
              <w:t>农畜产品溯源项目。</w:t>
            </w:r>
          </w:p>
          <w:p w14:paraId="55F49CA8">
            <w:pPr>
              <w:pStyle w:val="18"/>
              <w:spacing w:beforeAutospacing="0" w:afterAutospacing="0" w:line="240" w:lineRule="auto"/>
              <w:ind w:firstLine="562"/>
              <w:jc w:val="both"/>
              <w:rPr>
                <w:rFonts w:hint="eastAsia" w:ascii="楷体_GB2312" w:eastAsia="楷体_GB2312" w:cs="仿宋_GB2312"/>
                <w:b/>
                <w:bCs/>
                <w:color w:val="000000" w:themeColor="text1"/>
                <w:sz w:val="28"/>
                <w:szCs w:val="28"/>
                <w14:textFill>
                  <w14:solidFill>
                    <w14:schemeClr w14:val="tx1"/>
                  </w14:solidFill>
                </w14:textFill>
              </w:rPr>
            </w:pPr>
            <w:r>
              <w:rPr>
                <w:rFonts w:ascii="楷体_GB2312" w:eastAsia="楷体_GB2312" w:cs="仿宋_GB2312"/>
                <w:b/>
                <w:bCs/>
                <w:color w:val="000000" w:themeColor="text1"/>
                <w:sz w:val="28"/>
                <w:szCs w:val="28"/>
                <w14:textFill>
                  <w14:solidFill>
                    <w14:schemeClr w14:val="tx1"/>
                  </w14:solidFill>
                </w14:textFill>
              </w:rPr>
              <w:t>农业社会化服务数字平台升级</w:t>
            </w:r>
            <w:r>
              <w:rPr>
                <w:rFonts w:hint="eastAsia" w:ascii="楷体_GB2312" w:eastAsia="楷体_GB2312" w:cs="仿宋_GB2312"/>
                <w:b/>
                <w:bCs/>
                <w:color w:val="000000" w:themeColor="text1"/>
                <w:sz w:val="28"/>
                <w:szCs w:val="28"/>
                <w14:textFill>
                  <w14:solidFill>
                    <w14:schemeClr w14:val="tx1"/>
                  </w14:solidFill>
                </w14:textFill>
              </w:rPr>
              <w:t>项目。</w:t>
            </w:r>
          </w:p>
          <w:p w14:paraId="2474BB32">
            <w:pPr>
              <w:pStyle w:val="18"/>
              <w:spacing w:beforeAutospacing="0" w:afterAutospacing="0" w:line="240" w:lineRule="auto"/>
              <w:ind w:firstLine="562"/>
              <w:jc w:val="both"/>
              <w:rPr>
                <w:rFonts w:hint="eastAsia" w:ascii="楷体_GB2312" w:eastAsia="楷体_GB2312" w:cs="仿宋_GB2312"/>
                <w:b/>
                <w:bCs/>
                <w:color w:val="000000" w:themeColor="text1"/>
                <w:sz w:val="28"/>
                <w:szCs w:val="28"/>
                <w14:textFill>
                  <w14:solidFill>
                    <w14:schemeClr w14:val="tx1"/>
                  </w14:solidFill>
                </w14:textFill>
              </w:rPr>
            </w:pPr>
            <w:r>
              <w:rPr>
                <w:rFonts w:hint="eastAsia" w:ascii="楷体_GB2312" w:eastAsia="楷体_GB2312" w:cs="仿宋_GB2312"/>
                <w:b/>
                <w:bCs/>
                <w:color w:val="000000" w:themeColor="text1"/>
                <w:sz w:val="28"/>
                <w:szCs w:val="28"/>
                <w14:textFill>
                  <w14:solidFill>
                    <w14:schemeClr w14:val="tx1"/>
                  </w14:solidFill>
                </w14:textFill>
              </w:rPr>
              <w:t>现代化联栋温室设施农业基地项目。</w:t>
            </w:r>
          </w:p>
        </w:tc>
      </w:tr>
    </w:tbl>
    <w:p w14:paraId="4F623E53">
      <w:pPr>
        <w:pStyle w:val="3"/>
        <w:rPr>
          <w:rFonts w:hint="eastAsia"/>
        </w:rPr>
      </w:pPr>
      <w:bookmarkStart w:id="97" w:name="_Toc12762"/>
      <w:r>
        <w:rPr>
          <w:rFonts w:hint="eastAsia"/>
        </w:rPr>
        <w:t>加快工业智能制造全面升级</w:t>
      </w:r>
      <w:bookmarkEnd w:id="83"/>
      <w:bookmarkEnd w:id="84"/>
      <w:bookmarkEnd w:id="85"/>
      <w:bookmarkEnd w:id="97"/>
    </w:p>
    <w:p w14:paraId="06FDDFBB">
      <w:pPr>
        <w:ind w:firstLine="643"/>
      </w:pPr>
      <w:r>
        <w:rPr>
          <w:rFonts w:hint="eastAsia"/>
          <w:b/>
          <w:bCs/>
        </w:rPr>
        <w:t>梯度推进中小企业智改数转。</w:t>
      </w:r>
      <w:r>
        <w:rPr>
          <w:rFonts w:hint="eastAsia"/>
        </w:rPr>
        <w:t>开展重点企业数字化诊断评估，面向农产品加工、建材制造、绿矿加工等领域中小企业推广轻量化数字化改造方案，利用低成本、模块化转型工具。建立企业数字化转型台账，稳步扩大改造覆盖面。对标国家智能工厂梯度培育标准，分层推进新型建材、电子新材料、农副产品加工领域企业开展智能化升级，建设一批智能工厂与数字化车间，全面提升工业企业绿色化、智能化发展水平。</w:t>
      </w:r>
    </w:p>
    <w:p w14:paraId="547CB9C9">
      <w:pPr>
        <w:ind w:firstLine="643"/>
      </w:pPr>
      <w:r>
        <w:rPr>
          <w:rFonts w:hint="eastAsia"/>
          <w:b/>
          <w:bCs/>
        </w:rPr>
        <w:t>搭建工业互联网赋能体系。</w:t>
      </w:r>
      <w:r>
        <w:rPr>
          <w:rFonts w:hint="eastAsia"/>
        </w:rPr>
        <w:t>建设师市工业互联网公共服务平台，提供设备上云、产能共享、供需对接、安全监管等一体化服务，开展“5G+工业互联网”典型应用试点，推动双河经开区园区智慧化运营与安全生产一体化管控。依托本地绿色算力基础设施，在重点产业园区及骨干企业部署边缘计算节点，满足工业数据实时处理与低时延应用需求。</w:t>
      </w:r>
    </w:p>
    <w:tbl>
      <w:tblPr>
        <w:tblStyle w:val="19"/>
        <w:tblW w:w="5000" w:type="pct"/>
        <w:tblInd w:w="0" w:type="dxa"/>
        <w:tblLayout w:type="autofit"/>
        <w:tblCellMar>
          <w:top w:w="0" w:type="dxa"/>
          <w:left w:w="108" w:type="dxa"/>
          <w:bottom w:w="0" w:type="dxa"/>
          <w:right w:w="108" w:type="dxa"/>
        </w:tblCellMar>
      </w:tblPr>
      <w:tblGrid>
        <w:gridCol w:w="8516"/>
      </w:tblGrid>
      <w:tr w14:paraId="4E948624">
        <w:trPr>
          <w:trHeight w:val="420"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4FF03E58">
            <w:pPr>
              <w:ind w:firstLine="0" w:firstLineChars="0"/>
              <w:jc w:val="center"/>
              <w:rPr>
                <w:rFonts w:ascii="楷体_GB2312" w:eastAsia="楷体_GB2312" w:cs="Times New Roman"/>
                <w:b/>
                <w:bCs/>
              </w:rPr>
            </w:pPr>
            <w:r>
              <w:rPr>
                <w:rFonts w:hint="eastAsia" w:ascii="楷体_GB2312" w:hAnsi="仿宋_GB2312" w:eastAsia="楷体_GB2312"/>
                <w:b/>
                <w:bCs/>
                <w:color w:val="000000" w:themeColor="text1"/>
                <w14:textFill>
                  <w14:solidFill>
                    <w14:schemeClr w14:val="tx1"/>
                  </w14:solidFill>
                </w14:textFill>
              </w:rPr>
              <w:t xml:space="preserve">专栏6  </w:t>
            </w:r>
            <w:r>
              <w:rPr>
                <w:rFonts w:hint="eastAsia" w:ascii="楷体_GB2312" w:hAnsi="楷体_GB2312" w:eastAsia="楷体_GB2312" w:cs="楷体_GB2312"/>
                <w:b/>
              </w:rPr>
              <w:t>工业制造智改数转网联</w:t>
            </w:r>
            <w:r>
              <w:rPr>
                <w:rFonts w:hint="eastAsia" w:ascii="楷体_GB2312" w:hAnsi="仿宋_GB2312" w:eastAsia="楷体_GB2312"/>
                <w:b/>
                <w:bCs/>
                <w:color w:val="000000" w:themeColor="text1"/>
                <w14:textFill>
                  <w14:solidFill>
                    <w14:schemeClr w14:val="tx1"/>
                  </w14:solidFill>
                </w14:textFill>
              </w:rPr>
              <w:t>工程</w:t>
            </w:r>
          </w:p>
        </w:tc>
      </w:tr>
      <w:tr w14:paraId="0196587E">
        <w:tblPrEx>
          <w:tblCellMar>
            <w:top w:w="0" w:type="dxa"/>
            <w:left w:w="108" w:type="dxa"/>
            <w:bottom w:w="0" w:type="dxa"/>
            <w:right w:w="108" w:type="dxa"/>
          </w:tblCellMar>
        </w:tblPrEx>
        <w:trPr>
          <w:trHeight w:val="606"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32EAFA8E">
            <w:pPr>
              <w:pStyle w:val="18"/>
              <w:spacing w:beforeAutospacing="0" w:afterAutospacing="0" w:line="240" w:lineRule="auto"/>
              <w:ind w:firstLine="562"/>
              <w:jc w:val="both"/>
              <w:rPr>
                <w:rFonts w:cs="仿宋_GB2312"/>
                <w:b/>
                <w:bCs/>
                <w:color w:val="000000" w:themeColor="text1"/>
                <w:sz w:val="30"/>
                <w:szCs w:val="30"/>
                <w14:textFill>
                  <w14:solidFill>
                    <w14:schemeClr w14:val="tx1"/>
                  </w14:solidFill>
                </w14:textFill>
              </w:rPr>
            </w:pPr>
            <w:r>
              <w:rPr>
                <w:rFonts w:hint="eastAsia" w:ascii="楷体_GB2312" w:hAnsi="仿宋_GB2312" w:eastAsia="楷体_GB2312" w:cs="仿宋_GB2312"/>
                <w:b/>
                <w:bCs/>
                <w:color w:val="000000" w:themeColor="text1"/>
                <w:sz w:val="28"/>
                <w:szCs w:val="28"/>
                <w14:textFill>
                  <w14:solidFill>
                    <w14:schemeClr w14:val="tx1"/>
                  </w14:solidFill>
                </w14:textFill>
              </w:rPr>
              <w:t>工业互联网公共服务平台项目</w:t>
            </w:r>
            <w:r>
              <w:rPr>
                <w:rFonts w:hint="eastAsia" w:ascii="楷体_GB2312" w:eastAsia="楷体_GB2312" w:cs="仿宋_GB2312"/>
                <w:b/>
                <w:bCs/>
                <w:color w:val="000000" w:themeColor="text1"/>
                <w:sz w:val="28"/>
                <w:szCs w:val="28"/>
                <w14:textFill>
                  <w14:solidFill>
                    <w14:schemeClr w14:val="tx1"/>
                  </w14:solidFill>
                </w14:textFill>
              </w:rPr>
              <w:t>。</w:t>
            </w:r>
          </w:p>
          <w:p w14:paraId="7B9AED81">
            <w:pPr>
              <w:pStyle w:val="18"/>
              <w:spacing w:beforeAutospacing="0" w:afterAutospacing="0" w:line="240" w:lineRule="auto"/>
              <w:ind w:firstLine="562"/>
              <w:jc w:val="both"/>
              <w:rPr>
                <w:rFonts w:hint="eastAsia" w:hAnsi="仿宋_GB2312" w:cs="仿宋_GB2312"/>
                <w:color w:val="000000" w:themeColor="text1"/>
                <w:sz w:val="30"/>
                <w:szCs w:val="30"/>
                <w14:textFill>
                  <w14:solidFill>
                    <w14:schemeClr w14:val="tx1"/>
                  </w14:solidFill>
                </w14:textFill>
              </w:rPr>
            </w:pPr>
            <w:r>
              <w:rPr>
                <w:rFonts w:ascii="楷体_GB2312" w:hAnsi="仿宋_GB2312" w:eastAsia="楷体_GB2312" w:cs="仿宋_GB2312"/>
                <w:b/>
                <w:bCs/>
                <w:color w:val="000000" w:themeColor="text1"/>
                <w:sz w:val="28"/>
                <w:szCs w:val="28"/>
                <w14:textFill>
                  <w14:solidFill>
                    <w14:schemeClr w14:val="tx1"/>
                  </w14:solidFill>
                </w14:textFill>
              </w:rPr>
              <w:t>中小企业</w:t>
            </w:r>
            <w:r>
              <w:rPr>
                <w:rFonts w:hint="eastAsia" w:ascii="楷体_GB2312" w:hAnsi="仿宋_GB2312" w:eastAsia="楷体_GB2312" w:cs="仿宋_GB2312"/>
                <w:b/>
                <w:bCs/>
                <w:color w:val="000000" w:themeColor="text1"/>
                <w:sz w:val="28"/>
                <w:szCs w:val="28"/>
                <w14:textFill>
                  <w14:solidFill>
                    <w14:schemeClr w14:val="tx1"/>
                  </w14:solidFill>
                </w14:textFill>
              </w:rPr>
              <w:t>智改数转项目。</w:t>
            </w:r>
          </w:p>
        </w:tc>
      </w:tr>
      <w:bookmarkEnd w:id="86"/>
      <w:bookmarkEnd w:id="87"/>
      <w:bookmarkEnd w:id="88"/>
      <w:bookmarkEnd w:id="89"/>
      <w:bookmarkEnd w:id="90"/>
      <w:bookmarkEnd w:id="91"/>
    </w:tbl>
    <w:p w14:paraId="7FCD792A">
      <w:pPr>
        <w:pStyle w:val="3"/>
        <w:rPr>
          <w:rFonts w:hint="eastAsia"/>
        </w:rPr>
      </w:pPr>
      <w:bookmarkStart w:id="98" w:name="_Toc8482"/>
      <w:bookmarkStart w:id="99" w:name="_Toc9911"/>
      <w:bookmarkStart w:id="100" w:name="_Toc11707"/>
      <w:bookmarkStart w:id="101" w:name="_Toc24593"/>
      <w:bookmarkStart w:id="102" w:name="_Toc24449"/>
      <w:bookmarkStart w:id="103" w:name="_Toc20524"/>
      <w:bookmarkStart w:id="104" w:name="_Toc8171"/>
      <w:r>
        <w:rPr>
          <w:rFonts w:hint="eastAsia"/>
        </w:rPr>
        <w:t>提升现代服务业数智化水平</w:t>
      </w:r>
      <w:bookmarkEnd w:id="98"/>
      <w:bookmarkEnd w:id="99"/>
      <w:bookmarkEnd w:id="100"/>
      <w:bookmarkEnd w:id="101"/>
      <w:bookmarkEnd w:id="102"/>
      <w:bookmarkEnd w:id="103"/>
      <w:bookmarkEnd w:id="104"/>
    </w:p>
    <w:p w14:paraId="08AE4496">
      <w:pPr>
        <w:ind w:firstLine="643"/>
      </w:pPr>
      <w:r>
        <w:rPr>
          <w:rFonts w:hint="eastAsia"/>
          <w:b/>
          <w:bCs/>
        </w:rPr>
        <w:t>大力发展电子商务及跨境电商。</w:t>
      </w:r>
      <w:r>
        <w:rPr>
          <w:rFonts w:hint="eastAsia"/>
        </w:rPr>
        <w:t>依托“双河优选”平台，引导各类涉农经营主体拓展线上业务、开展原产地直播直销。建设师市直播电商基地和选品中心，升级智慧仓储，推广“产地仓+即时配送”“农地云拼”模式，发展直播带货、社群营销。加快跨境电商产业园和跨境电商综合服务平台建设。完善跨境仓储、报关系统，培育“跨境电商+产业带”模式与跨境线上分销业态。大力发展远程医疗、远程教育、云会展等“云贸易”服务。积极探索和发展易货贸易，接入易货贸易平台。</w:t>
      </w:r>
    </w:p>
    <w:p w14:paraId="2089E4F8">
      <w:pPr>
        <w:ind w:firstLine="643"/>
      </w:pPr>
      <w:r>
        <w:rPr>
          <w:rFonts w:hint="eastAsia"/>
          <w:b/>
          <w:bCs/>
        </w:rPr>
        <w:t>构建智慧冷链与数字物流体系。</w:t>
      </w:r>
      <w:r>
        <w:rPr>
          <w:rFonts w:hint="eastAsia"/>
        </w:rPr>
        <w:t>依托师市现代物流产业重点功能区，运用数字孪生、AI智能识别技术升级集装箱装卸、地磅称重、场站安防系统，打造公铁联运智慧枢纽。推进国投铁路货运场站数字化改造。联动各团冷链仓储建设，搭建产地仓—干线冷链—终端配送数据互通链路，压缩生鲜储运损耗。完善师团连三级电商物流配送体系，加快智慧物流建设，布局智能物流装备与设施，提升产地特优农产品流通效率与冷链数字化水平。</w:t>
      </w:r>
    </w:p>
    <w:p w14:paraId="6521B397">
      <w:pPr>
        <w:ind w:firstLine="643"/>
      </w:pPr>
      <w:r>
        <w:rPr>
          <w:rFonts w:hint="eastAsia"/>
          <w:b/>
          <w:bCs/>
        </w:rPr>
        <w:t>打造沉浸式数字文旅场景。</w:t>
      </w:r>
      <w:r>
        <w:rPr>
          <w:rFonts w:hint="eastAsia"/>
        </w:rPr>
        <w:t>依托师市“1+2+N”文旅服务体系，加快怪石峪5A级智慧景区建设，围绕古道温泉、双河都督府文化街区、夏尔西里、艾比湖、“红星耀双河”陈列馆等，完善智能票务、客流热力监测、云端虚拟游览功能。依托军垦旧址、地窝子遗址、边境哨所等红色题材作品，通过“短视频+直播”推进云旅游、云演艺发展。开发“VR梦回双河”“都督府治理模拟”数字产品，形成线上引流、线下消费的文旅新业态，推动“农业+文旅+互联网”深度融合。建设“数字双河文化资源库”。</w:t>
      </w:r>
    </w:p>
    <w:tbl>
      <w:tblPr>
        <w:tblStyle w:val="19"/>
        <w:tblW w:w="5000" w:type="pct"/>
        <w:tblInd w:w="0" w:type="dxa"/>
        <w:tblLayout w:type="autofit"/>
        <w:tblCellMar>
          <w:top w:w="0" w:type="dxa"/>
          <w:left w:w="108" w:type="dxa"/>
          <w:bottom w:w="0" w:type="dxa"/>
          <w:right w:w="108" w:type="dxa"/>
        </w:tblCellMar>
      </w:tblPr>
      <w:tblGrid>
        <w:gridCol w:w="8516"/>
      </w:tblGrid>
      <w:tr w14:paraId="14BCED8F">
        <w:tblPrEx>
          <w:tblCellMar>
            <w:top w:w="0" w:type="dxa"/>
            <w:left w:w="108" w:type="dxa"/>
            <w:bottom w:w="0" w:type="dxa"/>
            <w:right w:w="108" w:type="dxa"/>
          </w:tblCellMar>
        </w:tblPrEx>
        <w:trPr>
          <w:trHeight w:val="420"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58F39C38">
            <w:pPr>
              <w:ind w:firstLine="0" w:firstLineChars="0"/>
              <w:jc w:val="center"/>
              <w:rPr>
                <w:rFonts w:ascii="楷体_GB2312" w:eastAsia="楷体_GB2312" w:cs="Times New Roman"/>
                <w:b/>
                <w:bCs/>
              </w:rPr>
            </w:pPr>
            <w:r>
              <w:rPr>
                <w:rFonts w:hint="eastAsia" w:ascii="楷体_GB2312" w:hAnsi="仿宋_GB2312" w:eastAsia="楷体_GB2312"/>
                <w:b/>
                <w:bCs/>
                <w:color w:val="000000" w:themeColor="text1"/>
                <w14:textFill>
                  <w14:solidFill>
                    <w14:schemeClr w14:val="tx1"/>
                  </w14:solidFill>
                </w14:textFill>
              </w:rPr>
              <w:t xml:space="preserve">专栏7  </w:t>
            </w:r>
            <w:r>
              <w:rPr>
                <w:rFonts w:hint="eastAsia" w:ascii="楷体_GB2312" w:hAnsi="楷体_GB2312" w:eastAsia="楷体_GB2312" w:cs="楷体_GB2312"/>
                <w:b/>
              </w:rPr>
              <w:t>服务业数智化水平提升</w:t>
            </w:r>
            <w:r>
              <w:rPr>
                <w:rFonts w:hint="eastAsia" w:ascii="楷体_GB2312" w:hAnsi="仿宋_GB2312" w:eastAsia="楷体_GB2312"/>
                <w:b/>
                <w:bCs/>
                <w:color w:val="000000" w:themeColor="text1"/>
                <w14:textFill>
                  <w14:solidFill>
                    <w14:schemeClr w14:val="tx1"/>
                  </w14:solidFill>
                </w14:textFill>
              </w:rPr>
              <w:t>工程</w:t>
            </w:r>
          </w:p>
        </w:tc>
      </w:tr>
      <w:tr w14:paraId="2127094F">
        <w:tblPrEx>
          <w:tblCellMar>
            <w:top w:w="0" w:type="dxa"/>
            <w:left w:w="108" w:type="dxa"/>
            <w:bottom w:w="0" w:type="dxa"/>
            <w:right w:w="108" w:type="dxa"/>
          </w:tblCellMar>
        </w:tblPrEx>
        <w:trPr>
          <w:trHeight w:val="606"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09067E05">
            <w:pPr>
              <w:pStyle w:val="18"/>
              <w:spacing w:beforeAutospacing="0" w:afterAutospacing="0" w:line="240" w:lineRule="auto"/>
              <w:ind w:firstLine="562"/>
              <w:jc w:val="both"/>
              <w:rPr>
                <w:rFonts w:hint="eastAsia" w:ascii="楷体_GB2312" w:eastAsia="楷体_GB2312" w:cs="仿宋_GB2312"/>
                <w:b/>
                <w:bCs/>
                <w:color w:val="000000" w:themeColor="text1"/>
                <w:sz w:val="28"/>
                <w:szCs w:val="28"/>
                <w14:textFill>
                  <w14:solidFill>
                    <w14:schemeClr w14:val="tx1"/>
                  </w14:solidFill>
                </w14:textFill>
              </w:rPr>
            </w:pPr>
            <w:r>
              <w:rPr>
                <w:rFonts w:hint="eastAsia" w:ascii="楷体_GB2312" w:hAnsi="仿宋_GB2312" w:eastAsia="楷体_GB2312" w:cs="仿宋_GB2312"/>
                <w:b/>
                <w:bCs/>
                <w:color w:val="000000" w:themeColor="text1"/>
                <w:sz w:val="28"/>
                <w:szCs w:val="28"/>
                <w14:textFill>
                  <w14:solidFill>
                    <w14:schemeClr w14:val="tx1"/>
                  </w14:solidFill>
                </w14:textFill>
              </w:rPr>
              <w:t>跨境电商公共服务平台项目</w:t>
            </w:r>
            <w:r>
              <w:rPr>
                <w:rFonts w:hint="eastAsia" w:ascii="楷体_GB2312" w:eastAsia="楷体_GB2312" w:cs="仿宋_GB2312"/>
                <w:b/>
                <w:bCs/>
                <w:color w:val="000000" w:themeColor="text1"/>
                <w:sz w:val="28"/>
                <w:szCs w:val="28"/>
                <w14:textFill>
                  <w14:solidFill>
                    <w14:schemeClr w14:val="tx1"/>
                  </w14:solidFill>
                </w14:textFill>
              </w:rPr>
              <w:t>。</w:t>
            </w:r>
          </w:p>
          <w:p w14:paraId="1D7EBBDC">
            <w:pPr>
              <w:pStyle w:val="18"/>
              <w:spacing w:beforeAutospacing="0" w:afterAutospacing="0" w:line="240" w:lineRule="auto"/>
              <w:ind w:firstLine="562"/>
              <w:jc w:val="both"/>
              <w:rPr>
                <w:rFonts w:cs="仿宋_GB2312"/>
                <w:color w:val="000000" w:themeColor="text1"/>
                <w:sz w:val="28"/>
                <w:szCs w:val="28"/>
                <w14:textFill>
                  <w14:solidFill>
                    <w14:schemeClr w14:val="tx1"/>
                  </w14:solidFill>
                </w14:textFill>
              </w:rPr>
            </w:pPr>
            <w:r>
              <w:rPr>
                <w:rFonts w:ascii="楷体_GB2312" w:hAnsi="仿宋_GB2312" w:eastAsia="楷体_GB2312" w:cs="仿宋_GB2312"/>
                <w:b/>
                <w:bCs/>
                <w:color w:val="000000" w:themeColor="text1"/>
                <w:sz w:val="28"/>
                <w:szCs w:val="28"/>
                <w14:textFill>
                  <w14:solidFill>
                    <w14:schemeClr w14:val="tx1"/>
                  </w14:solidFill>
                </w14:textFill>
              </w:rPr>
              <w:t>铁路货运场站智慧物流枢纽</w:t>
            </w:r>
            <w:r>
              <w:rPr>
                <w:rFonts w:hint="eastAsia" w:ascii="楷体_GB2312" w:hAnsi="仿宋_GB2312" w:eastAsia="楷体_GB2312" w:cs="仿宋_GB2312"/>
                <w:b/>
                <w:bCs/>
                <w:color w:val="000000" w:themeColor="text1"/>
                <w:sz w:val="28"/>
                <w:szCs w:val="28"/>
                <w14:textFill>
                  <w14:solidFill>
                    <w14:schemeClr w14:val="tx1"/>
                  </w14:solidFill>
                </w14:textFill>
              </w:rPr>
              <w:t>项目。</w:t>
            </w:r>
          </w:p>
          <w:p w14:paraId="21F99FA5">
            <w:pPr>
              <w:pStyle w:val="18"/>
              <w:spacing w:beforeAutospacing="0" w:afterAutospacing="0" w:line="240" w:lineRule="auto"/>
              <w:ind w:firstLine="562"/>
              <w:jc w:val="both"/>
              <w:rPr>
                <w:rFonts w:cs="仿宋_GB2312"/>
                <w:color w:val="000000" w:themeColor="text1"/>
                <w:sz w:val="28"/>
                <w:szCs w:val="28"/>
                <w14:textFill>
                  <w14:solidFill>
                    <w14:schemeClr w14:val="tx1"/>
                  </w14:solidFill>
                </w14:textFill>
              </w:rPr>
            </w:pPr>
            <w:r>
              <w:rPr>
                <w:rFonts w:ascii="楷体_GB2312" w:hAnsi="仿宋_GB2312" w:eastAsia="楷体_GB2312" w:cs="仿宋_GB2312"/>
                <w:b/>
                <w:bCs/>
                <w:color w:val="000000" w:themeColor="text1"/>
                <w:sz w:val="28"/>
                <w:szCs w:val="28"/>
                <w14:textFill>
                  <w14:solidFill>
                    <w14:schemeClr w14:val="tx1"/>
                  </w14:solidFill>
                </w14:textFill>
              </w:rPr>
              <w:t>数字文旅及怪石峪</w:t>
            </w:r>
            <w:r>
              <w:rPr>
                <w:rFonts w:hint="eastAsia" w:ascii="楷体_GB2312" w:hAnsi="仿宋_GB2312" w:eastAsia="楷体_GB2312" w:cs="仿宋_GB2312"/>
                <w:b/>
                <w:bCs/>
                <w:color w:val="000000" w:themeColor="text1"/>
                <w:sz w:val="28"/>
                <w:szCs w:val="28"/>
                <w14:textFill>
                  <w14:solidFill>
                    <w14:schemeClr w14:val="tx1"/>
                  </w14:solidFill>
                </w14:textFill>
              </w:rPr>
              <w:t>5A智慧</w:t>
            </w:r>
            <w:r>
              <w:rPr>
                <w:rFonts w:ascii="楷体_GB2312" w:hAnsi="仿宋_GB2312" w:eastAsia="楷体_GB2312" w:cs="仿宋_GB2312"/>
                <w:b/>
                <w:bCs/>
                <w:color w:val="000000" w:themeColor="text1"/>
                <w:sz w:val="28"/>
                <w:szCs w:val="28"/>
                <w14:textFill>
                  <w14:solidFill>
                    <w14:schemeClr w14:val="tx1"/>
                  </w14:solidFill>
                </w14:textFill>
              </w:rPr>
              <w:t>景区</w:t>
            </w:r>
            <w:r>
              <w:rPr>
                <w:rFonts w:hint="eastAsia" w:ascii="楷体_GB2312" w:hAnsi="仿宋_GB2312" w:eastAsia="楷体_GB2312" w:cs="仿宋_GB2312"/>
                <w:b/>
                <w:bCs/>
                <w:color w:val="000000" w:themeColor="text1"/>
                <w:sz w:val="28"/>
                <w:szCs w:val="28"/>
                <w14:textFill>
                  <w14:solidFill>
                    <w14:schemeClr w14:val="tx1"/>
                  </w14:solidFill>
                </w14:textFill>
              </w:rPr>
              <w:t>项目。</w:t>
            </w:r>
          </w:p>
          <w:p w14:paraId="006E43AE">
            <w:pPr>
              <w:pStyle w:val="18"/>
              <w:spacing w:beforeAutospacing="0" w:afterAutospacing="0" w:line="240" w:lineRule="auto"/>
              <w:ind w:firstLine="562"/>
              <w:jc w:val="both"/>
              <w:rPr>
                <w:rFonts w:cs="仿宋_GB2312"/>
                <w:color w:val="000000" w:themeColor="text1"/>
                <w:sz w:val="30"/>
                <w:szCs w:val="30"/>
                <w14:textFill>
                  <w14:solidFill>
                    <w14:schemeClr w14:val="tx1"/>
                  </w14:solidFill>
                </w14:textFill>
              </w:rPr>
            </w:pPr>
            <w:r>
              <w:rPr>
                <w:rFonts w:hint="eastAsia" w:ascii="楷体_GB2312" w:hAnsi="仿宋_GB2312" w:eastAsia="楷体_GB2312" w:cs="仿宋_GB2312"/>
                <w:b/>
                <w:bCs/>
                <w:color w:val="000000" w:themeColor="text1"/>
                <w:sz w:val="28"/>
                <w:szCs w:val="28"/>
                <w14:textFill>
                  <w14:solidFill>
                    <w14:schemeClr w14:val="tx1"/>
                  </w14:solidFill>
                </w14:textFill>
              </w:rPr>
              <w:t>冷链仓储物流园项目。</w:t>
            </w:r>
          </w:p>
        </w:tc>
      </w:tr>
    </w:tbl>
    <w:p w14:paraId="719CDDC9">
      <w:pPr>
        <w:ind w:firstLine="640"/>
        <w:rPr>
          <w:rFonts w:eastAsia="黑体"/>
        </w:rPr>
      </w:pPr>
    </w:p>
    <w:bookmarkEnd w:id="1"/>
    <w:bookmarkEnd w:id="2"/>
    <w:bookmarkEnd w:id="3"/>
    <w:bookmarkEnd w:id="4"/>
    <w:bookmarkEnd w:id="5"/>
    <w:bookmarkEnd w:id="70"/>
    <w:bookmarkEnd w:id="71"/>
    <w:bookmarkEnd w:id="72"/>
    <w:bookmarkEnd w:id="92"/>
    <w:bookmarkEnd w:id="93"/>
    <w:bookmarkEnd w:id="94"/>
    <w:bookmarkEnd w:id="95"/>
    <w:bookmarkEnd w:id="96"/>
    <w:p w14:paraId="29F5554E">
      <w:pPr>
        <w:pStyle w:val="2"/>
        <w:ind w:firstLine="0"/>
        <w:rPr>
          <w:rFonts w:hint="eastAsia"/>
        </w:rPr>
      </w:pPr>
      <w:bookmarkStart w:id="105" w:name="_Toc6214"/>
      <w:bookmarkStart w:id="106" w:name="_Toc28894"/>
      <w:bookmarkStart w:id="107" w:name="_Toc2922"/>
      <w:bookmarkStart w:id="108" w:name="_Toc3741"/>
      <w:bookmarkStart w:id="109" w:name="_Toc11706"/>
      <w:bookmarkStart w:id="110" w:name="_Toc25589"/>
      <w:bookmarkStart w:id="111" w:name="_Toc3517"/>
      <w:bookmarkStart w:id="112" w:name="_Toc31477"/>
      <w:bookmarkStart w:id="113" w:name="_Toc18157"/>
      <w:r>
        <w:rPr>
          <w:rFonts w:hint="eastAsia"/>
        </w:rPr>
        <w:t>优化数字治理环境，夯实产业发展根基</w:t>
      </w:r>
      <w:bookmarkEnd w:id="105"/>
    </w:p>
    <w:p w14:paraId="43D65525">
      <w:pPr>
        <w:pStyle w:val="3"/>
        <w:rPr>
          <w:rFonts w:hint="eastAsia"/>
        </w:rPr>
      </w:pPr>
      <w:bookmarkStart w:id="114" w:name="_Toc26630"/>
      <w:r>
        <w:rPr>
          <w:rFonts w:hint="eastAsia"/>
        </w:rPr>
        <w:t>完善统筹集约的数字基础设施体系</w:t>
      </w:r>
      <w:bookmarkEnd w:id="114"/>
    </w:p>
    <w:p w14:paraId="108D550B">
      <w:pPr>
        <w:ind w:firstLine="643"/>
      </w:pPr>
      <w:r>
        <w:rPr>
          <w:rFonts w:hint="eastAsia"/>
          <w:b/>
          <w:bCs/>
        </w:rPr>
        <w:t>提升优化网络基础设施。</w:t>
      </w:r>
      <w:r>
        <w:rPr>
          <w:rFonts w:hint="eastAsia"/>
        </w:rPr>
        <w:t>加快推进5G网络向团场、连队及偏远区域延伸，扎实推动“宽带边疆”建设。有序推进5G-A、6G网络建设和应用试点，持续扩大5G虚拟专网在农场、工业、医疗、教育、贸易等行业领域的规模化应用。扩容升级师市政务“一张网”，推动各部门非涉密业务网向电子政务外网迁移整合，完善多业务承载能力。持续</w:t>
      </w:r>
      <w:r>
        <w:t>推进IPv6规模部署，加快推进网络、应用、终端等基础设施IPv6升级改造。</w:t>
      </w:r>
    </w:p>
    <w:p w14:paraId="1904505B">
      <w:pPr>
        <w:ind w:firstLine="643"/>
      </w:pPr>
      <w:r>
        <w:rPr>
          <w:rFonts w:hint="eastAsia"/>
          <w:b/>
          <w:bCs/>
        </w:rPr>
        <w:t>集约建设存算基础设施。</w:t>
      </w:r>
      <w:r>
        <w:rPr>
          <w:rFonts w:hint="eastAsia"/>
        </w:rPr>
        <w:t>建设师市大数据中心，打造统一的数字基础设施核心枢纽。统筹开展师市现有分散信息化机房的整合搬迁工作，推动算力、存储、运维、安全等基础设施资源集约高效配置，高标准构建机房基础设施承载体系，部署信创云资源池，建成集基础设施承载、云资源服务、安全保障于一体的综合性基础服务平台，满足师市政务服务、产业发展、民生保障等各领域数字化转型服务需求，构筑师市数字经济高质量发展基座。</w:t>
      </w:r>
    </w:p>
    <w:p w14:paraId="558B5FDD">
      <w:pPr>
        <w:ind w:firstLine="643"/>
      </w:pPr>
      <w:r>
        <w:rPr>
          <w:rFonts w:hint="eastAsia"/>
          <w:b/>
          <w:bCs/>
        </w:rPr>
        <w:t>完善城市物联感知基础设施。</w:t>
      </w:r>
      <w:r>
        <w:rPr>
          <w:rFonts w:hint="eastAsia"/>
        </w:rPr>
        <w:t>建设城市信息模型（CIM）基础平台，整合城市时空基础数据、规划管控数据与工程建设项目数据，打造师市城市“一张图”。完善构建物联感知网络体系，加快部署城镇地下管网、市政设施、城镇生态环境等城市基础设施物联网感知终端，建设城镇地下市政基础设施综合管理信息平台，实现多源感知数据汇聚共享。</w:t>
      </w:r>
    </w:p>
    <w:p w14:paraId="5EE992F3">
      <w:pPr>
        <w:ind w:firstLine="643"/>
      </w:pPr>
      <w:r>
        <w:rPr>
          <w:rFonts w:hint="eastAsia"/>
          <w:b/>
          <w:bCs/>
        </w:rPr>
        <w:t>强化网络与数据安全防护。</w:t>
      </w:r>
      <w:r>
        <w:rPr>
          <w:rFonts w:hint="eastAsia"/>
        </w:rPr>
        <w:t>构建师市网络安全防御体系，搭建政务外网安全大脑平台，提升师团政务外网整体防护水平。强化关键信息基础设施安全防护。</w:t>
      </w:r>
      <w:r>
        <w:t>稳步推进政务系统信创改造</w:t>
      </w:r>
      <w:r>
        <w:rPr>
          <w:rFonts w:hint="eastAsia"/>
        </w:rPr>
        <w:t>。执行兵团</w:t>
      </w:r>
      <w:r>
        <w:t>分级分类数据</w:t>
      </w:r>
      <w:r>
        <w:rPr>
          <w:rFonts w:hint="eastAsia"/>
        </w:rPr>
        <w:t>保护制度，构建数据要素全领域、全过程安全监管机制，强化“人物技”一体防范。开展政务信息、工业控制、基础平台及低空经济等重点领域网络数据安全检查与风险评估，全方位保障师市数字经济安全。</w:t>
      </w:r>
    </w:p>
    <w:tbl>
      <w:tblPr>
        <w:tblStyle w:val="19"/>
        <w:tblW w:w="5000" w:type="pct"/>
        <w:tblInd w:w="0" w:type="dxa"/>
        <w:tblLayout w:type="autofit"/>
        <w:tblCellMar>
          <w:top w:w="0" w:type="dxa"/>
          <w:left w:w="108" w:type="dxa"/>
          <w:bottom w:w="0" w:type="dxa"/>
          <w:right w:w="108" w:type="dxa"/>
        </w:tblCellMar>
      </w:tblPr>
      <w:tblGrid>
        <w:gridCol w:w="8516"/>
      </w:tblGrid>
      <w:tr w14:paraId="3364623B">
        <w:tblPrEx>
          <w:tblCellMar>
            <w:top w:w="0" w:type="dxa"/>
            <w:left w:w="108" w:type="dxa"/>
            <w:bottom w:w="0" w:type="dxa"/>
            <w:right w:w="108" w:type="dxa"/>
          </w:tblCellMar>
        </w:tblPrEx>
        <w:trPr>
          <w:trHeight w:val="420"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41B7632C">
            <w:pPr>
              <w:ind w:firstLine="0" w:firstLineChars="0"/>
              <w:jc w:val="center"/>
              <w:rPr>
                <w:rFonts w:ascii="楷体_GB2312" w:eastAsia="楷体_GB2312" w:cs="Times New Roman"/>
                <w:b/>
                <w:bCs/>
              </w:rPr>
            </w:pPr>
            <w:r>
              <w:rPr>
                <w:rFonts w:hint="eastAsia" w:ascii="楷体_GB2312" w:hAnsi="仿宋_GB2312" w:eastAsia="楷体_GB2312"/>
                <w:b/>
                <w:bCs/>
                <w:color w:val="000000" w:themeColor="text1"/>
                <w14:textFill>
                  <w14:solidFill>
                    <w14:schemeClr w14:val="tx1"/>
                  </w14:solidFill>
                </w14:textFill>
              </w:rPr>
              <w:t>专栏8  数字</w:t>
            </w:r>
            <w:r>
              <w:rPr>
                <w:rFonts w:hint="eastAsia" w:ascii="楷体_GB2312" w:hAnsi="楷体_GB2312" w:eastAsia="楷体_GB2312" w:cs="楷体_GB2312"/>
                <w:b/>
              </w:rPr>
              <w:t>基础设施底座升级</w:t>
            </w:r>
            <w:r>
              <w:rPr>
                <w:rFonts w:hint="eastAsia" w:ascii="楷体_GB2312" w:hAnsi="仿宋_GB2312" w:eastAsia="楷体_GB2312"/>
                <w:b/>
                <w:bCs/>
                <w:color w:val="000000" w:themeColor="text1"/>
                <w14:textFill>
                  <w14:solidFill>
                    <w14:schemeClr w14:val="tx1"/>
                  </w14:solidFill>
                </w14:textFill>
              </w:rPr>
              <w:t>工程</w:t>
            </w:r>
          </w:p>
        </w:tc>
      </w:tr>
      <w:tr w14:paraId="62E8EA02">
        <w:tblPrEx>
          <w:tblCellMar>
            <w:top w:w="0" w:type="dxa"/>
            <w:left w:w="108" w:type="dxa"/>
            <w:bottom w:w="0" w:type="dxa"/>
            <w:right w:w="108" w:type="dxa"/>
          </w:tblCellMar>
        </w:tblPrEx>
        <w:trPr>
          <w:trHeight w:val="606"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085A5CC0">
            <w:pPr>
              <w:pStyle w:val="18"/>
              <w:spacing w:beforeAutospacing="0" w:afterAutospacing="0" w:line="240" w:lineRule="auto"/>
              <w:ind w:firstLine="562"/>
              <w:jc w:val="both"/>
              <w:rPr>
                <w:rFonts w:hint="eastAsia" w:ascii="楷体_GB2312" w:hAnsi="仿宋_GB2312" w:eastAsia="楷体_GB2312" w:cs="仿宋_GB2312"/>
                <w:b/>
                <w:bCs/>
                <w:color w:val="000000" w:themeColor="text1"/>
                <w:sz w:val="28"/>
                <w:szCs w:val="28"/>
                <w14:textFill>
                  <w14:solidFill>
                    <w14:schemeClr w14:val="tx1"/>
                  </w14:solidFill>
                </w14:textFill>
              </w:rPr>
            </w:pPr>
            <w:r>
              <w:rPr>
                <w:rFonts w:hint="eastAsia" w:ascii="楷体_GB2312" w:hAnsi="仿宋_GB2312" w:eastAsia="楷体_GB2312" w:cs="仿宋_GB2312"/>
                <w:b/>
                <w:bCs/>
                <w:color w:val="000000" w:themeColor="text1"/>
                <w:sz w:val="28"/>
                <w:szCs w:val="28"/>
                <w14:textFill>
                  <w14:solidFill>
                    <w14:schemeClr w14:val="tx1"/>
                  </w14:solidFill>
                </w14:textFill>
              </w:rPr>
              <w:t>宽带边疆工程。</w:t>
            </w:r>
          </w:p>
          <w:p w14:paraId="66C127C9">
            <w:pPr>
              <w:pStyle w:val="18"/>
              <w:spacing w:beforeAutospacing="0" w:afterAutospacing="0" w:line="240" w:lineRule="auto"/>
              <w:ind w:firstLine="562"/>
              <w:jc w:val="both"/>
              <w:rPr>
                <w:rFonts w:hint="eastAsia" w:ascii="楷体_GB2312" w:hAnsi="仿宋_GB2312" w:eastAsia="楷体_GB2312" w:cs="仿宋_GB2312"/>
                <w:b/>
                <w:bCs/>
                <w:color w:val="000000" w:themeColor="text1"/>
                <w:sz w:val="28"/>
                <w:szCs w:val="28"/>
                <w14:textFill>
                  <w14:solidFill>
                    <w14:schemeClr w14:val="tx1"/>
                  </w14:solidFill>
                </w14:textFill>
              </w:rPr>
            </w:pPr>
            <w:r>
              <w:rPr>
                <w:rFonts w:hint="eastAsia" w:ascii="楷体_GB2312" w:hAnsi="仿宋_GB2312" w:eastAsia="楷体_GB2312" w:cs="仿宋_GB2312"/>
                <w:b/>
                <w:bCs/>
                <w:color w:val="000000" w:themeColor="text1"/>
                <w:sz w:val="28"/>
                <w:szCs w:val="28"/>
                <w14:textFill>
                  <w14:solidFill>
                    <w14:schemeClr w14:val="tx1"/>
                  </w14:solidFill>
                </w14:textFill>
              </w:rPr>
              <w:t>数据中心工程。</w:t>
            </w:r>
          </w:p>
          <w:p w14:paraId="54B4C853">
            <w:pPr>
              <w:pStyle w:val="18"/>
              <w:spacing w:beforeAutospacing="0" w:afterAutospacing="0" w:line="240" w:lineRule="auto"/>
              <w:ind w:firstLine="562"/>
              <w:jc w:val="both"/>
              <w:rPr>
                <w:rFonts w:hint="eastAsia" w:ascii="楷体_GB2312" w:hAnsi="仿宋_GB2312" w:eastAsia="楷体_GB2312" w:cs="仿宋_GB2312"/>
                <w:b/>
                <w:bCs/>
                <w:color w:val="000000" w:themeColor="text1"/>
                <w:sz w:val="28"/>
                <w:szCs w:val="28"/>
                <w:lang w:val="en-US" w:eastAsia="zh-CN"/>
                <w14:textFill>
                  <w14:solidFill>
                    <w14:schemeClr w14:val="tx1"/>
                  </w14:solidFill>
                </w14:textFill>
              </w:rPr>
            </w:pPr>
            <w:r>
              <w:rPr>
                <w:rFonts w:hint="eastAsia" w:ascii="楷体_GB2312" w:hAnsi="仿宋_GB2312" w:eastAsia="楷体_GB2312" w:cs="仿宋_GB2312"/>
                <w:b/>
                <w:bCs/>
                <w:color w:val="000000" w:themeColor="text1"/>
                <w:sz w:val="28"/>
                <w:szCs w:val="28"/>
                <w14:textFill>
                  <w14:solidFill>
                    <w14:schemeClr w14:val="tx1"/>
                  </w14:solidFill>
                </w14:textFill>
              </w:rPr>
              <w:t>电子政务外网升级改造。</w:t>
            </w:r>
          </w:p>
          <w:p w14:paraId="604776A0">
            <w:pPr>
              <w:pStyle w:val="18"/>
              <w:spacing w:beforeAutospacing="0" w:afterAutospacing="0" w:line="240" w:lineRule="auto"/>
              <w:ind w:firstLine="562"/>
              <w:jc w:val="both"/>
              <w:rPr>
                <w:rFonts w:hint="eastAsia" w:ascii="楷体_GB2312" w:hAnsi="仿宋_GB2312" w:eastAsia="楷体_GB2312" w:cs="仿宋_GB2312"/>
                <w:b/>
                <w:bCs/>
                <w:color w:val="000000" w:themeColor="text1"/>
                <w:sz w:val="28"/>
                <w:szCs w:val="28"/>
                <w14:textFill>
                  <w14:solidFill>
                    <w14:schemeClr w14:val="tx1"/>
                  </w14:solidFill>
                </w14:textFill>
              </w:rPr>
            </w:pPr>
            <w:r>
              <w:rPr>
                <w:rFonts w:hint="eastAsia" w:ascii="楷体_GB2312" w:hAnsi="仿宋_GB2312" w:eastAsia="楷体_GB2312" w:cs="仿宋_GB2312"/>
                <w:b/>
                <w:bCs/>
                <w:color w:val="000000" w:themeColor="text1"/>
                <w:sz w:val="28"/>
                <w:szCs w:val="28"/>
                <w14:textFill>
                  <w14:solidFill>
                    <w14:schemeClr w14:val="tx1"/>
                  </w14:solidFill>
                </w14:textFill>
              </w:rPr>
              <w:t>城市基础信息平台项目。</w:t>
            </w:r>
          </w:p>
          <w:p w14:paraId="1D8EF4A8">
            <w:pPr>
              <w:pStyle w:val="18"/>
              <w:spacing w:beforeAutospacing="0" w:afterAutospacing="0" w:line="240" w:lineRule="auto"/>
              <w:ind w:firstLine="562"/>
              <w:jc w:val="both"/>
              <w:rPr>
                <w:rFonts w:cs="仿宋_GB2312"/>
                <w:b/>
                <w:bCs/>
                <w:color w:val="000000" w:themeColor="text1"/>
                <w:sz w:val="28"/>
                <w:szCs w:val="28"/>
                <w14:textFill>
                  <w14:solidFill>
                    <w14:schemeClr w14:val="tx1"/>
                  </w14:solidFill>
                </w14:textFill>
              </w:rPr>
            </w:pPr>
            <w:r>
              <w:rPr>
                <w:rFonts w:hint="eastAsia" w:ascii="楷体_GB2312" w:hAnsi="仿宋_GB2312" w:eastAsia="楷体_GB2312" w:cs="仿宋_GB2312"/>
                <w:b/>
                <w:bCs/>
                <w:color w:val="000000" w:themeColor="text1"/>
                <w:sz w:val="28"/>
                <w:szCs w:val="28"/>
                <w14:textFill>
                  <w14:solidFill>
                    <w14:schemeClr w14:val="tx1"/>
                  </w14:solidFill>
                </w14:textFill>
              </w:rPr>
              <w:t>城市生命线安全监测项目。</w:t>
            </w:r>
          </w:p>
          <w:p w14:paraId="104C8722">
            <w:pPr>
              <w:pStyle w:val="18"/>
              <w:spacing w:beforeAutospacing="0" w:afterAutospacing="0" w:line="240" w:lineRule="auto"/>
              <w:ind w:firstLine="562"/>
              <w:jc w:val="both"/>
              <w:rPr>
                <w:rFonts w:hint="eastAsia" w:hAnsi="仿宋_GB2312" w:cs="仿宋_GB2312"/>
                <w:color w:val="000000" w:themeColor="text1"/>
                <w:sz w:val="28"/>
                <w:szCs w:val="28"/>
                <w14:textFill>
                  <w14:solidFill>
                    <w14:schemeClr w14:val="tx1"/>
                  </w14:solidFill>
                </w14:textFill>
              </w:rPr>
            </w:pPr>
            <w:r>
              <w:rPr>
                <w:rFonts w:hint="eastAsia" w:ascii="楷体_GB2312" w:hAnsi="仿宋_GB2312" w:eastAsia="楷体_GB2312" w:cs="仿宋_GB2312"/>
                <w:b/>
                <w:bCs/>
                <w:color w:val="000000" w:themeColor="text1"/>
                <w:sz w:val="28"/>
                <w:szCs w:val="28"/>
                <w14:textFill>
                  <w14:solidFill>
                    <w14:schemeClr w14:val="tx1"/>
                  </w14:solidFill>
                </w14:textFill>
              </w:rPr>
              <w:t>网络安全态势感知与监测预警项目。</w:t>
            </w:r>
          </w:p>
        </w:tc>
      </w:tr>
    </w:tbl>
    <w:p w14:paraId="1C663395">
      <w:pPr>
        <w:pStyle w:val="3"/>
        <w:rPr>
          <w:rFonts w:hint="eastAsia"/>
        </w:rPr>
      </w:pPr>
      <w:bookmarkStart w:id="115" w:name="_Toc3293"/>
      <w:r>
        <w:rPr>
          <w:rFonts w:hint="eastAsia"/>
        </w:rPr>
        <w:t>构建高效便捷的数字治理服务体系</w:t>
      </w:r>
      <w:bookmarkEnd w:id="115"/>
    </w:p>
    <w:p w14:paraId="17D5A157">
      <w:pPr>
        <w:ind w:firstLine="643"/>
      </w:pPr>
      <w:r>
        <w:rPr>
          <w:b/>
          <w:bCs/>
        </w:rPr>
        <w:t>推动政务服务高效协同</w:t>
      </w:r>
      <w:r>
        <w:rPr>
          <w:rFonts w:hint="eastAsia"/>
          <w:b/>
          <w:bCs/>
        </w:rPr>
        <w:t>。</w:t>
      </w:r>
      <w:r>
        <w:t>依托兵团一体化政务服务平台</w:t>
      </w:r>
      <w:r>
        <w:rPr>
          <w:rFonts w:hint="eastAsia"/>
        </w:rPr>
        <w:t>持续</w:t>
      </w:r>
      <w:r>
        <w:t>提升政务服务数智化水平。</w:t>
      </w:r>
      <w:r>
        <w:rPr>
          <w:rFonts w:hint="eastAsia"/>
        </w:rPr>
        <w:t>聚焦数据互联互通，健全政务数据共享协调机制，加快跨部门、跨领域电子证照互认共享。强化“数据+AI”赋能审批服务，精简办事流程、压缩办理时限，实现政务服务“一网通办”。强化师市政府运行数智化辅助决策能力，汇聚整合多源数据资源，推动实现政务运行态势一屏统览、实时监测、效能指标综合研判，建设完善数据辅助决策体系。</w:t>
      </w:r>
    </w:p>
    <w:p w14:paraId="799B41A5">
      <w:pPr>
        <w:ind w:firstLine="643"/>
      </w:pPr>
      <w:r>
        <w:rPr>
          <w:rFonts w:hint="eastAsia"/>
          <w:b/>
          <w:bCs/>
        </w:rPr>
        <w:t>强化城市治理数字智治。</w:t>
      </w:r>
      <w:r>
        <w:rPr>
          <w:rFonts w:hint="eastAsia"/>
        </w:rPr>
        <w:t>推进师市数智城市建设，加快城市全域数智化设施联通、数据融通、平台互通、业务贯通，提升城市治理智能水平。推动教育、医疗、“一老一小”等重点领域“人工智能+”融合应用，通过数据归集共享、精准分析研判，持续提升公共服务精准度、高效性，增强群众获得感与满意度。实施“数智双河”工程，加快推动智慧城管、交通运输、智能应急、自然资源、智慧水利、环保监管等信息化平台迭代升级，实现城市治理“一网统管”。加强数字机关建设，做好“兵政易”APP推广使用，提升协同办公和“互联网+基层治理”水平。推动公共资源交易和征信数字化升级，提升数智服务能力，实现公共资源“一网交易”。</w:t>
      </w:r>
    </w:p>
    <w:tbl>
      <w:tblPr>
        <w:tblStyle w:val="19"/>
        <w:tblW w:w="5000" w:type="pct"/>
        <w:tblInd w:w="0" w:type="dxa"/>
        <w:tblLayout w:type="autofit"/>
        <w:tblCellMar>
          <w:top w:w="0" w:type="dxa"/>
          <w:left w:w="108" w:type="dxa"/>
          <w:bottom w:w="0" w:type="dxa"/>
          <w:right w:w="108" w:type="dxa"/>
        </w:tblCellMar>
      </w:tblPr>
      <w:tblGrid>
        <w:gridCol w:w="8516"/>
      </w:tblGrid>
      <w:tr w14:paraId="2B096F65">
        <w:tblPrEx>
          <w:tblCellMar>
            <w:top w:w="0" w:type="dxa"/>
            <w:left w:w="108" w:type="dxa"/>
            <w:bottom w:w="0" w:type="dxa"/>
            <w:right w:w="108" w:type="dxa"/>
          </w:tblCellMar>
        </w:tblPrEx>
        <w:trPr>
          <w:trHeight w:val="420"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54325C3D">
            <w:pPr>
              <w:ind w:firstLine="0" w:firstLineChars="0"/>
              <w:jc w:val="center"/>
              <w:rPr>
                <w:rFonts w:ascii="楷体_GB2312" w:eastAsia="楷体_GB2312" w:cs="Times New Roman"/>
                <w:b/>
                <w:bCs/>
              </w:rPr>
            </w:pPr>
            <w:r>
              <w:rPr>
                <w:rFonts w:hint="eastAsia" w:ascii="楷体_GB2312" w:hAnsi="仿宋_GB2312" w:eastAsia="楷体_GB2312"/>
                <w:b/>
                <w:bCs/>
                <w:color w:val="000000" w:themeColor="text1"/>
                <w14:textFill>
                  <w14:solidFill>
                    <w14:schemeClr w14:val="tx1"/>
                  </w14:solidFill>
                </w14:textFill>
              </w:rPr>
              <w:t xml:space="preserve">专栏9  </w:t>
            </w:r>
            <w:r>
              <w:rPr>
                <w:rFonts w:hint="eastAsia" w:ascii="楷体_GB2312" w:hAnsi="楷体_GB2312" w:eastAsia="楷体_GB2312" w:cs="楷体_GB2312"/>
                <w:b/>
              </w:rPr>
              <w:t>数字治理服务效能提升</w:t>
            </w:r>
            <w:r>
              <w:rPr>
                <w:rFonts w:hint="eastAsia" w:ascii="楷体_GB2312" w:hAnsi="仿宋_GB2312" w:eastAsia="楷体_GB2312"/>
                <w:b/>
                <w:bCs/>
                <w:color w:val="000000" w:themeColor="text1"/>
                <w14:textFill>
                  <w14:solidFill>
                    <w14:schemeClr w14:val="tx1"/>
                  </w14:solidFill>
                </w14:textFill>
              </w:rPr>
              <w:t>工程</w:t>
            </w:r>
          </w:p>
        </w:tc>
      </w:tr>
      <w:tr w14:paraId="2D488F01">
        <w:tblPrEx>
          <w:tblCellMar>
            <w:top w:w="0" w:type="dxa"/>
            <w:left w:w="108" w:type="dxa"/>
            <w:bottom w:w="0" w:type="dxa"/>
            <w:right w:w="108" w:type="dxa"/>
          </w:tblCellMar>
        </w:tblPrEx>
        <w:trPr>
          <w:trHeight w:val="606" w:hRule="atLeast"/>
        </w:trPr>
        <w:tc>
          <w:tcPr>
            <w:tcW w:w="5000" w:type="pct"/>
            <w:tcBorders>
              <w:top w:val="single" w:color="000000" w:sz="4" w:space="0"/>
              <w:left w:val="single" w:color="000000" w:sz="4" w:space="0"/>
              <w:bottom w:val="single" w:color="000000" w:sz="4" w:space="0"/>
              <w:right w:val="single" w:color="000000" w:sz="4" w:space="0"/>
            </w:tcBorders>
            <w:vAlign w:val="center"/>
          </w:tcPr>
          <w:p w14:paraId="79836AF9">
            <w:pPr>
              <w:pStyle w:val="18"/>
              <w:spacing w:beforeAutospacing="0" w:afterAutospacing="0" w:line="240" w:lineRule="auto"/>
              <w:ind w:firstLine="562"/>
              <w:jc w:val="both"/>
              <w:rPr>
                <w:rFonts w:hint="eastAsia" w:ascii="楷体_GB2312" w:eastAsia="楷体_GB2312" w:cs="仿宋_GB2312"/>
                <w:b/>
                <w:bCs/>
                <w:color w:val="000000" w:themeColor="text1"/>
                <w:sz w:val="28"/>
                <w:szCs w:val="28"/>
                <w14:textFill>
                  <w14:solidFill>
                    <w14:schemeClr w14:val="tx1"/>
                  </w14:solidFill>
                </w14:textFill>
              </w:rPr>
            </w:pPr>
            <w:r>
              <w:rPr>
                <w:rFonts w:hint="eastAsia" w:ascii="楷体_GB2312" w:eastAsia="楷体_GB2312" w:cs="仿宋_GB2312"/>
                <w:b/>
                <w:bCs/>
                <w:color w:val="000000" w:themeColor="text1"/>
                <w:sz w:val="28"/>
                <w:szCs w:val="28"/>
                <w14:textFill>
                  <w14:solidFill>
                    <w14:schemeClr w14:val="tx1"/>
                  </w14:solidFill>
                </w14:textFill>
              </w:rPr>
              <w:t>数智双河建设项目。</w:t>
            </w:r>
          </w:p>
        </w:tc>
      </w:tr>
    </w:tbl>
    <w:p w14:paraId="53A2DC33">
      <w:pPr>
        <w:pStyle w:val="3"/>
        <w:rPr>
          <w:rFonts w:hint="eastAsia"/>
        </w:rPr>
      </w:pPr>
      <w:bookmarkStart w:id="116" w:name="_Toc10881"/>
      <w:r>
        <w:rPr>
          <w:rFonts w:hint="eastAsia"/>
        </w:rPr>
        <w:t>构建科学适用的数字监测评估体系</w:t>
      </w:r>
      <w:bookmarkEnd w:id="116"/>
    </w:p>
    <w:p w14:paraId="29E66B44">
      <w:pPr>
        <w:ind w:firstLine="643"/>
      </w:pPr>
      <w:r>
        <w:rPr>
          <w:rFonts w:hint="eastAsia"/>
          <w:b/>
          <w:bCs/>
        </w:rPr>
        <w:t>构建师市数字经济监测指标库。</w:t>
      </w:r>
      <w:r>
        <w:rPr>
          <w:rFonts w:hint="eastAsia"/>
        </w:rPr>
        <w:t>紧密衔接兵团数字经济监测指标体系，结合师市实际，科学构建涵盖各团场、经开区、重点产业、重点数字化企业的可量化评估的师市数字经济监测指标体系，明确指标内涵、统计口径、采集方式和责任单位，建立师市数字经济发展“一本账”。</w:t>
      </w:r>
    </w:p>
    <w:p w14:paraId="07ADE846">
      <w:pPr>
        <w:ind w:firstLine="643"/>
        <w:rPr>
          <w:sz w:val="36"/>
          <w:szCs w:val="36"/>
        </w:rPr>
      </w:pPr>
      <w:r>
        <w:rPr>
          <w:rFonts w:hint="eastAsia"/>
          <w:b/>
          <w:bCs/>
        </w:rPr>
        <w:t>增强数字经济监测评价能力。</w:t>
      </w:r>
      <w:r>
        <w:rPr>
          <w:rFonts w:hint="eastAsia"/>
        </w:rPr>
        <w:t>汇聚师市各领域核心指标数据，动态监测发展态势、企业分布、项目进展、创新资源、算力供给、数据流通等情况。常态化开展数字经济发展总结评估，及时发现突出问题并提出改进措施，有效引导和督促师市各部门、各团场及企业切实推进数字经济高质量发展。</w:t>
      </w:r>
    </w:p>
    <w:p w14:paraId="35B46D5E">
      <w:pPr>
        <w:pStyle w:val="3"/>
        <w:rPr>
          <w:rFonts w:hint="eastAsia"/>
        </w:rPr>
      </w:pPr>
      <w:bookmarkStart w:id="117" w:name="_Toc5063"/>
      <w:r>
        <w:rPr>
          <w:rFonts w:hint="eastAsia"/>
        </w:rPr>
        <w:t>构建引育结合的数字经济人才体系</w:t>
      </w:r>
      <w:bookmarkEnd w:id="117"/>
    </w:p>
    <w:p w14:paraId="65D481DE">
      <w:pPr>
        <w:ind w:firstLine="643"/>
      </w:pPr>
      <w:r>
        <w:rPr>
          <w:rFonts w:hint="eastAsia"/>
          <w:b/>
          <w:bCs/>
        </w:rPr>
        <w:t>构建数字人才引才体系。</w:t>
      </w:r>
      <w:r>
        <w:rPr>
          <w:rFonts w:hint="eastAsia"/>
        </w:rPr>
        <w:t>充分依托师市“智汇双河”特色人才品牌和“百名硕博进双河”专项行动，建立“候鸟专家”“远程顾问”等灵活引才模式，搭建师市对口援疆技术团队、高校专家库与师市产业需求之间的高效对接平台。聚焦绿色算力、现代农业、智能制造等重点领域，开展短期项目合作、技术咨询与联合攻关，精准补齐高端人才短板。</w:t>
      </w:r>
    </w:p>
    <w:p w14:paraId="24870FDF">
      <w:pPr>
        <w:ind w:firstLine="643"/>
      </w:pPr>
      <w:r>
        <w:rPr>
          <w:rFonts w:hint="eastAsia"/>
          <w:b/>
          <w:bCs/>
        </w:rPr>
        <w:t>打造产教融合实训基地。</w:t>
      </w:r>
      <w:r>
        <w:rPr>
          <w:rFonts w:hint="eastAsia"/>
        </w:rPr>
        <w:t>依托双河职业技术学院紧密对接师市绿色算力、现代农业、电商物流、智能制造等重点产业的用人需求，动态调整和优化专业方向，联合师市重点企业共建产教融合实训基地。构建“实训-试岗-就业”培育闭环，建设标准化实训教室，实现人才培养与企业需求精准匹配，培养实用型数字技能人才。</w:t>
      </w:r>
    </w:p>
    <w:p w14:paraId="6C7898E7">
      <w:pPr>
        <w:ind w:firstLine="643"/>
      </w:pPr>
      <w:r>
        <w:rPr>
          <w:rFonts w:hint="eastAsia"/>
          <w:b/>
          <w:bCs/>
        </w:rPr>
        <w:t>提升本地人才数字素养。</w:t>
      </w:r>
      <w:r>
        <w:t>探索打造数字</w:t>
      </w:r>
      <w:r>
        <w:rPr>
          <w:rFonts w:hint="eastAsia"/>
        </w:rPr>
        <w:t>经济</w:t>
      </w:r>
      <w:r>
        <w:t>素养课程</w:t>
      </w:r>
      <w:r>
        <w:rPr>
          <w:rFonts w:hint="eastAsia"/>
        </w:rPr>
        <w:t>并开展常态化培训。面向机关干部，持续进行基础理论知识、“人工智能+”“数据要素×”等专题学习，提升数字化决策与治理能力。面向企业，邀请行业专家进行案例讲解、实操演示，帮助利用数字化工具提升管理经营能力。同时，整合援疆省市及本地数字化服务商资源，为企业提供常态化的技术咨询服务。面向基层职工、返乡创业者，开展农机操作、电商直播、网络安全常识等普惠性技能培训，持续消除数字鸿沟。</w:t>
      </w:r>
    </w:p>
    <w:p w14:paraId="698ECD47">
      <w:pPr>
        <w:pStyle w:val="2"/>
        <w:ind w:firstLine="0"/>
        <w:rPr>
          <w:rFonts w:hint="eastAsia"/>
        </w:rPr>
      </w:pPr>
      <w:bookmarkStart w:id="118" w:name="_Toc7503"/>
      <w:r>
        <w:rPr>
          <w:rFonts w:hint="eastAsia"/>
        </w:rPr>
        <w:t>深化区域协同联动，构建开放合作生态</w:t>
      </w:r>
      <w:bookmarkEnd w:id="118"/>
    </w:p>
    <w:p w14:paraId="26660445">
      <w:pPr>
        <w:pStyle w:val="3"/>
        <w:rPr>
          <w:rFonts w:hint="eastAsia"/>
        </w:rPr>
      </w:pPr>
      <w:bookmarkStart w:id="119" w:name="_Toc19677"/>
      <w:r>
        <w:rPr>
          <w:rFonts w:hint="eastAsia"/>
        </w:rPr>
        <w:t>深化兵地数字融合发展</w:t>
      </w:r>
      <w:bookmarkEnd w:id="119"/>
    </w:p>
    <w:p w14:paraId="32BE9EFD">
      <w:pPr>
        <w:ind w:firstLine="643"/>
      </w:pPr>
      <w:r>
        <w:rPr>
          <w:rFonts w:hint="eastAsia"/>
          <w:b/>
          <w:bCs/>
        </w:rPr>
        <w:t>推进兵地数字基础设施互联互通。</w:t>
      </w:r>
      <w:r>
        <w:rPr>
          <w:rFonts w:hint="eastAsia"/>
        </w:rPr>
        <w:t>统筹师市与博州、阿拉山口市的光纤网络、5G网络等共建共享，消除偏远区域网络盲区。探索共建师域算力调度节点，实现算力资源跨区域统筹调度与集约利用。促进数字技术与交通、水利、能源等物联基础设备资源双向流通。</w:t>
      </w:r>
    </w:p>
    <w:p w14:paraId="55E6142B">
      <w:pPr>
        <w:ind w:firstLine="643"/>
      </w:pPr>
      <w:r>
        <w:rPr>
          <w:rFonts w:hint="eastAsia"/>
          <w:b/>
          <w:bCs/>
        </w:rPr>
        <w:t>培育兵地数字经济生态协同发展。</w:t>
      </w:r>
      <w:r>
        <w:rPr>
          <w:rFonts w:hint="eastAsia"/>
        </w:rPr>
        <w:t>积极融入博州“博阿精”区域经济一体化和“博温赛”文旅康养产业区域经济一体化发展战略，依托东新兵地融合发展产业园、飞地化工园区和阿拉山口综保区（五师分区）兵地融合产业园，聚焦农产品生产和精深加工、电子新材料、跨境贸易、园区物流等兵地优势产业，联合龙头企业共建融通行业工业互联网平台。以师市“农服云”为核心向博州拓展，整合涉农数据，打造兵地数字农业协同发展样板。聚焦政务服务、智慧医疗、智慧教育与博州地方协同布局应用示范，推进数据共享与联动治理。实施数字人才共育共享计划，促进兵地人才双向流动。</w:t>
      </w:r>
    </w:p>
    <w:p w14:paraId="76A0A1AA">
      <w:pPr>
        <w:pStyle w:val="3"/>
        <w:rPr>
          <w:rFonts w:hint="eastAsia"/>
        </w:rPr>
      </w:pPr>
      <w:bookmarkStart w:id="120" w:name="_Toc17717"/>
      <w:r>
        <w:rPr>
          <w:rFonts w:hint="eastAsia"/>
        </w:rPr>
        <w:t>强化跨域数字联动协作</w:t>
      </w:r>
      <w:bookmarkEnd w:id="120"/>
    </w:p>
    <w:p w14:paraId="0B66F41E">
      <w:pPr>
        <w:ind w:firstLine="643"/>
      </w:pPr>
      <w:r>
        <w:rPr>
          <w:rFonts w:hint="eastAsia"/>
          <w:b/>
          <w:bCs/>
        </w:rPr>
        <w:t>融入兵团数字一体化布局。</w:t>
      </w:r>
      <w:r>
        <w:rPr>
          <w:rFonts w:hint="eastAsia"/>
        </w:rPr>
        <w:t>落实算力电力协同要求，持续推动师市算力资源接入兵团一体化算力网，实现师市算力统纳统调。配合建设兵团公共数据管理平台，深化数据交易合作，引导师市国有企业数据上线交易。主动对接央企及兵团国有企业资源，争取算力枢纽节点等相关的数字产业在师市布局落地，夯实数字经济跨域协作。</w:t>
      </w:r>
    </w:p>
    <w:p w14:paraId="07AFD208">
      <w:pPr>
        <w:ind w:firstLine="643"/>
        <w:rPr>
          <w:color w:val="auto"/>
        </w:rPr>
      </w:pPr>
      <w:r>
        <w:rPr>
          <w:rFonts w:hint="eastAsia"/>
          <w:b/>
          <w:bCs/>
        </w:rPr>
        <w:t>强化师市间优势特色产业协作。</w:t>
      </w:r>
      <w:r>
        <w:rPr>
          <w:rFonts w:hint="eastAsia"/>
        </w:rPr>
        <w:t>加强与兄弟师市联动，积极承接算力制造配套产业，协同开展数据标注、清洗等基础数据处理业务，培育特色数据产业，加强师市产业与兄弟师市产业协同联动。强化与兄弟师市跨境电商、数字口岸建设经验交</w:t>
      </w:r>
      <w:r>
        <w:rPr>
          <w:rFonts w:hint="eastAsia"/>
          <w:color w:val="auto"/>
        </w:rPr>
        <w:t>流，联合拓展“灵峪双河”农产品出海渠道。</w:t>
      </w:r>
    </w:p>
    <w:p w14:paraId="7F193A0B">
      <w:pPr>
        <w:ind w:firstLine="643"/>
      </w:pPr>
      <w:r>
        <w:rPr>
          <w:rFonts w:hint="eastAsia"/>
          <w:b/>
          <w:bCs/>
          <w:color w:val="auto"/>
        </w:rPr>
        <w:t>深化与东中部地区向东合作。</w:t>
      </w:r>
      <w:r>
        <w:rPr>
          <w:rFonts w:hint="eastAsia"/>
          <w:color w:val="auto"/>
          <w:lang w:val="en-US" w:eastAsia="zh-CN"/>
        </w:rPr>
        <w:t>与中东部“东数西算”节点城市和算力需求旺盛城市开展算力网合作建设</w:t>
      </w:r>
      <w:r>
        <w:rPr>
          <w:rFonts w:hint="eastAsia"/>
          <w:color w:val="auto"/>
        </w:rPr>
        <w:t>，积极</w:t>
      </w:r>
      <w:r>
        <w:rPr>
          <w:rFonts w:hint="eastAsia"/>
        </w:rPr>
        <w:t>申报</w:t>
      </w:r>
      <w:r>
        <w:t>国家算力互联互通节点</w:t>
      </w:r>
      <w:r>
        <w:rPr>
          <w:rFonts w:hint="eastAsia"/>
        </w:rPr>
        <w:t>城市。探索跨区域算力协同运营机制，推动算力资源共享与消纳。加强与援疆省市算力、数字产业制造及数字技术合作，开展关键技术应用攻关与成果转化。</w:t>
      </w:r>
    </w:p>
    <w:p w14:paraId="05D4C098">
      <w:pPr>
        <w:pStyle w:val="3"/>
        <w:rPr>
          <w:rFonts w:hint="eastAsia"/>
        </w:rPr>
      </w:pPr>
      <w:bookmarkStart w:id="121" w:name="_Toc17619"/>
      <w:r>
        <w:rPr>
          <w:rFonts w:hint="eastAsia"/>
        </w:rPr>
        <w:t>拓展向西数字开放合作</w:t>
      </w:r>
      <w:bookmarkEnd w:id="121"/>
    </w:p>
    <w:p w14:paraId="4DED3FCA">
      <w:pPr>
        <w:ind w:firstLine="643"/>
      </w:pPr>
      <w:r>
        <w:rPr>
          <w:rFonts w:hint="eastAsia"/>
          <w:b/>
          <w:bCs/>
        </w:rPr>
        <w:t>优化跨境数字贸易生态。</w:t>
      </w:r>
      <w:r>
        <w:rPr>
          <w:rFonts w:hint="eastAsia"/>
        </w:rPr>
        <w:t>依托师市跨境电商综合试验区、自贸区联动创新区、开发开放试验区“三区”叠加的独特优势，联动各类开放平台</w:t>
      </w:r>
      <w:r>
        <w:t>探索数据跨境流动试点</w:t>
      </w:r>
      <w:r>
        <w:rPr>
          <w:rFonts w:hint="eastAsia"/>
        </w:rPr>
        <w:t>。建设师市跨境电商综合服务平台，培育“跨境电商+产业带”模式，推动师市特色农产品、算力、智能装备等优势产品出海。</w:t>
      </w:r>
    </w:p>
    <w:p w14:paraId="21B5078B">
      <w:pPr>
        <w:ind w:firstLine="643"/>
      </w:pPr>
      <w:r>
        <w:rPr>
          <w:rFonts w:hint="eastAsia"/>
          <w:b/>
          <w:bCs/>
        </w:rPr>
        <w:t>探索“亚数亚算”跨境算力合作。</w:t>
      </w:r>
      <w:r>
        <w:rPr>
          <w:rFonts w:hint="eastAsia"/>
        </w:rPr>
        <w:t>基于师市绿色算力产业园，充分发挥算力电力协同与口岸通道优势，探索面向中亚推广“亚数亚算”模式，推动算力出口、人工智能原生服务等数字贸易新业态发展，实现算力跨境消纳。</w:t>
      </w:r>
    </w:p>
    <w:p w14:paraId="38EF2D33">
      <w:pPr>
        <w:pStyle w:val="2"/>
        <w:spacing w:line="576" w:lineRule="exact"/>
        <w:ind w:firstLine="0"/>
        <w:rPr>
          <w:rFonts w:hint="eastAsia"/>
        </w:rPr>
      </w:pPr>
      <w:bookmarkStart w:id="122" w:name="_Toc21241"/>
      <w:r>
        <w:rPr>
          <w:rFonts w:hint="eastAsia"/>
        </w:rPr>
        <w:t>保障措施</w:t>
      </w:r>
      <w:bookmarkEnd w:id="106"/>
      <w:bookmarkEnd w:id="107"/>
      <w:bookmarkEnd w:id="108"/>
      <w:bookmarkEnd w:id="109"/>
      <w:bookmarkEnd w:id="110"/>
      <w:bookmarkEnd w:id="111"/>
      <w:bookmarkEnd w:id="112"/>
      <w:bookmarkEnd w:id="113"/>
      <w:bookmarkEnd w:id="122"/>
    </w:p>
    <w:p w14:paraId="4AA5BEDD">
      <w:pPr>
        <w:pStyle w:val="3"/>
        <w:spacing w:line="576" w:lineRule="exact"/>
        <w:rPr>
          <w:rFonts w:hint="eastAsia"/>
        </w:rPr>
      </w:pPr>
      <w:bookmarkStart w:id="123" w:name="_Toc27828"/>
      <w:r>
        <w:rPr>
          <w:rFonts w:hint="eastAsia"/>
        </w:rPr>
        <w:t>强化组织领导保障</w:t>
      </w:r>
      <w:bookmarkEnd w:id="123"/>
      <w:r>
        <w:rPr>
          <w:rFonts w:hint="eastAsia"/>
        </w:rPr>
        <w:t xml:space="preserve"> </w:t>
      </w:r>
    </w:p>
    <w:p w14:paraId="53980D1C">
      <w:pPr>
        <w:spacing w:line="576" w:lineRule="exact"/>
        <w:ind w:firstLine="640"/>
      </w:pPr>
      <w:r>
        <w:rPr>
          <w:rFonts w:hint="eastAsia"/>
        </w:rPr>
        <w:t>坚持师市党委全面领导、总揽全局、协调各方的核心作用，贯穿数字经济发展全过程各领域。建立跨区域、跨领域、跨部门重大问题协同解决机制，凝聚师市发展共识。压实各部门、各团场及相关企业工作任务，</w:t>
      </w:r>
      <w:r>
        <w:t>细化阶段目标、具体举措及进度</w:t>
      </w:r>
      <w:r>
        <w:rPr>
          <w:rFonts w:hint="eastAsia"/>
        </w:rPr>
        <w:t>，做好监测评估，</w:t>
      </w:r>
      <w:r>
        <w:t>确保各项工作落地见效</w:t>
      </w:r>
      <w:r>
        <w:rPr>
          <w:rFonts w:hint="eastAsia"/>
        </w:rPr>
        <w:t>。</w:t>
      </w:r>
    </w:p>
    <w:p w14:paraId="0B3BC96F">
      <w:pPr>
        <w:pStyle w:val="3"/>
        <w:spacing w:line="576" w:lineRule="exact"/>
        <w:rPr>
          <w:rFonts w:hint="eastAsia"/>
        </w:rPr>
      </w:pPr>
      <w:bookmarkStart w:id="124" w:name="_Toc20845"/>
      <w:r>
        <w:rPr>
          <w:rFonts w:hint="eastAsia"/>
        </w:rPr>
        <w:t>创新政策支持保障</w:t>
      </w:r>
      <w:bookmarkEnd w:id="124"/>
      <w:r>
        <w:rPr>
          <w:rFonts w:hint="eastAsia"/>
        </w:rPr>
        <w:t xml:space="preserve"> </w:t>
      </w:r>
    </w:p>
    <w:p w14:paraId="0FAB6E22">
      <w:pPr>
        <w:spacing w:line="576" w:lineRule="exact"/>
        <w:ind w:firstLine="640"/>
      </w:pPr>
      <w:r>
        <w:rPr>
          <w:rFonts w:hint="eastAsia"/>
        </w:rPr>
        <w:t>全面衔接国家、兵团数字经济扶持政策，围绕绿色算力、电子新材料、产业数字化转型、人工智能等特色新兴及未来产业发展出台相应支持政策，构建适配数字经济核心产业升级的政策支撑体系。支持数据产业重大平台和创新应用等标杆项目建设，支持数商企业引进和培育，鼓励企业上市，全方位支持数据和大模型企业发展。</w:t>
      </w:r>
    </w:p>
    <w:p w14:paraId="3EACDAC7">
      <w:pPr>
        <w:pStyle w:val="3"/>
        <w:spacing w:line="576" w:lineRule="exact"/>
        <w:rPr>
          <w:rFonts w:hint="eastAsia"/>
        </w:rPr>
      </w:pPr>
      <w:bookmarkStart w:id="125" w:name="_Toc21045"/>
      <w:r>
        <w:rPr>
          <w:rFonts w:hint="eastAsia"/>
        </w:rPr>
        <w:t>加大资金投入保障</w:t>
      </w:r>
      <w:bookmarkEnd w:id="125"/>
      <w:r>
        <w:rPr>
          <w:rFonts w:hint="eastAsia"/>
        </w:rPr>
        <w:t xml:space="preserve"> </w:t>
      </w:r>
    </w:p>
    <w:p w14:paraId="0851E8A0">
      <w:pPr>
        <w:spacing w:line="576" w:lineRule="exact"/>
        <w:ind w:firstLine="640"/>
      </w:pPr>
      <w:r>
        <w:rPr>
          <w:rFonts w:hint="eastAsia"/>
        </w:rPr>
        <w:t>坚持财政引导与市场化运作相结合，构建“政府引导、企业主体、社会参与”的多元化投融资体系。统筹用好援疆资金、师市本级专项资金，争取国家、兵团专项资金及试点示范项目支持，灵活</w:t>
      </w:r>
      <w:r>
        <w:rPr>
          <w:color w:val="000000" w:themeColor="text1"/>
          <w14:textFill>
            <w14:solidFill>
              <w14:schemeClr w14:val="tx1"/>
            </w14:solidFill>
          </w14:textFill>
        </w:rPr>
        <w:t>用好新型政策性金融工具</w:t>
      </w:r>
      <w:r>
        <w:rPr>
          <w:rFonts w:hint="eastAsia"/>
        </w:rPr>
        <w:t>。撬动社会资本投向数字经济重点示范项目建设。鼓励金融机构创新数字金融产品，加大对数字经济核心产业的中长期信贷投放力度。</w:t>
      </w:r>
    </w:p>
    <w:p w14:paraId="4955FDEB">
      <w:pPr>
        <w:pStyle w:val="3"/>
        <w:rPr>
          <w:rFonts w:hint="eastAsia"/>
        </w:rPr>
      </w:pPr>
      <w:bookmarkStart w:id="126" w:name="_Toc13554"/>
      <w:r>
        <w:rPr>
          <w:rFonts w:hint="eastAsia"/>
        </w:rPr>
        <w:t>加强数据安全保障</w:t>
      </w:r>
      <w:bookmarkEnd w:id="126"/>
    </w:p>
    <w:p w14:paraId="02FAF844">
      <w:pPr>
        <w:ind w:firstLine="640"/>
      </w:pPr>
      <w:r>
        <w:rPr>
          <w:rFonts w:hint="eastAsia"/>
          <w:color w:val="000000" w:themeColor="text1"/>
          <w14:textFill>
            <w14:solidFill>
              <w14:schemeClr w14:val="tx1"/>
            </w14:solidFill>
          </w14:textFill>
        </w:rPr>
        <w:t>落实兵团数据分类分级保护制度，</w:t>
      </w:r>
      <w:r>
        <w:rPr>
          <w:color w:val="000000" w:themeColor="text1"/>
          <w14:textFill>
            <w14:solidFill>
              <w14:schemeClr w14:val="tx1"/>
            </w14:solidFill>
          </w14:textFill>
        </w:rPr>
        <w:t>加强重要数据安全保护，防范数据滥用风险，提升数据安全治理监管能力。</w:t>
      </w:r>
      <w:r>
        <w:t>提升</w:t>
      </w:r>
      <w:r>
        <w:rPr>
          <w:rFonts w:hint="eastAsia"/>
        </w:rPr>
        <w:t>网络安全和关键信息基础设施防护能力，加强保密监管与风险预警</w:t>
      </w:r>
      <w:r>
        <w:t>能力建设</w:t>
      </w:r>
      <w:r>
        <w:rPr>
          <w:rFonts w:hint="eastAsia"/>
        </w:rPr>
        <w:t>。建立健全常态化数字经济安全评估、隐患排查及应急处置机制，强化跨境数据流动</w:t>
      </w:r>
      <w:r>
        <w:t>安全</w:t>
      </w:r>
      <w:r>
        <w:rPr>
          <w:rFonts w:hint="eastAsia"/>
        </w:rPr>
        <w:t>和师市全领</w:t>
      </w:r>
      <w:r>
        <w:t>域</w:t>
      </w:r>
      <w:r>
        <w:rPr>
          <w:rFonts w:hint="eastAsia"/>
        </w:rPr>
        <w:t>数据安全管控。开展数字安全宣传教育，提升全社会数字安全意识。</w:t>
      </w:r>
    </w:p>
    <w:p w14:paraId="09EA6A9A">
      <w:pPr>
        <w:pStyle w:val="12"/>
        <w:spacing w:line="20" w:lineRule="exact"/>
        <w:jc w:val="both"/>
      </w:pPr>
    </w:p>
    <w:sectPr>
      <w:footerReference r:id="rId18" w:type="first"/>
      <w:footerReference r:id="rId16" w:type="default"/>
      <w:footerReference r:id="rId17" w:type="even"/>
      <w:pgSz w:w="11906" w:h="16838"/>
      <w:pgMar w:top="1440" w:right="1803" w:bottom="1440" w:left="1803" w:header="851" w:footer="850" w:gutter="0"/>
      <w:pgNumType w:fmt="numberInDash"/>
      <w:cols w:space="425" w:num="1"/>
      <w:titlePg/>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D91529A-1F42-44AC-A263-8B19E669B373}"/>
  </w:font>
  <w:font w:name="黑体">
    <w:panose1 w:val="02010609060101010101"/>
    <w:charset w:val="86"/>
    <w:family w:val="auto"/>
    <w:pitch w:val="default"/>
    <w:sig w:usb0="800002BF" w:usb1="38CF7CFA" w:usb2="00000016" w:usb3="00000000" w:csb0="00040001" w:csb1="00000000"/>
    <w:embedRegular r:id="rId2" w:fontKey="{54B06B01-FB71-4DEE-842C-B0D9189318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0D7AAB9C-5B8C-44D2-8DFD-AB94D6F4EF79}"/>
  </w:font>
  <w:font w:name="楷体_GB2312">
    <w:panose1 w:val="02010609030101010101"/>
    <w:charset w:val="86"/>
    <w:family w:val="modern"/>
    <w:pitch w:val="default"/>
    <w:sig w:usb0="00000001" w:usb1="080E0000" w:usb2="00000000" w:usb3="00000000" w:csb0="00040000" w:csb1="00000000"/>
    <w:embedRegular r:id="rId4" w:fontKey="{CAAA5FD6-2925-4931-BD97-3613B5FC10CB}"/>
  </w:font>
  <w:font w:name="方正小标宋简体">
    <w:panose1 w:val="03000509000000000000"/>
    <w:charset w:val="86"/>
    <w:family w:val="auto"/>
    <w:pitch w:val="default"/>
    <w:sig w:usb0="00000001" w:usb1="080E0000" w:usb2="00000000" w:usb3="00000000" w:csb0="00040000" w:csb1="00000000"/>
    <w:embedRegular r:id="rId5" w:fontKey="{02922D1B-BABE-4826-A36F-8FED0168011B}"/>
  </w:font>
  <w:font w:name="微软雅黑">
    <w:panose1 w:val="020B0503020204020204"/>
    <w:charset w:val="86"/>
    <w:family w:val="swiss"/>
    <w:pitch w:val="default"/>
    <w:sig w:usb0="80000287" w:usb1="2ACF3C50" w:usb2="00000016" w:usb3="00000000" w:csb0="0004001F" w:csb1="00000000"/>
    <w:embedRegular r:id="rId6" w:fontKey="{B4CA1887-97C1-4F1C-83B0-88A9DCCA6F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4958E">
    <w:pPr>
      <w:pStyle w:val="14"/>
      <w:tabs>
        <w:tab w:val="clear" w:pos="0"/>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28776"/>
    </w:sdtPr>
    <w:sdtContent>
      <w:p w14:paraId="1B9B15C1">
        <w:pPr>
          <w:pStyle w:val="14"/>
          <w:tabs>
            <w:tab w:val="clear" w:pos="0"/>
          </w:tabs>
          <w:jc w:val="center"/>
        </w:pPr>
        <w:r>
          <w:fldChar w:fldCharType="begin"/>
        </w:r>
        <w:r>
          <w:instrText xml:space="preserve">PAGE   \* MERGEFORMAT</w:instrText>
        </w:r>
        <w:r>
          <w:fldChar w:fldCharType="separate"/>
        </w:r>
        <w:r>
          <w:t>I</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F99BB">
    <w:pPr>
      <w:pStyle w:val="14"/>
      <w:tabs>
        <w:tab w:val="clear" w:pos="0"/>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E8142">
    <w:pPr>
      <w:pStyle w:val="14"/>
      <w:tabs>
        <w:tab w:val="clear" w:pos="0"/>
      </w:tabs>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518CF">
    <w:pPr>
      <w:pStyle w:val="14"/>
      <w:tabs>
        <w:tab w:val="clear" w:pos="0"/>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C3DF2">
    <w:pPr>
      <w:pStyle w:val="14"/>
      <w:tabs>
        <w:tab w:val="clear" w:pos="0"/>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4884484"/>
    </w:sdtPr>
    <w:sdtContent>
      <w:p w14:paraId="319639AF">
        <w:pPr>
          <w:pStyle w:val="14"/>
          <w:tabs>
            <w:tab w:val="clear" w:pos="0"/>
          </w:tabs>
          <w:jc w:val="center"/>
        </w:pPr>
        <w:r>
          <w:fldChar w:fldCharType="begin"/>
        </w:r>
        <w:r>
          <w:instrText xml:space="preserve">PAGE   \* MERGEFORMAT</w:instrText>
        </w:r>
        <w:r>
          <w:fldChar w:fldCharType="separate"/>
        </w:r>
        <w:r>
          <w:rPr>
            <w:lang w:val="zh-CN"/>
          </w:rPr>
          <w:t>2</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3915"/>
    </w:sdtPr>
    <w:sdtContent>
      <w:p w14:paraId="2A09CA6C">
        <w:pPr>
          <w:pStyle w:val="14"/>
          <w:tabs>
            <w:tab w:val="clear" w:pos="0"/>
          </w:tabs>
          <w:jc w:val="center"/>
        </w:pPr>
        <w:r>
          <w:fldChar w:fldCharType="begin"/>
        </w:r>
        <w:r>
          <w:instrText xml:space="preserve">PAGE   \* MERGEFORMAT</w:instrText>
        </w:r>
        <w:r>
          <w:fldChar w:fldCharType="separate"/>
        </w:r>
        <w:r>
          <w:t>I</w:t>
        </w:r>
        <w: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CD067">
    <w:pPr>
      <w:pStyle w:val="14"/>
      <w:tabs>
        <w:tab w:val="clear" w:pos="0"/>
      </w:tabs>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4635"/>
                          </w:sdtPr>
                          <w:sdtContent>
                            <w:p w14:paraId="7D692C69">
                              <w:pPr>
                                <w:pStyle w:val="14"/>
                                <w:tabs>
                                  <w:tab w:val="clear" w:pos="0"/>
                                </w:tabs>
                                <w:jc w:val="center"/>
                              </w:pPr>
                              <w:r>
                                <w:fldChar w:fldCharType="begin"/>
                              </w:r>
                              <w:r>
                                <w:instrText xml:space="preserve">PAGE   \* MERGEFORMAT</w:instrText>
                              </w:r>
                              <w:r>
                                <w:fldChar w:fldCharType="separate"/>
                              </w:r>
                              <w:r>
                                <w:rPr>
                                  <w:lang w:val="zh-CN"/>
                                </w:rPr>
                                <w:t>2</w:t>
                              </w:r>
                              <w:r>
                                <w:fldChar w:fldCharType="end"/>
                              </w:r>
                            </w:p>
                          </w:sdtContent>
                        </w:sdt>
                        <w:p w14:paraId="46D9AB4F">
                          <w:pPr>
                            <w:ind w:firstLine="64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sdt>
                    <w:sdtPr>
                      <w:id w:val="147474635"/>
                    </w:sdtPr>
                    <w:sdtContent>
                      <w:p w14:paraId="7D692C69">
                        <w:pPr>
                          <w:pStyle w:val="14"/>
                          <w:tabs>
                            <w:tab w:val="clear" w:pos="0"/>
                          </w:tabs>
                          <w:jc w:val="center"/>
                        </w:pPr>
                        <w:r>
                          <w:fldChar w:fldCharType="begin"/>
                        </w:r>
                        <w:r>
                          <w:instrText xml:space="preserve">PAGE   \* MERGEFORMAT</w:instrText>
                        </w:r>
                        <w:r>
                          <w:fldChar w:fldCharType="separate"/>
                        </w:r>
                        <w:r>
                          <w:rPr>
                            <w:lang w:val="zh-CN"/>
                          </w:rPr>
                          <w:t>2</w:t>
                        </w:r>
                        <w:r>
                          <w:fldChar w:fldCharType="end"/>
                        </w:r>
                      </w:p>
                    </w:sdtContent>
                  </w:sdt>
                  <w:p w14:paraId="46D9AB4F">
                    <w:pPr>
                      <w:ind w:firstLine="640"/>
                    </w:pP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D9F8B">
    <w:pPr>
      <w:pStyle w:val="14"/>
      <w:tabs>
        <w:tab w:val="clear" w:pos="0"/>
      </w:tabs>
      <w:jc w:val="center"/>
    </w:pPr>
    <w:r>
      <mc:AlternateContent>
        <mc:Choice Requires="wps">
          <w:drawing>
            <wp:anchor distT="0" distB="0" distL="114300" distR="114300" simplePos="0" relativeHeight="251660288" behindDoc="0" locked="0" layoutInCell="1" allowOverlap="1">
              <wp:simplePos x="0" y="0"/>
              <wp:positionH relativeFrom="margin">
                <wp:posOffset>1905</wp:posOffset>
              </wp:positionH>
              <wp:positionV relativeFrom="paragraph">
                <wp:posOffset>2540</wp:posOffset>
              </wp:positionV>
              <wp:extent cx="591820" cy="1828800"/>
              <wp:effectExtent l="0" t="0" r="0" b="6350"/>
              <wp:wrapNone/>
              <wp:docPr id="3" name="文本框 3"/>
              <wp:cNvGraphicFramePr/>
              <a:graphic xmlns:a="http://schemas.openxmlformats.org/drawingml/2006/main">
                <a:graphicData uri="http://schemas.microsoft.com/office/word/2010/wordprocessingShape">
                  <wps:wsp>
                    <wps:cNvSpPr txBox="1"/>
                    <wps:spPr>
                      <a:xfrm>
                        <a:off x="0" y="0"/>
                        <a:ext cx="591982"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1904"/>
                          </w:sdtPr>
                          <w:sdtContent>
                            <w:p w14:paraId="076DE6A7">
                              <w:pPr>
                                <w:pStyle w:val="14"/>
                                <w:tabs>
                                  <w:tab w:val="clear" w:pos="0"/>
                                </w:tabs>
                                <w:jc w:val="center"/>
                              </w:pPr>
                              <w:r>
                                <w:fldChar w:fldCharType="begin"/>
                              </w:r>
                              <w:r>
                                <w:instrText xml:space="preserve">PAGE   \* MERGEFORMAT</w:instrText>
                              </w:r>
                              <w:r>
                                <w:fldChar w:fldCharType="separate"/>
                              </w:r>
                              <w:r>
                                <w:t>I</w:t>
                              </w:r>
                              <w:r>
                                <w:fldChar w:fldCharType="end"/>
                              </w:r>
                            </w:p>
                          </w:sdtContent>
                        </w:sdt>
                        <w:p w14:paraId="1E3643F3">
                          <w:pPr>
                            <w:ind w:firstLine="640"/>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15pt;margin-top:0.2pt;height:144pt;width:46.6pt;mso-position-horizontal-relative:margin;z-index:251660288;mso-width-relative:page;mso-height-relative:page;" filled="f" stroked="f" coordsize="21600,21600" o:gfxdata="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BQ+q60gAAAAQBAAAPAAAAAAAAAAEAIAAAACIAAABkcnMvZG93bnJldi54bWxQSwEC&#10;FAAUAAAACACHTuJA9N/NITMCAABWBAAADgAAAAAAAAABACAAAAAhAQAAZHJzL2Uyb0RvYy54bWxQ&#10;SwUGAAAAAAYABgBZAQAAxgUAAAAA&#10;">
              <v:fill on="f" focussize="0,0"/>
              <v:stroke on="f" weight="0.5pt"/>
              <v:imagedata o:title=""/>
              <o:lock v:ext="edit" aspectratio="f"/>
              <v:textbox inset="0mm,0mm,0mm,0mm" style="mso-fit-shape-to-text:t;">
                <w:txbxContent>
                  <w:sdt>
                    <w:sdtPr>
                      <w:id w:val="147481904"/>
                    </w:sdtPr>
                    <w:sdtContent>
                      <w:p w14:paraId="076DE6A7">
                        <w:pPr>
                          <w:pStyle w:val="14"/>
                          <w:tabs>
                            <w:tab w:val="clear" w:pos="0"/>
                          </w:tabs>
                          <w:jc w:val="center"/>
                        </w:pPr>
                        <w:r>
                          <w:fldChar w:fldCharType="begin"/>
                        </w:r>
                        <w:r>
                          <w:instrText xml:space="preserve">PAGE   \* MERGEFORMAT</w:instrText>
                        </w:r>
                        <w:r>
                          <w:fldChar w:fldCharType="separate"/>
                        </w:r>
                        <w:r>
                          <w:t>I</w:t>
                        </w:r>
                        <w:r>
                          <w:fldChar w:fldCharType="end"/>
                        </w:r>
                      </w:p>
                    </w:sdtContent>
                  </w:sdt>
                  <w:p w14:paraId="1E3643F3">
                    <w:pPr>
                      <w:ind w:firstLine="640"/>
                    </w:pP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F8B91">
    <w:pPr>
      <w:pStyle w:val="14"/>
      <w:tabs>
        <w:tab w:val="clear" w:pos="0"/>
      </w:tabs>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F32073">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2F32073">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B8C87">
    <w:pPr>
      <w:pStyle w:val="15"/>
      <w:ind w:firstLine="420"/>
      <w:rPr>
        <w:sz w:val="21"/>
        <w:szCs w:val="21"/>
      </w:rPr>
    </w:pPr>
    <w:r>
      <w:rPr>
        <w:rFonts w:hint="eastAsia"/>
        <w:sz w:val="21"/>
        <w:szCs w:val="21"/>
      </w:rPr>
      <w:t>第五师双河市“十五五”数字经济发展规划</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3F6B2">
    <w:pPr>
      <w:pStyle w:val="15"/>
      <w:ind w:firstLine="420"/>
      <w:rPr>
        <w:sz w:val="21"/>
        <w:szCs w:val="21"/>
      </w:rPr>
    </w:pPr>
    <w:r>
      <w:rPr>
        <w:rFonts w:hint="eastAsia"/>
        <w:sz w:val="21"/>
        <w:szCs w:val="21"/>
      </w:rPr>
      <w:t>第五师双河市“十五五”数字经济发展规划</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5A40B">
    <w:pPr>
      <w:pStyle w:val="1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C195C0"/>
    <w:multiLevelType w:val="multilevel"/>
    <w:tmpl w:val="89C195C0"/>
    <w:lvl w:ilvl="0" w:tentative="0">
      <w:start w:val="1"/>
      <w:numFmt w:val="chineseCounting"/>
      <w:suff w:val="nothing"/>
      <w:lvlText w:val="（%1）"/>
      <w:lvlJc w:val="left"/>
      <w:pPr>
        <w:ind w:left="0" w:firstLine="400"/>
      </w:pPr>
      <w:rPr>
        <w:rFonts w:hint="eastAsia"/>
      </w:rPr>
    </w:lvl>
    <w:lvl w:ilvl="1" w:tentative="0">
      <w:start w:val="1"/>
      <w:numFmt w:val="decimal"/>
      <w:isLgl/>
      <w:suff w:val="nothing"/>
      <w:lvlText w:val="%2."/>
      <w:lvlJc w:val="left"/>
      <w:pPr>
        <w:tabs>
          <w:tab w:val="left" w:pos="0"/>
        </w:tabs>
        <w:ind w:left="0" w:firstLine="400"/>
      </w:pPr>
      <w:rPr>
        <w:rFonts w:hint="eastAsia"/>
      </w:rPr>
    </w:lvl>
    <w:lvl w:ilvl="2" w:tentative="0">
      <w:start w:val="1"/>
      <w:numFmt w:val="decimal"/>
      <w:isLgl/>
      <w:suff w:val="nothing"/>
      <w:lvlText w:val="%2.%3."/>
      <w:lvlJc w:val="left"/>
      <w:pPr>
        <w:tabs>
          <w:tab w:val="left" w:pos="0"/>
        </w:tabs>
        <w:ind w:left="0" w:firstLine="402"/>
      </w:pPr>
      <w:rPr>
        <w:rFonts w:hint="eastAsia"/>
      </w:rPr>
    </w:lvl>
    <w:lvl w:ilvl="3" w:tentative="0">
      <w:start w:val="1"/>
      <w:numFmt w:val="decimal"/>
      <w:suff w:val="nothing"/>
      <w:lvlText w:val="%2.%3.%4."/>
      <w:lvlJc w:val="left"/>
      <w:pPr>
        <w:tabs>
          <w:tab w:val="left" w:pos="0"/>
        </w:tabs>
        <w:ind w:left="0" w:firstLine="402"/>
      </w:pPr>
      <w:rPr>
        <w:rFonts w:hint="eastAsia" w:ascii="宋体" w:hAnsi="宋体" w:eastAsia="宋体" w:cs="宋体"/>
      </w:rPr>
    </w:lvl>
    <w:lvl w:ilvl="4" w:tentative="0">
      <w:start w:val="1"/>
      <w:numFmt w:val="decimal"/>
      <w:pStyle w:val="6"/>
      <w:suff w:val="nothing"/>
      <w:lvlText w:val="%2.%3.%4.%5."/>
      <w:lvlJc w:val="left"/>
      <w:pPr>
        <w:tabs>
          <w:tab w:val="left" w:pos="0"/>
        </w:tabs>
        <w:ind w:left="0" w:firstLine="402"/>
      </w:pPr>
      <w:rPr>
        <w:rFonts w:hint="eastAsia"/>
      </w:rPr>
    </w:lvl>
    <w:lvl w:ilvl="5" w:tentative="0">
      <w:start w:val="1"/>
      <w:numFmt w:val="decimal"/>
      <w:pStyle w:val="7"/>
      <w:suff w:val="nothing"/>
      <w:lvlText w:val="%2.%3.%4.%5.%6."/>
      <w:lvlJc w:val="left"/>
      <w:pPr>
        <w:ind w:left="0" w:firstLine="402"/>
      </w:pPr>
      <w:rPr>
        <w:rFonts w:hint="eastAsia"/>
      </w:rPr>
    </w:lvl>
    <w:lvl w:ilvl="6" w:tentative="0">
      <w:start w:val="1"/>
      <w:numFmt w:val="decimal"/>
      <w:pStyle w:val="8"/>
      <w:suff w:val="nothing"/>
      <w:lvlText w:val="%2.%3.%4.%5.%6.%7."/>
      <w:lvlJc w:val="left"/>
      <w:pPr>
        <w:tabs>
          <w:tab w:val="left" w:pos="0"/>
        </w:tabs>
        <w:ind w:left="0" w:firstLine="402"/>
      </w:pPr>
      <w:rPr>
        <w:rFonts w:hint="eastAsia"/>
      </w:rPr>
    </w:lvl>
    <w:lvl w:ilvl="7" w:tentative="0">
      <w:start w:val="1"/>
      <w:numFmt w:val="decimal"/>
      <w:pStyle w:val="9"/>
      <w:suff w:val="nothing"/>
      <w:lvlText w:val="%3.%4.%5.%6.%7.%8"/>
      <w:lvlJc w:val="left"/>
      <w:pPr>
        <w:ind w:left="0" w:firstLine="402"/>
      </w:pPr>
      <w:rPr>
        <w:rFonts w:hint="eastAsia" w:ascii="黑体" w:hAnsi="黑体" w:eastAsia="黑体" w:cs="黑体"/>
      </w:rPr>
    </w:lvl>
    <w:lvl w:ilvl="8" w:tentative="0">
      <w:start w:val="1"/>
      <w:numFmt w:val="lowerRoman"/>
      <w:suff w:val="nothing"/>
      <w:lvlText w:val="%9．"/>
      <w:lvlJc w:val="left"/>
      <w:pPr>
        <w:ind w:left="0" w:firstLine="402"/>
      </w:pPr>
      <w:rPr>
        <w:rFonts w:hint="eastAsia"/>
      </w:rPr>
    </w:lvl>
  </w:abstractNum>
  <w:abstractNum w:abstractNumId="1">
    <w:nsid w:val="EC6AB73B"/>
    <w:multiLevelType w:val="multilevel"/>
    <w:tmpl w:val="EC6AB73B"/>
    <w:lvl w:ilvl="0" w:tentative="0">
      <w:start w:val="1"/>
      <w:numFmt w:val="decimal"/>
      <w:suff w:val="nothing"/>
      <w:lvlText w:val="%1."/>
      <w:lvlJc w:val="left"/>
      <w:pPr>
        <w:tabs>
          <w:tab w:val="left" w:pos="0"/>
        </w:tabs>
        <w:ind w:left="420" w:hanging="420"/>
      </w:pPr>
      <w:rPr>
        <w:rFonts w:hint="default" w:ascii="黑体" w:hAnsi="黑体" w:eastAsia="黑体" w:cs="黑体"/>
        <w:sz w:val="32"/>
        <w:szCs w:val="32"/>
      </w:rPr>
    </w:lvl>
    <w:lvl w:ilvl="1" w:tentative="0">
      <w:start w:val="1"/>
      <w:numFmt w:val="decimal"/>
      <w:suff w:val="space"/>
      <w:lvlText w:val="%1.%2"/>
      <w:lvlJc w:val="left"/>
      <w:pPr>
        <w:tabs>
          <w:tab w:val="left" w:pos="420"/>
        </w:tabs>
        <w:ind w:left="420" w:hanging="420"/>
      </w:pPr>
      <w:rPr>
        <w:rFonts w:hint="default" w:ascii="宋体" w:hAnsi="宋体" w:eastAsia="宋体" w:cs="宋体"/>
        <w:sz w:val="28"/>
        <w:szCs w:val="28"/>
      </w:rPr>
    </w:lvl>
    <w:lvl w:ilvl="2" w:tentative="0">
      <w:start w:val="1"/>
      <w:numFmt w:val="decimal"/>
      <w:suff w:val="space"/>
      <w:lvlText w:val="%1.%2.%3"/>
      <w:lvlJc w:val="left"/>
      <w:pPr>
        <w:tabs>
          <w:tab w:val="left" w:pos="420"/>
        </w:tabs>
        <w:ind w:left="420" w:hanging="420"/>
      </w:pPr>
      <w:rPr>
        <w:rFonts w:hint="default" w:ascii="宋体" w:hAnsi="宋体" w:eastAsia="宋体" w:cs="宋体"/>
        <w:b/>
        <w:bCs/>
        <w:sz w:val="28"/>
        <w:szCs w:val="28"/>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05F6FE9E"/>
    <w:multiLevelType w:val="multilevel"/>
    <w:tmpl w:val="05F6FE9E"/>
    <w:lvl w:ilvl="0" w:tentative="0">
      <w:start w:val="1"/>
      <w:numFmt w:val="chineseCounting"/>
      <w:pStyle w:val="2"/>
      <w:suff w:val="nothing"/>
      <w:lvlText w:val="第%1章　"/>
      <w:lvlJc w:val="left"/>
      <w:pPr>
        <w:tabs>
          <w:tab w:val="left" w:pos="0"/>
        </w:tabs>
        <w:ind w:left="0" w:firstLine="0"/>
      </w:pPr>
      <w:rPr>
        <w:rFonts w:hint="eastAsia"/>
      </w:rPr>
    </w:lvl>
    <w:lvl w:ilvl="1" w:tentative="0">
      <w:start w:val="1"/>
      <w:numFmt w:val="chineseCounting"/>
      <w:pStyle w:val="3"/>
      <w:suff w:val="nothing"/>
      <w:lvlText w:val="第%2节　"/>
      <w:lvlJc w:val="left"/>
      <w:pPr>
        <w:tabs>
          <w:tab w:val="left" w:pos="0"/>
        </w:tabs>
        <w:ind w:left="0" w:firstLine="0"/>
      </w:pPr>
      <w:rPr>
        <w:rFonts w:hint="eastAsia"/>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1"/>
  <w:documentProtection w:enforcement="0"/>
  <w:defaultTabStop w:val="0"/>
  <w:evenAndOddHeaders w:val="1"/>
  <w:drawingGridHorizontalSpacing w:val="160"/>
  <w:drawingGridVerticalSpacing w:val="43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9DA"/>
    <w:rsid w:val="00001113"/>
    <w:rsid w:val="000069AB"/>
    <w:rsid w:val="00011FB1"/>
    <w:rsid w:val="00020DDD"/>
    <w:rsid w:val="00024A3E"/>
    <w:rsid w:val="0002655B"/>
    <w:rsid w:val="000369DA"/>
    <w:rsid w:val="000435EE"/>
    <w:rsid w:val="00044EF2"/>
    <w:rsid w:val="00047EA3"/>
    <w:rsid w:val="000527AD"/>
    <w:rsid w:val="0005618A"/>
    <w:rsid w:val="00060CB8"/>
    <w:rsid w:val="000659D8"/>
    <w:rsid w:val="00070F5A"/>
    <w:rsid w:val="00071E5E"/>
    <w:rsid w:val="000734BF"/>
    <w:rsid w:val="00075312"/>
    <w:rsid w:val="000773F2"/>
    <w:rsid w:val="0008094A"/>
    <w:rsid w:val="00083234"/>
    <w:rsid w:val="000867A0"/>
    <w:rsid w:val="0008773A"/>
    <w:rsid w:val="000A1B65"/>
    <w:rsid w:val="000A4DCF"/>
    <w:rsid w:val="000A5685"/>
    <w:rsid w:val="000B2051"/>
    <w:rsid w:val="000B7D0D"/>
    <w:rsid w:val="000C27FE"/>
    <w:rsid w:val="000C4041"/>
    <w:rsid w:val="000D02DA"/>
    <w:rsid w:val="000D23A2"/>
    <w:rsid w:val="000D5868"/>
    <w:rsid w:val="000D63DA"/>
    <w:rsid w:val="000E2D75"/>
    <w:rsid w:val="000E3439"/>
    <w:rsid w:val="000E3FC3"/>
    <w:rsid w:val="000E55C7"/>
    <w:rsid w:val="000E77E8"/>
    <w:rsid w:val="000F22B5"/>
    <w:rsid w:val="000F40FF"/>
    <w:rsid w:val="000F5639"/>
    <w:rsid w:val="00101CD5"/>
    <w:rsid w:val="00106457"/>
    <w:rsid w:val="00107607"/>
    <w:rsid w:val="001120F7"/>
    <w:rsid w:val="001145F8"/>
    <w:rsid w:val="0011624A"/>
    <w:rsid w:val="00121226"/>
    <w:rsid w:val="001447F4"/>
    <w:rsid w:val="001549BB"/>
    <w:rsid w:val="00154FE2"/>
    <w:rsid w:val="00161B1D"/>
    <w:rsid w:val="00167130"/>
    <w:rsid w:val="00170117"/>
    <w:rsid w:val="00187965"/>
    <w:rsid w:val="001B7006"/>
    <w:rsid w:val="001B7AA6"/>
    <w:rsid w:val="001C58D1"/>
    <w:rsid w:val="001D13C9"/>
    <w:rsid w:val="001D535B"/>
    <w:rsid w:val="001D6A15"/>
    <w:rsid w:val="001E1DE6"/>
    <w:rsid w:val="001F0A8C"/>
    <w:rsid w:val="001F14C5"/>
    <w:rsid w:val="001F21E8"/>
    <w:rsid w:val="001F2CB9"/>
    <w:rsid w:val="001F37F9"/>
    <w:rsid w:val="001F3ABE"/>
    <w:rsid w:val="001F3FB8"/>
    <w:rsid w:val="001F4C1A"/>
    <w:rsid w:val="001F6BE5"/>
    <w:rsid w:val="0021059A"/>
    <w:rsid w:val="00217237"/>
    <w:rsid w:val="002223FA"/>
    <w:rsid w:val="00225946"/>
    <w:rsid w:val="00230E60"/>
    <w:rsid w:val="0023138F"/>
    <w:rsid w:val="00233151"/>
    <w:rsid w:val="00233D6B"/>
    <w:rsid w:val="0023489C"/>
    <w:rsid w:val="00256C88"/>
    <w:rsid w:val="002600B0"/>
    <w:rsid w:val="00271C73"/>
    <w:rsid w:val="0027658F"/>
    <w:rsid w:val="002767B4"/>
    <w:rsid w:val="0027759E"/>
    <w:rsid w:val="00281633"/>
    <w:rsid w:val="00282A02"/>
    <w:rsid w:val="00282BA1"/>
    <w:rsid w:val="002831B2"/>
    <w:rsid w:val="00286198"/>
    <w:rsid w:val="00287C99"/>
    <w:rsid w:val="00292E0B"/>
    <w:rsid w:val="00297613"/>
    <w:rsid w:val="002A07C2"/>
    <w:rsid w:val="002A5545"/>
    <w:rsid w:val="002A73E7"/>
    <w:rsid w:val="002B3074"/>
    <w:rsid w:val="002B3CD7"/>
    <w:rsid w:val="002B4355"/>
    <w:rsid w:val="002B5110"/>
    <w:rsid w:val="002C11F0"/>
    <w:rsid w:val="002C1EE6"/>
    <w:rsid w:val="002C236F"/>
    <w:rsid w:val="002C6659"/>
    <w:rsid w:val="002D1DD3"/>
    <w:rsid w:val="002D2595"/>
    <w:rsid w:val="002D5EA2"/>
    <w:rsid w:val="002E7FE1"/>
    <w:rsid w:val="002F2AB3"/>
    <w:rsid w:val="002F3B8B"/>
    <w:rsid w:val="002F68AB"/>
    <w:rsid w:val="00301164"/>
    <w:rsid w:val="00311A5F"/>
    <w:rsid w:val="003140FA"/>
    <w:rsid w:val="003168A3"/>
    <w:rsid w:val="003210BF"/>
    <w:rsid w:val="003263DF"/>
    <w:rsid w:val="003275C3"/>
    <w:rsid w:val="00330F80"/>
    <w:rsid w:val="00340D71"/>
    <w:rsid w:val="003475BA"/>
    <w:rsid w:val="0036133E"/>
    <w:rsid w:val="0036414D"/>
    <w:rsid w:val="003651CD"/>
    <w:rsid w:val="0036610A"/>
    <w:rsid w:val="0036762E"/>
    <w:rsid w:val="00372D34"/>
    <w:rsid w:val="00374C33"/>
    <w:rsid w:val="00380FFD"/>
    <w:rsid w:val="00381EF1"/>
    <w:rsid w:val="00382DEE"/>
    <w:rsid w:val="003A0431"/>
    <w:rsid w:val="003A5F26"/>
    <w:rsid w:val="003B0554"/>
    <w:rsid w:val="003B2F66"/>
    <w:rsid w:val="003B51FA"/>
    <w:rsid w:val="003B5F54"/>
    <w:rsid w:val="003B6B31"/>
    <w:rsid w:val="003C3302"/>
    <w:rsid w:val="003D2AF3"/>
    <w:rsid w:val="003D3768"/>
    <w:rsid w:val="003D5AE3"/>
    <w:rsid w:val="003D7110"/>
    <w:rsid w:val="003E08E1"/>
    <w:rsid w:val="003E4055"/>
    <w:rsid w:val="003E55D8"/>
    <w:rsid w:val="003F0636"/>
    <w:rsid w:val="003F06AE"/>
    <w:rsid w:val="003F2125"/>
    <w:rsid w:val="003F5F2A"/>
    <w:rsid w:val="003F69C9"/>
    <w:rsid w:val="0040003D"/>
    <w:rsid w:val="00400980"/>
    <w:rsid w:val="00404FB8"/>
    <w:rsid w:val="004107DA"/>
    <w:rsid w:val="00416146"/>
    <w:rsid w:val="00416380"/>
    <w:rsid w:val="004224CB"/>
    <w:rsid w:val="004255F9"/>
    <w:rsid w:val="004278D9"/>
    <w:rsid w:val="0043450C"/>
    <w:rsid w:val="0044050A"/>
    <w:rsid w:val="00442A46"/>
    <w:rsid w:val="00446A34"/>
    <w:rsid w:val="00447598"/>
    <w:rsid w:val="004552CC"/>
    <w:rsid w:val="004612EA"/>
    <w:rsid w:val="004630F5"/>
    <w:rsid w:val="00472774"/>
    <w:rsid w:val="00472EC2"/>
    <w:rsid w:val="004732A3"/>
    <w:rsid w:val="0047387B"/>
    <w:rsid w:val="00480061"/>
    <w:rsid w:val="00496493"/>
    <w:rsid w:val="004B4FBF"/>
    <w:rsid w:val="004C0075"/>
    <w:rsid w:val="004C2BBF"/>
    <w:rsid w:val="004C5C04"/>
    <w:rsid w:val="004C5E93"/>
    <w:rsid w:val="004C78D5"/>
    <w:rsid w:val="004D254F"/>
    <w:rsid w:val="004D4C95"/>
    <w:rsid w:val="004E15E5"/>
    <w:rsid w:val="004E616D"/>
    <w:rsid w:val="004F2B08"/>
    <w:rsid w:val="004F48FE"/>
    <w:rsid w:val="004F543C"/>
    <w:rsid w:val="00500B95"/>
    <w:rsid w:val="00500DA9"/>
    <w:rsid w:val="0050714E"/>
    <w:rsid w:val="005113B0"/>
    <w:rsid w:val="005114C3"/>
    <w:rsid w:val="00511A50"/>
    <w:rsid w:val="00517683"/>
    <w:rsid w:val="0052313C"/>
    <w:rsid w:val="00527555"/>
    <w:rsid w:val="00532613"/>
    <w:rsid w:val="00535E7A"/>
    <w:rsid w:val="0054099D"/>
    <w:rsid w:val="00545A46"/>
    <w:rsid w:val="0054761B"/>
    <w:rsid w:val="005479F1"/>
    <w:rsid w:val="00553BF1"/>
    <w:rsid w:val="00554F83"/>
    <w:rsid w:val="00565841"/>
    <w:rsid w:val="0056747C"/>
    <w:rsid w:val="00574808"/>
    <w:rsid w:val="005749D7"/>
    <w:rsid w:val="005754F1"/>
    <w:rsid w:val="00577189"/>
    <w:rsid w:val="00581202"/>
    <w:rsid w:val="00582258"/>
    <w:rsid w:val="00591C07"/>
    <w:rsid w:val="0059266C"/>
    <w:rsid w:val="00593C6F"/>
    <w:rsid w:val="005A142D"/>
    <w:rsid w:val="005A2796"/>
    <w:rsid w:val="005A6FC1"/>
    <w:rsid w:val="005B76F0"/>
    <w:rsid w:val="005C36B6"/>
    <w:rsid w:val="005C5635"/>
    <w:rsid w:val="005C63DF"/>
    <w:rsid w:val="005C7730"/>
    <w:rsid w:val="005E1C26"/>
    <w:rsid w:val="005E52FA"/>
    <w:rsid w:val="005E6765"/>
    <w:rsid w:val="005F130D"/>
    <w:rsid w:val="005F382D"/>
    <w:rsid w:val="005F3A73"/>
    <w:rsid w:val="006024F5"/>
    <w:rsid w:val="00605740"/>
    <w:rsid w:val="006066FE"/>
    <w:rsid w:val="006103CB"/>
    <w:rsid w:val="006116FF"/>
    <w:rsid w:val="00612345"/>
    <w:rsid w:val="00612585"/>
    <w:rsid w:val="00614579"/>
    <w:rsid w:val="0061752C"/>
    <w:rsid w:val="00627788"/>
    <w:rsid w:val="00633420"/>
    <w:rsid w:val="006418A2"/>
    <w:rsid w:val="00643E06"/>
    <w:rsid w:val="0064490F"/>
    <w:rsid w:val="00661709"/>
    <w:rsid w:val="00661B21"/>
    <w:rsid w:val="00662A31"/>
    <w:rsid w:val="00666B69"/>
    <w:rsid w:val="00691D78"/>
    <w:rsid w:val="00694EE6"/>
    <w:rsid w:val="006A5BDC"/>
    <w:rsid w:val="006B6A8F"/>
    <w:rsid w:val="006C2FC9"/>
    <w:rsid w:val="006C694F"/>
    <w:rsid w:val="006D0CE9"/>
    <w:rsid w:val="006D1EEB"/>
    <w:rsid w:val="006D2A98"/>
    <w:rsid w:val="006D392B"/>
    <w:rsid w:val="006D551B"/>
    <w:rsid w:val="006E2884"/>
    <w:rsid w:val="006E40F7"/>
    <w:rsid w:val="006E7205"/>
    <w:rsid w:val="006F0089"/>
    <w:rsid w:val="006F2982"/>
    <w:rsid w:val="006F582B"/>
    <w:rsid w:val="00705F76"/>
    <w:rsid w:val="00715477"/>
    <w:rsid w:val="00715A6E"/>
    <w:rsid w:val="007238B5"/>
    <w:rsid w:val="007251F6"/>
    <w:rsid w:val="00725C37"/>
    <w:rsid w:val="00733E26"/>
    <w:rsid w:val="007343EC"/>
    <w:rsid w:val="00735C8E"/>
    <w:rsid w:val="007366F1"/>
    <w:rsid w:val="00736A4A"/>
    <w:rsid w:val="00741CC2"/>
    <w:rsid w:val="00744BC8"/>
    <w:rsid w:val="0075077E"/>
    <w:rsid w:val="00771DF4"/>
    <w:rsid w:val="00773DBC"/>
    <w:rsid w:val="00783A58"/>
    <w:rsid w:val="007871E7"/>
    <w:rsid w:val="007A3712"/>
    <w:rsid w:val="007A38F3"/>
    <w:rsid w:val="007B2DC6"/>
    <w:rsid w:val="007C2CDB"/>
    <w:rsid w:val="007D064A"/>
    <w:rsid w:val="007D0E5A"/>
    <w:rsid w:val="007E5E52"/>
    <w:rsid w:val="007F29E5"/>
    <w:rsid w:val="007F7BF0"/>
    <w:rsid w:val="00802E45"/>
    <w:rsid w:val="00803D33"/>
    <w:rsid w:val="0081196B"/>
    <w:rsid w:val="00814795"/>
    <w:rsid w:val="00815E43"/>
    <w:rsid w:val="00820A56"/>
    <w:rsid w:val="008333FB"/>
    <w:rsid w:val="008336A8"/>
    <w:rsid w:val="00833D74"/>
    <w:rsid w:val="00846628"/>
    <w:rsid w:val="008540D2"/>
    <w:rsid w:val="00854B38"/>
    <w:rsid w:val="0085768F"/>
    <w:rsid w:val="008623CD"/>
    <w:rsid w:val="008643CA"/>
    <w:rsid w:val="00865FDB"/>
    <w:rsid w:val="00870864"/>
    <w:rsid w:val="00876727"/>
    <w:rsid w:val="008846C0"/>
    <w:rsid w:val="00885B23"/>
    <w:rsid w:val="00887A26"/>
    <w:rsid w:val="00890BC2"/>
    <w:rsid w:val="00891A88"/>
    <w:rsid w:val="00892615"/>
    <w:rsid w:val="00893649"/>
    <w:rsid w:val="00895C5C"/>
    <w:rsid w:val="008B360F"/>
    <w:rsid w:val="008B61FC"/>
    <w:rsid w:val="008B664D"/>
    <w:rsid w:val="008B6E14"/>
    <w:rsid w:val="008C2864"/>
    <w:rsid w:val="008C3081"/>
    <w:rsid w:val="008C63FE"/>
    <w:rsid w:val="008D5E10"/>
    <w:rsid w:val="008D7E77"/>
    <w:rsid w:val="008E1893"/>
    <w:rsid w:val="008E3340"/>
    <w:rsid w:val="008F3501"/>
    <w:rsid w:val="008F5A15"/>
    <w:rsid w:val="00902940"/>
    <w:rsid w:val="00913995"/>
    <w:rsid w:val="0091463A"/>
    <w:rsid w:val="00917D00"/>
    <w:rsid w:val="00922A1C"/>
    <w:rsid w:val="00924B0F"/>
    <w:rsid w:val="009311F7"/>
    <w:rsid w:val="0093183A"/>
    <w:rsid w:val="00933243"/>
    <w:rsid w:val="00940419"/>
    <w:rsid w:val="00940DE7"/>
    <w:rsid w:val="0095180E"/>
    <w:rsid w:val="00953D9C"/>
    <w:rsid w:val="009547B2"/>
    <w:rsid w:val="00954E6A"/>
    <w:rsid w:val="00957707"/>
    <w:rsid w:val="00961188"/>
    <w:rsid w:val="009613A2"/>
    <w:rsid w:val="00961E46"/>
    <w:rsid w:val="00973AE2"/>
    <w:rsid w:val="00976AC8"/>
    <w:rsid w:val="009819DF"/>
    <w:rsid w:val="00983249"/>
    <w:rsid w:val="00991583"/>
    <w:rsid w:val="009A00C3"/>
    <w:rsid w:val="009A13B3"/>
    <w:rsid w:val="009A2F9E"/>
    <w:rsid w:val="009A3FCE"/>
    <w:rsid w:val="009B2A0D"/>
    <w:rsid w:val="009B39C2"/>
    <w:rsid w:val="009C51A4"/>
    <w:rsid w:val="009E2342"/>
    <w:rsid w:val="009E4239"/>
    <w:rsid w:val="009F3EB7"/>
    <w:rsid w:val="009F6E81"/>
    <w:rsid w:val="00A04F67"/>
    <w:rsid w:val="00A11ED9"/>
    <w:rsid w:val="00A1230D"/>
    <w:rsid w:val="00A126CB"/>
    <w:rsid w:val="00A179C6"/>
    <w:rsid w:val="00A23E57"/>
    <w:rsid w:val="00A26B5D"/>
    <w:rsid w:val="00A300B5"/>
    <w:rsid w:val="00A3432F"/>
    <w:rsid w:val="00A42231"/>
    <w:rsid w:val="00A44373"/>
    <w:rsid w:val="00A524CF"/>
    <w:rsid w:val="00A54158"/>
    <w:rsid w:val="00A544BA"/>
    <w:rsid w:val="00A61C60"/>
    <w:rsid w:val="00A61EBE"/>
    <w:rsid w:val="00A63956"/>
    <w:rsid w:val="00A64065"/>
    <w:rsid w:val="00A640BA"/>
    <w:rsid w:val="00A6740A"/>
    <w:rsid w:val="00A7143D"/>
    <w:rsid w:val="00A71A41"/>
    <w:rsid w:val="00A744DA"/>
    <w:rsid w:val="00A7744A"/>
    <w:rsid w:val="00A77A2C"/>
    <w:rsid w:val="00A83C9D"/>
    <w:rsid w:val="00A9257E"/>
    <w:rsid w:val="00AA02E5"/>
    <w:rsid w:val="00AB0C4F"/>
    <w:rsid w:val="00AB3DA6"/>
    <w:rsid w:val="00AC280F"/>
    <w:rsid w:val="00AC4CBB"/>
    <w:rsid w:val="00AC79C7"/>
    <w:rsid w:val="00AD6D7E"/>
    <w:rsid w:val="00AF1390"/>
    <w:rsid w:val="00AF3652"/>
    <w:rsid w:val="00B108CF"/>
    <w:rsid w:val="00B14E63"/>
    <w:rsid w:val="00B20297"/>
    <w:rsid w:val="00B21DC6"/>
    <w:rsid w:val="00B23BEB"/>
    <w:rsid w:val="00B32EBB"/>
    <w:rsid w:val="00B3767C"/>
    <w:rsid w:val="00B44CCB"/>
    <w:rsid w:val="00B50BF1"/>
    <w:rsid w:val="00B52DBC"/>
    <w:rsid w:val="00B5748C"/>
    <w:rsid w:val="00B60144"/>
    <w:rsid w:val="00B61BB2"/>
    <w:rsid w:val="00B61E96"/>
    <w:rsid w:val="00B653EE"/>
    <w:rsid w:val="00B6603D"/>
    <w:rsid w:val="00B665F1"/>
    <w:rsid w:val="00B72063"/>
    <w:rsid w:val="00B7302D"/>
    <w:rsid w:val="00B7581C"/>
    <w:rsid w:val="00B77593"/>
    <w:rsid w:val="00B81238"/>
    <w:rsid w:val="00B907D7"/>
    <w:rsid w:val="00B907EC"/>
    <w:rsid w:val="00B91637"/>
    <w:rsid w:val="00B92200"/>
    <w:rsid w:val="00B936CF"/>
    <w:rsid w:val="00BB450A"/>
    <w:rsid w:val="00BB46B4"/>
    <w:rsid w:val="00BD7A8D"/>
    <w:rsid w:val="00BD7E4D"/>
    <w:rsid w:val="00BE054E"/>
    <w:rsid w:val="00BE736C"/>
    <w:rsid w:val="00BF0A10"/>
    <w:rsid w:val="00BF183C"/>
    <w:rsid w:val="00BF206C"/>
    <w:rsid w:val="00BF6B40"/>
    <w:rsid w:val="00C13F28"/>
    <w:rsid w:val="00C202F3"/>
    <w:rsid w:val="00C3129F"/>
    <w:rsid w:val="00C4096D"/>
    <w:rsid w:val="00C53352"/>
    <w:rsid w:val="00C55F61"/>
    <w:rsid w:val="00C62890"/>
    <w:rsid w:val="00C70F62"/>
    <w:rsid w:val="00C7137F"/>
    <w:rsid w:val="00C73225"/>
    <w:rsid w:val="00C77ECB"/>
    <w:rsid w:val="00C80594"/>
    <w:rsid w:val="00C868F2"/>
    <w:rsid w:val="00C86B18"/>
    <w:rsid w:val="00C9118F"/>
    <w:rsid w:val="00C96579"/>
    <w:rsid w:val="00CA23AC"/>
    <w:rsid w:val="00CA69B1"/>
    <w:rsid w:val="00CB18A5"/>
    <w:rsid w:val="00CB20A3"/>
    <w:rsid w:val="00CB38ED"/>
    <w:rsid w:val="00CB5CE5"/>
    <w:rsid w:val="00CC11C6"/>
    <w:rsid w:val="00CC216E"/>
    <w:rsid w:val="00CC5FD7"/>
    <w:rsid w:val="00CC7F77"/>
    <w:rsid w:val="00CD0294"/>
    <w:rsid w:val="00CD1788"/>
    <w:rsid w:val="00CD5254"/>
    <w:rsid w:val="00CD7545"/>
    <w:rsid w:val="00CD7AC5"/>
    <w:rsid w:val="00CE0FA0"/>
    <w:rsid w:val="00CE1998"/>
    <w:rsid w:val="00CE6E18"/>
    <w:rsid w:val="00CE79DA"/>
    <w:rsid w:val="00CF6771"/>
    <w:rsid w:val="00D01577"/>
    <w:rsid w:val="00D04014"/>
    <w:rsid w:val="00D07560"/>
    <w:rsid w:val="00D12005"/>
    <w:rsid w:val="00D12361"/>
    <w:rsid w:val="00D1274D"/>
    <w:rsid w:val="00D14A30"/>
    <w:rsid w:val="00D15BAC"/>
    <w:rsid w:val="00D2192F"/>
    <w:rsid w:val="00D32901"/>
    <w:rsid w:val="00D500B3"/>
    <w:rsid w:val="00D5028D"/>
    <w:rsid w:val="00D5542C"/>
    <w:rsid w:val="00D71313"/>
    <w:rsid w:val="00D806B2"/>
    <w:rsid w:val="00D80DA9"/>
    <w:rsid w:val="00D86A82"/>
    <w:rsid w:val="00D927B1"/>
    <w:rsid w:val="00DA25B1"/>
    <w:rsid w:val="00DA51CA"/>
    <w:rsid w:val="00DA59A8"/>
    <w:rsid w:val="00DB0934"/>
    <w:rsid w:val="00DB1BFC"/>
    <w:rsid w:val="00DB1F42"/>
    <w:rsid w:val="00DC0C14"/>
    <w:rsid w:val="00DD29AC"/>
    <w:rsid w:val="00DD2ADD"/>
    <w:rsid w:val="00DE505A"/>
    <w:rsid w:val="00DE671F"/>
    <w:rsid w:val="00DF5B39"/>
    <w:rsid w:val="00E02625"/>
    <w:rsid w:val="00E113FB"/>
    <w:rsid w:val="00E15F90"/>
    <w:rsid w:val="00E16EAC"/>
    <w:rsid w:val="00E2377A"/>
    <w:rsid w:val="00E24209"/>
    <w:rsid w:val="00E2670B"/>
    <w:rsid w:val="00E432F5"/>
    <w:rsid w:val="00E46AB9"/>
    <w:rsid w:val="00E46EDE"/>
    <w:rsid w:val="00E50651"/>
    <w:rsid w:val="00E54435"/>
    <w:rsid w:val="00E679EA"/>
    <w:rsid w:val="00E716CD"/>
    <w:rsid w:val="00E7708A"/>
    <w:rsid w:val="00E777E8"/>
    <w:rsid w:val="00E80A6B"/>
    <w:rsid w:val="00E83177"/>
    <w:rsid w:val="00E85F31"/>
    <w:rsid w:val="00E87D95"/>
    <w:rsid w:val="00E90F62"/>
    <w:rsid w:val="00E93AC1"/>
    <w:rsid w:val="00EA4EB8"/>
    <w:rsid w:val="00EA6156"/>
    <w:rsid w:val="00EB2701"/>
    <w:rsid w:val="00EB7A7D"/>
    <w:rsid w:val="00EB7E60"/>
    <w:rsid w:val="00EC07BE"/>
    <w:rsid w:val="00EC7DF2"/>
    <w:rsid w:val="00ED2D37"/>
    <w:rsid w:val="00F025B2"/>
    <w:rsid w:val="00F04593"/>
    <w:rsid w:val="00F074E2"/>
    <w:rsid w:val="00F2308C"/>
    <w:rsid w:val="00F257D3"/>
    <w:rsid w:val="00F321B3"/>
    <w:rsid w:val="00F3615A"/>
    <w:rsid w:val="00F437ED"/>
    <w:rsid w:val="00F46927"/>
    <w:rsid w:val="00F508C0"/>
    <w:rsid w:val="00F52A8D"/>
    <w:rsid w:val="00F60BD4"/>
    <w:rsid w:val="00F61904"/>
    <w:rsid w:val="00F72C26"/>
    <w:rsid w:val="00F86107"/>
    <w:rsid w:val="00F96A3C"/>
    <w:rsid w:val="00FA03FC"/>
    <w:rsid w:val="00FA41CF"/>
    <w:rsid w:val="00FA4D3A"/>
    <w:rsid w:val="00FB055F"/>
    <w:rsid w:val="00FB6377"/>
    <w:rsid w:val="00FC161F"/>
    <w:rsid w:val="00FC730D"/>
    <w:rsid w:val="00FD2F8B"/>
    <w:rsid w:val="00FE0421"/>
    <w:rsid w:val="00FE1133"/>
    <w:rsid w:val="00FE2DF0"/>
    <w:rsid w:val="00FF65E2"/>
    <w:rsid w:val="010A6C10"/>
    <w:rsid w:val="010F0D23"/>
    <w:rsid w:val="011C44BE"/>
    <w:rsid w:val="01287E56"/>
    <w:rsid w:val="01372215"/>
    <w:rsid w:val="013F690F"/>
    <w:rsid w:val="016465E1"/>
    <w:rsid w:val="01657C13"/>
    <w:rsid w:val="016908DE"/>
    <w:rsid w:val="01AC5842"/>
    <w:rsid w:val="01B13F71"/>
    <w:rsid w:val="01BD7A4F"/>
    <w:rsid w:val="01C42B8B"/>
    <w:rsid w:val="01C54B55"/>
    <w:rsid w:val="01D95F0B"/>
    <w:rsid w:val="01DC6BF5"/>
    <w:rsid w:val="01DE1C5C"/>
    <w:rsid w:val="01E23011"/>
    <w:rsid w:val="01F01BD2"/>
    <w:rsid w:val="01F571E8"/>
    <w:rsid w:val="02027416"/>
    <w:rsid w:val="02056D00"/>
    <w:rsid w:val="0213766F"/>
    <w:rsid w:val="02181129"/>
    <w:rsid w:val="021F6B64"/>
    <w:rsid w:val="02217FDE"/>
    <w:rsid w:val="022278B2"/>
    <w:rsid w:val="024617F2"/>
    <w:rsid w:val="024E71FD"/>
    <w:rsid w:val="025D4D8E"/>
    <w:rsid w:val="026B74AB"/>
    <w:rsid w:val="026D6C37"/>
    <w:rsid w:val="027520D7"/>
    <w:rsid w:val="027E6E1B"/>
    <w:rsid w:val="027F4D04"/>
    <w:rsid w:val="02824C2E"/>
    <w:rsid w:val="0284231A"/>
    <w:rsid w:val="029A1B3E"/>
    <w:rsid w:val="029F0F02"/>
    <w:rsid w:val="02B5126D"/>
    <w:rsid w:val="02BE582C"/>
    <w:rsid w:val="02CD5A6F"/>
    <w:rsid w:val="02D74B40"/>
    <w:rsid w:val="02DE7C7D"/>
    <w:rsid w:val="02EB4148"/>
    <w:rsid w:val="02F91A08"/>
    <w:rsid w:val="03092820"/>
    <w:rsid w:val="0313544C"/>
    <w:rsid w:val="0317318F"/>
    <w:rsid w:val="03343D40"/>
    <w:rsid w:val="0337738D"/>
    <w:rsid w:val="0341020B"/>
    <w:rsid w:val="034D2BDD"/>
    <w:rsid w:val="03675EC4"/>
    <w:rsid w:val="03683469"/>
    <w:rsid w:val="036F6B27"/>
    <w:rsid w:val="03725347"/>
    <w:rsid w:val="037E4FBC"/>
    <w:rsid w:val="03836A76"/>
    <w:rsid w:val="0388408C"/>
    <w:rsid w:val="038F79E2"/>
    <w:rsid w:val="03936CB9"/>
    <w:rsid w:val="03A50209"/>
    <w:rsid w:val="03A72764"/>
    <w:rsid w:val="03AC1B29"/>
    <w:rsid w:val="03AC7D7B"/>
    <w:rsid w:val="03B629A7"/>
    <w:rsid w:val="03BB6210"/>
    <w:rsid w:val="03C07382"/>
    <w:rsid w:val="03C230FA"/>
    <w:rsid w:val="03C350C4"/>
    <w:rsid w:val="03C6471B"/>
    <w:rsid w:val="03CA0201"/>
    <w:rsid w:val="03CA7149"/>
    <w:rsid w:val="03CC00C8"/>
    <w:rsid w:val="03F4702C"/>
    <w:rsid w:val="03F60FF6"/>
    <w:rsid w:val="03F74790"/>
    <w:rsid w:val="03FD2504"/>
    <w:rsid w:val="04137DFA"/>
    <w:rsid w:val="04294F27"/>
    <w:rsid w:val="042E0790"/>
    <w:rsid w:val="042F4508"/>
    <w:rsid w:val="043438CC"/>
    <w:rsid w:val="04392AA2"/>
    <w:rsid w:val="044B1342"/>
    <w:rsid w:val="04635ABA"/>
    <w:rsid w:val="046C3066"/>
    <w:rsid w:val="046E3282"/>
    <w:rsid w:val="047D5ACF"/>
    <w:rsid w:val="048A0E19"/>
    <w:rsid w:val="048E08C2"/>
    <w:rsid w:val="049329AF"/>
    <w:rsid w:val="04A3117E"/>
    <w:rsid w:val="04A430D0"/>
    <w:rsid w:val="04AE18D1"/>
    <w:rsid w:val="04B35139"/>
    <w:rsid w:val="04C9495C"/>
    <w:rsid w:val="04EA6DAD"/>
    <w:rsid w:val="04FD0162"/>
    <w:rsid w:val="050138D2"/>
    <w:rsid w:val="05080FE1"/>
    <w:rsid w:val="050B0AD1"/>
    <w:rsid w:val="050B287F"/>
    <w:rsid w:val="050C2413"/>
    <w:rsid w:val="052878D5"/>
    <w:rsid w:val="054378A1"/>
    <w:rsid w:val="0547571C"/>
    <w:rsid w:val="0548762F"/>
    <w:rsid w:val="055E0168"/>
    <w:rsid w:val="055E32F7"/>
    <w:rsid w:val="05616943"/>
    <w:rsid w:val="05697348"/>
    <w:rsid w:val="0576276F"/>
    <w:rsid w:val="05793C8D"/>
    <w:rsid w:val="057B5C57"/>
    <w:rsid w:val="058014BF"/>
    <w:rsid w:val="0580326D"/>
    <w:rsid w:val="058C7E64"/>
    <w:rsid w:val="0599432F"/>
    <w:rsid w:val="059A406C"/>
    <w:rsid w:val="05AA6DC9"/>
    <w:rsid w:val="05AC4062"/>
    <w:rsid w:val="05B2163B"/>
    <w:rsid w:val="05B80C59"/>
    <w:rsid w:val="05B9052D"/>
    <w:rsid w:val="05BE5B43"/>
    <w:rsid w:val="05D30172"/>
    <w:rsid w:val="05D9297D"/>
    <w:rsid w:val="05ED01D7"/>
    <w:rsid w:val="05F257ED"/>
    <w:rsid w:val="06023C82"/>
    <w:rsid w:val="06035C4C"/>
    <w:rsid w:val="06043E9E"/>
    <w:rsid w:val="06090CB8"/>
    <w:rsid w:val="060C68AF"/>
    <w:rsid w:val="060F639F"/>
    <w:rsid w:val="061C295B"/>
    <w:rsid w:val="0626406B"/>
    <w:rsid w:val="06293733"/>
    <w:rsid w:val="062A31D9"/>
    <w:rsid w:val="062C6F51"/>
    <w:rsid w:val="06311261"/>
    <w:rsid w:val="063576A3"/>
    <w:rsid w:val="06450013"/>
    <w:rsid w:val="065B3392"/>
    <w:rsid w:val="065F10D4"/>
    <w:rsid w:val="067302D8"/>
    <w:rsid w:val="0680729D"/>
    <w:rsid w:val="068517DD"/>
    <w:rsid w:val="068E3768"/>
    <w:rsid w:val="06905732"/>
    <w:rsid w:val="069C2B7B"/>
    <w:rsid w:val="069D7E4F"/>
    <w:rsid w:val="06B12E7E"/>
    <w:rsid w:val="06BF3FA4"/>
    <w:rsid w:val="06BF6017"/>
    <w:rsid w:val="06C21663"/>
    <w:rsid w:val="06C278B5"/>
    <w:rsid w:val="06C733AE"/>
    <w:rsid w:val="06D53145"/>
    <w:rsid w:val="06D619B7"/>
    <w:rsid w:val="06D82C35"/>
    <w:rsid w:val="06DB44D3"/>
    <w:rsid w:val="06E11AE9"/>
    <w:rsid w:val="07141DCB"/>
    <w:rsid w:val="071C0D73"/>
    <w:rsid w:val="071C1CA7"/>
    <w:rsid w:val="07283BBC"/>
    <w:rsid w:val="072B7208"/>
    <w:rsid w:val="073C056A"/>
    <w:rsid w:val="07414C7E"/>
    <w:rsid w:val="0749353D"/>
    <w:rsid w:val="07552626"/>
    <w:rsid w:val="075B5D40"/>
    <w:rsid w:val="075C5614"/>
    <w:rsid w:val="075E6F3B"/>
    <w:rsid w:val="076D5A73"/>
    <w:rsid w:val="076E6040"/>
    <w:rsid w:val="07702E6D"/>
    <w:rsid w:val="07775550"/>
    <w:rsid w:val="077A2E61"/>
    <w:rsid w:val="078057A6"/>
    <w:rsid w:val="078401E4"/>
    <w:rsid w:val="078B7CA7"/>
    <w:rsid w:val="079E5C2C"/>
    <w:rsid w:val="07A70F85"/>
    <w:rsid w:val="07AA637F"/>
    <w:rsid w:val="07AC659B"/>
    <w:rsid w:val="07AF1BE8"/>
    <w:rsid w:val="07BE730A"/>
    <w:rsid w:val="07C5140B"/>
    <w:rsid w:val="07CE4C09"/>
    <w:rsid w:val="07D15C84"/>
    <w:rsid w:val="07E55609"/>
    <w:rsid w:val="07E64C3E"/>
    <w:rsid w:val="07F10452"/>
    <w:rsid w:val="07F1509C"/>
    <w:rsid w:val="07F7533D"/>
    <w:rsid w:val="07FE2B6F"/>
    <w:rsid w:val="07FE491D"/>
    <w:rsid w:val="08002443"/>
    <w:rsid w:val="08031F33"/>
    <w:rsid w:val="08057A5A"/>
    <w:rsid w:val="08061E83"/>
    <w:rsid w:val="08145EEF"/>
    <w:rsid w:val="084A7B62"/>
    <w:rsid w:val="084D31AF"/>
    <w:rsid w:val="08512C9F"/>
    <w:rsid w:val="08536A17"/>
    <w:rsid w:val="08592DDC"/>
    <w:rsid w:val="085E716A"/>
    <w:rsid w:val="08634780"/>
    <w:rsid w:val="08760957"/>
    <w:rsid w:val="087C4EF9"/>
    <w:rsid w:val="08914976"/>
    <w:rsid w:val="089B70C6"/>
    <w:rsid w:val="089F7EAE"/>
    <w:rsid w:val="08A93562"/>
    <w:rsid w:val="08A94889"/>
    <w:rsid w:val="08AC6D67"/>
    <w:rsid w:val="08AE6343"/>
    <w:rsid w:val="08B5322E"/>
    <w:rsid w:val="08B553DA"/>
    <w:rsid w:val="08B83FA3"/>
    <w:rsid w:val="08C47915"/>
    <w:rsid w:val="08CD3D91"/>
    <w:rsid w:val="08CE609D"/>
    <w:rsid w:val="08D538D0"/>
    <w:rsid w:val="08E04023"/>
    <w:rsid w:val="08EE4992"/>
    <w:rsid w:val="08F875BE"/>
    <w:rsid w:val="08FB2C0B"/>
    <w:rsid w:val="08FC0E5C"/>
    <w:rsid w:val="09012917"/>
    <w:rsid w:val="090E293E"/>
    <w:rsid w:val="091A12E3"/>
    <w:rsid w:val="091D7025"/>
    <w:rsid w:val="09313C78"/>
    <w:rsid w:val="09326286"/>
    <w:rsid w:val="093A7BD7"/>
    <w:rsid w:val="094840A2"/>
    <w:rsid w:val="09491BC8"/>
    <w:rsid w:val="094E71DE"/>
    <w:rsid w:val="095354CA"/>
    <w:rsid w:val="095E38C5"/>
    <w:rsid w:val="095F3199"/>
    <w:rsid w:val="096133B5"/>
    <w:rsid w:val="09630EDC"/>
    <w:rsid w:val="0966570E"/>
    <w:rsid w:val="096C444A"/>
    <w:rsid w:val="09734E97"/>
    <w:rsid w:val="098175B4"/>
    <w:rsid w:val="098470A4"/>
    <w:rsid w:val="09972933"/>
    <w:rsid w:val="099E426D"/>
    <w:rsid w:val="099F5C8C"/>
    <w:rsid w:val="09B74D83"/>
    <w:rsid w:val="09C0632E"/>
    <w:rsid w:val="09C15C02"/>
    <w:rsid w:val="09C94B9B"/>
    <w:rsid w:val="09D403DB"/>
    <w:rsid w:val="09D93495"/>
    <w:rsid w:val="09DE7E5F"/>
    <w:rsid w:val="09EF451D"/>
    <w:rsid w:val="09FC6C3A"/>
    <w:rsid w:val="0A037FC9"/>
    <w:rsid w:val="0A0A57FB"/>
    <w:rsid w:val="0A141802"/>
    <w:rsid w:val="0A1B5312"/>
    <w:rsid w:val="0A1E5B7A"/>
    <w:rsid w:val="0A2B4E44"/>
    <w:rsid w:val="0A2F7DC2"/>
    <w:rsid w:val="0A326B00"/>
    <w:rsid w:val="0A516F86"/>
    <w:rsid w:val="0A540824"/>
    <w:rsid w:val="0A652A31"/>
    <w:rsid w:val="0A6F1B02"/>
    <w:rsid w:val="0A6F38B0"/>
    <w:rsid w:val="0A71587A"/>
    <w:rsid w:val="0A763469"/>
    <w:rsid w:val="0A7942C5"/>
    <w:rsid w:val="0A894972"/>
    <w:rsid w:val="0A911A78"/>
    <w:rsid w:val="0AAC240E"/>
    <w:rsid w:val="0AB47432"/>
    <w:rsid w:val="0AB87005"/>
    <w:rsid w:val="0AC91212"/>
    <w:rsid w:val="0AD81455"/>
    <w:rsid w:val="0ADA51CD"/>
    <w:rsid w:val="0AE61299"/>
    <w:rsid w:val="0AF02CF8"/>
    <w:rsid w:val="0AF5139F"/>
    <w:rsid w:val="0AF85654"/>
    <w:rsid w:val="0B0009AC"/>
    <w:rsid w:val="0B0D4AFB"/>
    <w:rsid w:val="0B186926"/>
    <w:rsid w:val="0B352404"/>
    <w:rsid w:val="0B446AEB"/>
    <w:rsid w:val="0B4C4ED0"/>
    <w:rsid w:val="0B4C599F"/>
    <w:rsid w:val="0B4E1717"/>
    <w:rsid w:val="0B52745A"/>
    <w:rsid w:val="0B57681E"/>
    <w:rsid w:val="0B642CE9"/>
    <w:rsid w:val="0B6B778A"/>
    <w:rsid w:val="0B6F70F0"/>
    <w:rsid w:val="0B705B32"/>
    <w:rsid w:val="0B7F622A"/>
    <w:rsid w:val="0B8213C1"/>
    <w:rsid w:val="0B892750"/>
    <w:rsid w:val="0B9E444D"/>
    <w:rsid w:val="0B9F6417"/>
    <w:rsid w:val="0BA45E9D"/>
    <w:rsid w:val="0BAA20CC"/>
    <w:rsid w:val="0BAA30DE"/>
    <w:rsid w:val="0BB25D40"/>
    <w:rsid w:val="0BBA4FFF"/>
    <w:rsid w:val="0BC971E0"/>
    <w:rsid w:val="0BDC5053"/>
    <w:rsid w:val="0BE43E2A"/>
    <w:rsid w:val="0BE61692"/>
    <w:rsid w:val="0BF01F1D"/>
    <w:rsid w:val="0BF71DAF"/>
    <w:rsid w:val="0C087B18"/>
    <w:rsid w:val="0C191D25"/>
    <w:rsid w:val="0C1E6991"/>
    <w:rsid w:val="0C2637E2"/>
    <w:rsid w:val="0C2C7CAB"/>
    <w:rsid w:val="0C322DE7"/>
    <w:rsid w:val="0C324B95"/>
    <w:rsid w:val="0C360B29"/>
    <w:rsid w:val="0C361A2E"/>
    <w:rsid w:val="0C3620A6"/>
    <w:rsid w:val="0C3B1C9C"/>
    <w:rsid w:val="0C4D7C21"/>
    <w:rsid w:val="0C5D4B54"/>
    <w:rsid w:val="0C5D60B6"/>
    <w:rsid w:val="0C6D2071"/>
    <w:rsid w:val="0C70789D"/>
    <w:rsid w:val="0C7156BE"/>
    <w:rsid w:val="0C7358DA"/>
    <w:rsid w:val="0C801DA5"/>
    <w:rsid w:val="0C8E44C1"/>
    <w:rsid w:val="0C8F1FE8"/>
    <w:rsid w:val="0C922E30"/>
    <w:rsid w:val="0C937D2A"/>
    <w:rsid w:val="0CA05FA3"/>
    <w:rsid w:val="0CB96220"/>
    <w:rsid w:val="0CC06645"/>
    <w:rsid w:val="0CCD3B33"/>
    <w:rsid w:val="0CCE2B10"/>
    <w:rsid w:val="0CD93263"/>
    <w:rsid w:val="0CDB347F"/>
    <w:rsid w:val="0CDE5C52"/>
    <w:rsid w:val="0CEF0CD8"/>
    <w:rsid w:val="0CF159F1"/>
    <w:rsid w:val="0CF87B8D"/>
    <w:rsid w:val="0D2070E4"/>
    <w:rsid w:val="0D215336"/>
    <w:rsid w:val="0D2E7A52"/>
    <w:rsid w:val="0D3F57BC"/>
    <w:rsid w:val="0D4C612B"/>
    <w:rsid w:val="0D5079C9"/>
    <w:rsid w:val="0D556D8D"/>
    <w:rsid w:val="0D5A43A4"/>
    <w:rsid w:val="0D5D5C42"/>
    <w:rsid w:val="0D605732"/>
    <w:rsid w:val="0D6945E7"/>
    <w:rsid w:val="0D6D057B"/>
    <w:rsid w:val="0D73671D"/>
    <w:rsid w:val="0D7A4A46"/>
    <w:rsid w:val="0D8B27AF"/>
    <w:rsid w:val="0D93239D"/>
    <w:rsid w:val="0D9D7E78"/>
    <w:rsid w:val="0D9E6986"/>
    <w:rsid w:val="0DB75DFF"/>
    <w:rsid w:val="0DBE2B84"/>
    <w:rsid w:val="0DC41017"/>
    <w:rsid w:val="0DC61A39"/>
    <w:rsid w:val="0DDE1C9B"/>
    <w:rsid w:val="0DEE45AB"/>
    <w:rsid w:val="0DF20A80"/>
    <w:rsid w:val="0DF26CD2"/>
    <w:rsid w:val="0DF85BFA"/>
    <w:rsid w:val="0E01025C"/>
    <w:rsid w:val="0E0B1417"/>
    <w:rsid w:val="0E0E518E"/>
    <w:rsid w:val="0E2D1AB8"/>
    <w:rsid w:val="0E4D215A"/>
    <w:rsid w:val="0E5C05EF"/>
    <w:rsid w:val="0E6B438E"/>
    <w:rsid w:val="0E7073B7"/>
    <w:rsid w:val="0E8042DE"/>
    <w:rsid w:val="0E927A08"/>
    <w:rsid w:val="0E9C09EC"/>
    <w:rsid w:val="0E9E4764"/>
    <w:rsid w:val="0E9E69EA"/>
    <w:rsid w:val="0EC046DA"/>
    <w:rsid w:val="0EC248F6"/>
    <w:rsid w:val="0ED9579C"/>
    <w:rsid w:val="0EF16F8A"/>
    <w:rsid w:val="0F056591"/>
    <w:rsid w:val="0F0F5662"/>
    <w:rsid w:val="0F1B7B63"/>
    <w:rsid w:val="0F1D38DB"/>
    <w:rsid w:val="0F2033CB"/>
    <w:rsid w:val="0F2729AB"/>
    <w:rsid w:val="0F3F5F47"/>
    <w:rsid w:val="0F40581B"/>
    <w:rsid w:val="0F4672D5"/>
    <w:rsid w:val="0F470958"/>
    <w:rsid w:val="0F474DFC"/>
    <w:rsid w:val="0F6D0FDF"/>
    <w:rsid w:val="0F713C26"/>
    <w:rsid w:val="0F76123D"/>
    <w:rsid w:val="0F790A50"/>
    <w:rsid w:val="0F8306C9"/>
    <w:rsid w:val="0F8B2F3A"/>
    <w:rsid w:val="0F96572F"/>
    <w:rsid w:val="0FA61182"/>
    <w:rsid w:val="0FA947FC"/>
    <w:rsid w:val="0FD11B31"/>
    <w:rsid w:val="0FD348E1"/>
    <w:rsid w:val="0FDF5034"/>
    <w:rsid w:val="0FE97C61"/>
    <w:rsid w:val="0FF0346D"/>
    <w:rsid w:val="0FF3288D"/>
    <w:rsid w:val="0FFC7994"/>
    <w:rsid w:val="10036F74"/>
    <w:rsid w:val="1008458B"/>
    <w:rsid w:val="101271B8"/>
    <w:rsid w:val="10156CA8"/>
    <w:rsid w:val="1034644F"/>
    <w:rsid w:val="10411484"/>
    <w:rsid w:val="10521CAA"/>
    <w:rsid w:val="10525806"/>
    <w:rsid w:val="105F7F23"/>
    <w:rsid w:val="106777F6"/>
    <w:rsid w:val="107E469F"/>
    <w:rsid w:val="109E0A4B"/>
    <w:rsid w:val="10AA08EC"/>
    <w:rsid w:val="10AA3894"/>
    <w:rsid w:val="10AE3A43"/>
    <w:rsid w:val="10B77D5F"/>
    <w:rsid w:val="10BE680C"/>
    <w:rsid w:val="10C50619"/>
    <w:rsid w:val="10CB29C9"/>
    <w:rsid w:val="10D426BF"/>
    <w:rsid w:val="10DD77C5"/>
    <w:rsid w:val="10F92125"/>
    <w:rsid w:val="10FA6E82"/>
    <w:rsid w:val="10FE773C"/>
    <w:rsid w:val="110C3C07"/>
    <w:rsid w:val="111927C8"/>
    <w:rsid w:val="114B21EE"/>
    <w:rsid w:val="114C460A"/>
    <w:rsid w:val="114E421F"/>
    <w:rsid w:val="11586E4C"/>
    <w:rsid w:val="115F642C"/>
    <w:rsid w:val="11717F0E"/>
    <w:rsid w:val="117D02F0"/>
    <w:rsid w:val="118E0AC0"/>
    <w:rsid w:val="11913B99"/>
    <w:rsid w:val="11965BC6"/>
    <w:rsid w:val="11991213"/>
    <w:rsid w:val="11A332B5"/>
    <w:rsid w:val="11A402E3"/>
    <w:rsid w:val="11AC53EA"/>
    <w:rsid w:val="11B04EDA"/>
    <w:rsid w:val="11E22BBA"/>
    <w:rsid w:val="11F8418B"/>
    <w:rsid w:val="1211524D"/>
    <w:rsid w:val="12132282"/>
    <w:rsid w:val="12135469"/>
    <w:rsid w:val="121641AC"/>
    <w:rsid w:val="12174F59"/>
    <w:rsid w:val="121F3E0E"/>
    <w:rsid w:val="122B7207"/>
    <w:rsid w:val="12555A81"/>
    <w:rsid w:val="12575356"/>
    <w:rsid w:val="12704669"/>
    <w:rsid w:val="12870798"/>
    <w:rsid w:val="128E689D"/>
    <w:rsid w:val="129640D0"/>
    <w:rsid w:val="1299771C"/>
    <w:rsid w:val="12A3059B"/>
    <w:rsid w:val="12D76D1F"/>
    <w:rsid w:val="12D9220E"/>
    <w:rsid w:val="12DC3AAD"/>
    <w:rsid w:val="12DE5A77"/>
    <w:rsid w:val="12E070F9"/>
    <w:rsid w:val="12E34E3B"/>
    <w:rsid w:val="12ED7A68"/>
    <w:rsid w:val="12FA11B0"/>
    <w:rsid w:val="12FB3F33"/>
    <w:rsid w:val="13070B2A"/>
    <w:rsid w:val="130F5C30"/>
    <w:rsid w:val="13251910"/>
    <w:rsid w:val="13287E9C"/>
    <w:rsid w:val="132A2A6A"/>
    <w:rsid w:val="132E2ABB"/>
    <w:rsid w:val="133C40E3"/>
    <w:rsid w:val="13511DA5"/>
    <w:rsid w:val="1356560D"/>
    <w:rsid w:val="135F19E2"/>
    <w:rsid w:val="13637D2A"/>
    <w:rsid w:val="13641B10"/>
    <w:rsid w:val="13651CF4"/>
    <w:rsid w:val="136F395D"/>
    <w:rsid w:val="136F4921"/>
    <w:rsid w:val="137653C7"/>
    <w:rsid w:val="137837D5"/>
    <w:rsid w:val="137B5074"/>
    <w:rsid w:val="137D703E"/>
    <w:rsid w:val="13813739"/>
    <w:rsid w:val="139C03FB"/>
    <w:rsid w:val="13A22600"/>
    <w:rsid w:val="13A46379"/>
    <w:rsid w:val="13AC530B"/>
    <w:rsid w:val="13B14F39"/>
    <w:rsid w:val="13B42029"/>
    <w:rsid w:val="13B668C3"/>
    <w:rsid w:val="13B80076"/>
    <w:rsid w:val="13CC1D73"/>
    <w:rsid w:val="13CE7899"/>
    <w:rsid w:val="13D44784"/>
    <w:rsid w:val="13D75A7D"/>
    <w:rsid w:val="13D84274"/>
    <w:rsid w:val="13DD2D88"/>
    <w:rsid w:val="13E05FAA"/>
    <w:rsid w:val="13E16B35"/>
    <w:rsid w:val="13E40E6B"/>
    <w:rsid w:val="13E56991"/>
    <w:rsid w:val="13E669F4"/>
    <w:rsid w:val="13F332BC"/>
    <w:rsid w:val="140137CB"/>
    <w:rsid w:val="1404150D"/>
    <w:rsid w:val="14083FB2"/>
    <w:rsid w:val="14123C2A"/>
    <w:rsid w:val="141A663B"/>
    <w:rsid w:val="14215C1B"/>
    <w:rsid w:val="14261574"/>
    <w:rsid w:val="14327E28"/>
    <w:rsid w:val="143E419F"/>
    <w:rsid w:val="14587163"/>
    <w:rsid w:val="145A2206"/>
    <w:rsid w:val="145F4995"/>
    <w:rsid w:val="146124BC"/>
    <w:rsid w:val="14636234"/>
    <w:rsid w:val="14665D24"/>
    <w:rsid w:val="14692BD2"/>
    <w:rsid w:val="146D2C0E"/>
    <w:rsid w:val="146D70B2"/>
    <w:rsid w:val="146E5D7A"/>
    <w:rsid w:val="14713DBD"/>
    <w:rsid w:val="147C5547"/>
    <w:rsid w:val="14860174"/>
    <w:rsid w:val="14877923"/>
    <w:rsid w:val="148D505F"/>
    <w:rsid w:val="14972381"/>
    <w:rsid w:val="14A14FAE"/>
    <w:rsid w:val="14B06F9F"/>
    <w:rsid w:val="14BB6147"/>
    <w:rsid w:val="14C36CD2"/>
    <w:rsid w:val="14D94748"/>
    <w:rsid w:val="14E46C49"/>
    <w:rsid w:val="14EA24B1"/>
    <w:rsid w:val="14F52C04"/>
    <w:rsid w:val="14F855B1"/>
    <w:rsid w:val="14FC0436"/>
    <w:rsid w:val="151B4D60"/>
    <w:rsid w:val="1545020E"/>
    <w:rsid w:val="15455939"/>
    <w:rsid w:val="154C6CC8"/>
    <w:rsid w:val="1554671D"/>
    <w:rsid w:val="15547FDE"/>
    <w:rsid w:val="157D0899"/>
    <w:rsid w:val="157D3325"/>
    <w:rsid w:val="15AA1C40"/>
    <w:rsid w:val="15BA6327"/>
    <w:rsid w:val="15C90318"/>
    <w:rsid w:val="15D47660"/>
    <w:rsid w:val="15E46F00"/>
    <w:rsid w:val="15E72E94"/>
    <w:rsid w:val="15EC2259"/>
    <w:rsid w:val="15FA7377"/>
    <w:rsid w:val="15FD7FC2"/>
    <w:rsid w:val="15FF6367"/>
    <w:rsid w:val="160475A2"/>
    <w:rsid w:val="16092E0B"/>
    <w:rsid w:val="160939A2"/>
    <w:rsid w:val="16445BF1"/>
    <w:rsid w:val="164B6AF4"/>
    <w:rsid w:val="16534086"/>
    <w:rsid w:val="16551BAC"/>
    <w:rsid w:val="165C1009"/>
    <w:rsid w:val="16612C47"/>
    <w:rsid w:val="16677877"/>
    <w:rsid w:val="16814185"/>
    <w:rsid w:val="168E1562"/>
    <w:rsid w:val="168E5B5C"/>
    <w:rsid w:val="16900E36"/>
    <w:rsid w:val="16923996"/>
    <w:rsid w:val="1695644C"/>
    <w:rsid w:val="16A13043"/>
    <w:rsid w:val="16B06717"/>
    <w:rsid w:val="16B25250"/>
    <w:rsid w:val="16BD0F90"/>
    <w:rsid w:val="16CD690B"/>
    <w:rsid w:val="16D927DD"/>
    <w:rsid w:val="16E64EFA"/>
    <w:rsid w:val="16F75359"/>
    <w:rsid w:val="16F81197"/>
    <w:rsid w:val="17060295"/>
    <w:rsid w:val="17145370"/>
    <w:rsid w:val="171750B3"/>
    <w:rsid w:val="171B1048"/>
    <w:rsid w:val="17284723"/>
    <w:rsid w:val="172A32C5"/>
    <w:rsid w:val="17312619"/>
    <w:rsid w:val="1732013F"/>
    <w:rsid w:val="173C4B1A"/>
    <w:rsid w:val="17562080"/>
    <w:rsid w:val="17667DE9"/>
    <w:rsid w:val="176A5B2B"/>
    <w:rsid w:val="176A78D9"/>
    <w:rsid w:val="176E561B"/>
    <w:rsid w:val="177B7D38"/>
    <w:rsid w:val="17A20BD4"/>
    <w:rsid w:val="17A50911"/>
    <w:rsid w:val="17A53091"/>
    <w:rsid w:val="17B15508"/>
    <w:rsid w:val="17B84AE8"/>
    <w:rsid w:val="17BA1A86"/>
    <w:rsid w:val="17BB0A02"/>
    <w:rsid w:val="17CF598E"/>
    <w:rsid w:val="17DD454F"/>
    <w:rsid w:val="17E01949"/>
    <w:rsid w:val="18025D64"/>
    <w:rsid w:val="180E64B6"/>
    <w:rsid w:val="1820443C"/>
    <w:rsid w:val="183103F7"/>
    <w:rsid w:val="183F0D66"/>
    <w:rsid w:val="1847222D"/>
    <w:rsid w:val="186C142F"/>
    <w:rsid w:val="186E51A7"/>
    <w:rsid w:val="18722EE9"/>
    <w:rsid w:val="18746A55"/>
    <w:rsid w:val="18795111"/>
    <w:rsid w:val="18822A00"/>
    <w:rsid w:val="18826EA4"/>
    <w:rsid w:val="1883235D"/>
    <w:rsid w:val="18852632"/>
    <w:rsid w:val="188D7D23"/>
    <w:rsid w:val="18987FF3"/>
    <w:rsid w:val="189A2440"/>
    <w:rsid w:val="189D0461"/>
    <w:rsid w:val="18A137CE"/>
    <w:rsid w:val="18AB01A9"/>
    <w:rsid w:val="18D14A50"/>
    <w:rsid w:val="18D771F0"/>
    <w:rsid w:val="18F356AC"/>
    <w:rsid w:val="18FB4688"/>
    <w:rsid w:val="19297320"/>
    <w:rsid w:val="19377C8F"/>
    <w:rsid w:val="19406B43"/>
    <w:rsid w:val="19481E9C"/>
    <w:rsid w:val="194C364D"/>
    <w:rsid w:val="1954439D"/>
    <w:rsid w:val="19550115"/>
    <w:rsid w:val="195C14A3"/>
    <w:rsid w:val="195E521C"/>
    <w:rsid w:val="19622F5E"/>
    <w:rsid w:val="196A3BC0"/>
    <w:rsid w:val="19740ACF"/>
    <w:rsid w:val="1990311A"/>
    <w:rsid w:val="19963CC9"/>
    <w:rsid w:val="199C4212"/>
    <w:rsid w:val="19A678A0"/>
    <w:rsid w:val="19B47CE3"/>
    <w:rsid w:val="19C257AA"/>
    <w:rsid w:val="19C72DC1"/>
    <w:rsid w:val="19D21766"/>
    <w:rsid w:val="19D63004"/>
    <w:rsid w:val="19EC0A79"/>
    <w:rsid w:val="19F20F5A"/>
    <w:rsid w:val="19FD2C86"/>
    <w:rsid w:val="19FE0B08"/>
    <w:rsid w:val="1A002777"/>
    <w:rsid w:val="1A0758B3"/>
    <w:rsid w:val="1A0F4768"/>
    <w:rsid w:val="1A141D7E"/>
    <w:rsid w:val="1A147FD0"/>
    <w:rsid w:val="1A1A3838"/>
    <w:rsid w:val="1A1B5DE5"/>
    <w:rsid w:val="1A277D03"/>
    <w:rsid w:val="1A2975D8"/>
    <w:rsid w:val="1A3269F7"/>
    <w:rsid w:val="1A3653F1"/>
    <w:rsid w:val="1A380533"/>
    <w:rsid w:val="1A394CFA"/>
    <w:rsid w:val="1A443726"/>
    <w:rsid w:val="1A4C59BC"/>
    <w:rsid w:val="1A5403CD"/>
    <w:rsid w:val="1A555ADC"/>
    <w:rsid w:val="1A5D54D3"/>
    <w:rsid w:val="1A772A39"/>
    <w:rsid w:val="1A7849EB"/>
    <w:rsid w:val="1A7A361D"/>
    <w:rsid w:val="1A7B5B27"/>
    <w:rsid w:val="1A7F18ED"/>
    <w:rsid w:val="1A8962C8"/>
    <w:rsid w:val="1A9A04D5"/>
    <w:rsid w:val="1A9F3D91"/>
    <w:rsid w:val="1AA47DCF"/>
    <w:rsid w:val="1AA650CC"/>
    <w:rsid w:val="1AB85684"/>
    <w:rsid w:val="1AC25B01"/>
    <w:rsid w:val="1ACB3096"/>
    <w:rsid w:val="1AD31C39"/>
    <w:rsid w:val="1AD42EC8"/>
    <w:rsid w:val="1ADD6614"/>
    <w:rsid w:val="1AE836F5"/>
    <w:rsid w:val="1AEB2ADF"/>
    <w:rsid w:val="1AF5570C"/>
    <w:rsid w:val="1AFC2ED4"/>
    <w:rsid w:val="1B0F0EC3"/>
    <w:rsid w:val="1B171500"/>
    <w:rsid w:val="1B176B04"/>
    <w:rsid w:val="1B1E1D57"/>
    <w:rsid w:val="1B495A57"/>
    <w:rsid w:val="1B4A3CA9"/>
    <w:rsid w:val="1B5C1C2F"/>
    <w:rsid w:val="1B6723F2"/>
    <w:rsid w:val="1B707488"/>
    <w:rsid w:val="1B721452"/>
    <w:rsid w:val="1B724BD8"/>
    <w:rsid w:val="1B762CF0"/>
    <w:rsid w:val="1B8D003A"/>
    <w:rsid w:val="1B9413C8"/>
    <w:rsid w:val="1B993A77"/>
    <w:rsid w:val="1BA36F23"/>
    <w:rsid w:val="1BAF1D5E"/>
    <w:rsid w:val="1BBC0700"/>
    <w:rsid w:val="1BC021BE"/>
    <w:rsid w:val="1BCF0CAE"/>
    <w:rsid w:val="1BD9327F"/>
    <w:rsid w:val="1BE0016A"/>
    <w:rsid w:val="1BE75582"/>
    <w:rsid w:val="1BF105C9"/>
    <w:rsid w:val="1BF260EF"/>
    <w:rsid w:val="1BFE2CE6"/>
    <w:rsid w:val="1C054074"/>
    <w:rsid w:val="1C1D306B"/>
    <w:rsid w:val="1C1E260E"/>
    <w:rsid w:val="1C1F5136"/>
    <w:rsid w:val="1C237D92"/>
    <w:rsid w:val="1C2C33AF"/>
    <w:rsid w:val="1C346708"/>
    <w:rsid w:val="1C44694B"/>
    <w:rsid w:val="1C450915"/>
    <w:rsid w:val="1C454471"/>
    <w:rsid w:val="1C4C57FF"/>
    <w:rsid w:val="1C5B250F"/>
    <w:rsid w:val="1C5E0A39"/>
    <w:rsid w:val="1C6B037B"/>
    <w:rsid w:val="1C6F1853"/>
    <w:rsid w:val="1C71170A"/>
    <w:rsid w:val="1C723D3B"/>
    <w:rsid w:val="1C730FDE"/>
    <w:rsid w:val="1C7D00AF"/>
    <w:rsid w:val="1C84143D"/>
    <w:rsid w:val="1C901B90"/>
    <w:rsid w:val="1C915908"/>
    <w:rsid w:val="1C9B0535"/>
    <w:rsid w:val="1CB810E7"/>
    <w:rsid w:val="1CBB4733"/>
    <w:rsid w:val="1CBF4223"/>
    <w:rsid w:val="1CC311E2"/>
    <w:rsid w:val="1CC7757C"/>
    <w:rsid w:val="1CCC7EE2"/>
    <w:rsid w:val="1CCF4745"/>
    <w:rsid w:val="1CD24AEE"/>
    <w:rsid w:val="1CE86A21"/>
    <w:rsid w:val="1CED6FE2"/>
    <w:rsid w:val="1CFA16FF"/>
    <w:rsid w:val="1D081FED"/>
    <w:rsid w:val="1D1D719C"/>
    <w:rsid w:val="1D1E3640"/>
    <w:rsid w:val="1D217272"/>
    <w:rsid w:val="1D22280C"/>
    <w:rsid w:val="1D24677C"/>
    <w:rsid w:val="1D300C7D"/>
    <w:rsid w:val="1D307B1F"/>
    <w:rsid w:val="1D35201E"/>
    <w:rsid w:val="1D37200B"/>
    <w:rsid w:val="1D390DF2"/>
    <w:rsid w:val="1D4330A6"/>
    <w:rsid w:val="1D44297A"/>
    <w:rsid w:val="1D4806BC"/>
    <w:rsid w:val="1D557934"/>
    <w:rsid w:val="1D5F5A06"/>
    <w:rsid w:val="1D671CC9"/>
    <w:rsid w:val="1D70376F"/>
    <w:rsid w:val="1D7949F9"/>
    <w:rsid w:val="1D8A4831"/>
    <w:rsid w:val="1D8E3BF5"/>
    <w:rsid w:val="1D921938"/>
    <w:rsid w:val="1D992CC6"/>
    <w:rsid w:val="1DA608B4"/>
    <w:rsid w:val="1DA84CB7"/>
    <w:rsid w:val="1DAB29F9"/>
    <w:rsid w:val="1DC00253"/>
    <w:rsid w:val="1DC53ABB"/>
    <w:rsid w:val="1DC615E1"/>
    <w:rsid w:val="1DC835AB"/>
    <w:rsid w:val="1DCF3C77"/>
    <w:rsid w:val="1DD0420E"/>
    <w:rsid w:val="1DDB32DF"/>
    <w:rsid w:val="1DE81558"/>
    <w:rsid w:val="1DED6B6E"/>
    <w:rsid w:val="1DF83E91"/>
    <w:rsid w:val="1E0D0FBE"/>
    <w:rsid w:val="1E1D38F7"/>
    <w:rsid w:val="1E205195"/>
    <w:rsid w:val="1E2C1200"/>
    <w:rsid w:val="1E3A2F21"/>
    <w:rsid w:val="1E3D54D5"/>
    <w:rsid w:val="1E3E73CA"/>
    <w:rsid w:val="1E4A0464"/>
    <w:rsid w:val="1E544E3F"/>
    <w:rsid w:val="1E6432D4"/>
    <w:rsid w:val="1E696B3C"/>
    <w:rsid w:val="1E764DB5"/>
    <w:rsid w:val="1E8079E2"/>
    <w:rsid w:val="1E8474D2"/>
    <w:rsid w:val="1E8A0861"/>
    <w:rsid w:val="1E8E20FF"/>
    <w:rsid w:val="1EA25BAA"/>
    <w:rsid w:val="1EA47B74"/>
    <w:rsid w:val="1EB27F3B"/>
    <w:rsid w:val="1EB31B66"/>
    <w:rsid w:val="1EB63404"/>
    <w:rsid w:val="1EBC3110"/>
    <w:rsid w:val="1EBD29E4"/>
    <w:rsid w:val="1EC22ED6"/>
    <w:rsid w:val="1EC91389"/>
    <w:rsid w:val="1ECC2C27"/>
    <w:rsid w:val="1ED3045A"/>
    <w:rsid w:val="1ED869CE"/>
    <w:rsid w:val="1EDD2F7B"/>
    <w:rsid w:val="1EE869A7"/>
    <w:rsid w:val="1EFB5B00"/>
    <w:rsid w:val="1F034F6D"/>
    <w:rsid w:val="1F0625DD"/>
    <w:rsid w:val="1F1A1BE5"/>
    <w:rsid w:val="1F212F73"/>
    <w:rsid w:val="1F394761"/>
    <w:rsid w:val="1F454ADD"/>
    <w:rsid w:val="1F466CDC"/>
    <w:rsid w:val="1F486752"/>
    <w:rsid w:val="1F5350F7"/>
    <w:rsid w:val="1F5C21FD"/>
    <w:rsid w:val="1F6115C2"/>
    <w:rsid w:val="1F615A66"/>
    <w:rsid w:val="1F70522D"/>
    <w:rsid w:val="1F833C2E"/>
    <w:rsid w:val="1F8D3F1B"/>
    <w:rsid w:val="1F8D4ED2"/>
    <w:rsid w:val="1F9A0F77"/>
    <w:rsid w:val="1FA12402"/>
    <w:rsid w:val="1FAE2FEB"/>
    <w:rsid w:val="1FD0285A"/>
    <w:rsid w:val="1FE10954"/>
    <w:rsid w:val="1FF05470"/>
    <w:rsid w:val="1FFE32B4"/>
    <w:rsid w:val="200E3310"/>
    <w:rsid w:val="20191E9C"/>
    <w:rsid w:val="201B3E66"/>
    <w:rsid w:val="2020053C"/>
    <w:rsid w:val="202076CF"/>
    <w:rsid w:val="20286583"/>
    <w:rsid w:val="202A50E6"/>
    <w:rsid w:val="20322F5E"/>
    <w:rsid w:val="20346CD6"/>
    <w:rsid w:val="203647FC"/>
    <w:rsid w:val="203D202F"/>
    <w:rsid w:val="20401B1F"/>
    <w:rsid w:val="20586E69"/>
    <w:rsid w:val="205B0707"/>
    <w:rsid w:val="205F6F35"/>
    <w:rsid w:val="20607ACB"/>
    <w:rsid w:val="20651585"/>
    <w:rsid w:val="20672C08"/>
    <w:rsid w:val="206C6470"/>
    <w:rsid w:val="207673DB"/>
    <w:rsid w:val="207A2CBA"/>
    <w:rsid w:val="207B66B3"/>
    <w:rsid w:val="207C2063"/>
    <w:rsid w:val="207D242B"/>
    <w:rsid w:val="20895274"/>
    <w:rsid w:val="2091237A"/>
    <w:rsid w:val="209E05F3"/>
    <w:rsid w:val="20AD2C5F"/>
    <w:rsid w:val="20AF45AF"/>
    <w:rsid w:val="20B561E4"/>
    <w:rsid w:val="20BE2A44"/>
    <w:rsid w:val="20C242E2"/>
    <w:rsid w:val="20C27123"/>
    <w:rsid w:val="20D364EF"/>
    <w:rsid w:val="20E410EC"/>
    <w:rsid w:val="20FF1092"/>
    <w:rsid w:val="21025026"/>
    <w:rsid w:val="210C6F7A"/>
    <w:rsid w:val="21110DC5"/>
    <w:rsid w:val="211A6962"/>
    <w:rsid w:val="211F34E2"/>
    <w:rsid w:val="21246D4B"/>
    <w:rsid w:val="21247AE2"/>
    <w:rsid w:val="21260517"/>
    <w:rsid w:val="212B0A59"/>
    <w:rsid w:val="21313216"/>
    <w:rsid w:val="21336F8E"/>
    <w:rsid w:val="213C5FD7"/>
    <w:rsid w:val="21472A39"/>
    <w:rsid w:val="21537630"/>
    <w:rsid w:val="215442B8"/>
    <w:rsid w:val="21780E44"/>
    <w:rsid w:val="21861DDC"/>
    <w:rsid w:val="21A460DD"/>
    <w:rsid w:val="21B26104"/>
    <w:rsid w:val="21C127EB"/>
    <w:rsid w:val="21C66054"/>
    <w:rsid w:val="21D705EC"/>
    <w:rsid w:val="21E62252"/>
    <w:rsid w:val="21E85FCA"/>
    <w:rsid w:val="21EB1616"/>
    <w:rsid w:val="21F229A5"/>
    <w:rsid w:val="21F37F51"/>
    <w:rsid w:val="21F7445F"/>
    <w:rsid w:val="21FF3314"/>
    <w:rsid w:val="2208666C"/>
    <w:rsid w:val="220B1CB9"/>
    <w:rsid w:val="220D77DF"/>
    <w:rsid w:val="22162B37"/>
    <w:rsid w:val="222334A6"/>
    <w:rsid w:val="22284619"/>
    <w:rsid w:val="22370D00"/>
    <w:rsid w:val="22400062"/>
    <w:rsid w:val="22405E06"/>
    <w:rsid w:val="22477195"/>
    <w:rsid w:val="224A0A33"/>
    <w:rsid w:val="22524E16"/>
    <w:rsid w:val="22573150"/>
    <w:rsid w:val="22602004"/>
    <w:rsid w:val="227609CD"/>
    <w:rsid w:val="2277734E"/>
    <w:rsid w:val="227B299A"/>
    <w:rsid w:val="227E50A7"/>
    <w:rsid w:val="22873393"/>
    <w:rsid w:val="228D3A76"/>
    <w:rsid w:val="22B42350"/>
    <w:rsid w:val="22B440FE"/>
    <w:rsid w:val="22BD1205"/>
    <w:rsid w:val="22D10E9C"/>
    <w:rsid w:val="22D60519"/>
    <w:rsid w:val="22E04EF3"/>
    <w:rsid w:val="22F066A2"/>
    <w:rsid w:val="22F4099F"/>
    <w:rsid w:val="22FA4903"/>
    <w:rsid w:val="23130E25"/>
    <w:rsid w:val="23144B9D"/>
    <w:rsid w:val="23161B1F"/>
    <w:rsid w:val="23203542"/>
    <w:rsid w:val="232748D0"/>
    <w:rsid w:val="232A616E"/>
    <w:rsid w:val="233A6C4C"/>
    <w:rsid w:val="233C5073"/>
    <w:rsid w:val="234E36D2"/>
    <w:rsid w:val="23510E00"/>
    <w:rsid w:val="2355768F"/>
    <w:rsid w:val="235654CA"/>
    <w:rsid w:val="2358717F"/>
    <w:rsid w:val="236B0C61"/>
    <w:rsid w:val="23712C6B"/>
    <w:rsid w:val="237A63C1"/>
    <w:rsid w:val="23906919"/>
    <w:rsid w:val="2393640A"/>
    <w:rsid w:val="23A10B26"/>
    <w:rsid w:val="23AE4FF1"/>
    <w:rsid w:val="23B00D6A"/>
    <w:rsid w:val="23C579E4"/>
    <w:rsid w:val="23C6058D"/>
    <w:rsid w:val="23C95987"/>
    <w:rsid w:val="23CD5478"/>
    <w:rsid w:val="23CE1F55"/>
    <w:rsid w:val="23CE2F9E"/>
    <w:rsid w:val="23D5432C"/>
    <w:rsid w:val="23DF164F"/>
    <w:rsid w:val="23E53872"/>
    <w:rsid w:val="23E7405F"/>
    <w:rsid w:val="23ED5B1A"/>
    <w:rsid w:val="23F46EA8"/>
    <w:rsid w:val="240370EB"/>
    <w:rsid w:val="24044C11"/>
    <w:rsid w:val="241B3930"/>
    <w:rsid w:val="242332EA"/>
    <w:rsid w:val="2435301D"/>
    <w:rsid w:val="243F5C4A"/>
    <w:rsid w:val="244871F4"/>
    <w:rsid w:val="245142FB"/>
    <w:rsid w:val="246758CC"/>
    <w:rsid w:val="246A53DD"/>
    <w:rsid w:val="246C4A50"/>
    <w:rsid w:val="247955FF"/>
    <w:rsid w:val="24A87C93"/>
    <w:rsid w:val="24AB77E5"/>
    <w:rsid w:val="24AE25E4"/>
    <w:rsid w:val="24B46637"/>
    <w:rsid w:val="24BA341D"/>
    <w:rsid w:val="24C17CF1"/>
    <w:rsid w:val="24C50845"/>
    <w:rsid w:val="24D32F62"/>
    <w:rsid w:val="24DE1906"/>
    <w:rsid w:val="24E32A79"/>
    <w:rsid w:val="24E94533"/>
    <w:rsid w:val="24EA3E07"/>
    <w:rsid w:val="24F904EE"/>
    <w:rsid w:val="250639AE"/>
    <w:rsid w:val="251175E6"/>
    <w:rsid w:val="2524184E"/>
    <w:rsid w:val="2524556B"/>
    <w:rsid w:val="25421E95"/>
    <w:rsid w:val="254402E0"/>
    <w:rsid w:val="254479BB"/>
    <w:rsid w:val="25453EF6"/>
    <w:rsid w:val="254C4AC2"/>
    <w:rsid w:val="256E7CC8"/>
    <w:rsid w:val="257638ED"/>
    <w:rsid w:val="25783B09"/>
    <w:rsid w:val="257D4C7B"/>
    <w:rsid w:val="25867FD4"/>
    <w:rsid w:val="259049AF"/>
    <w:rsid w:val="25A20B86"/>
    <w:rsid w:val="25A91F14"/>
    <w:rsid w:val="25B74631"/>
    <w:rsid w:val="25BA1A2C"/>
    <w:rsid w:val="25C1100C"/>
    <w:rsid w:val="25C73A07"/>
    <w:rsid w:val="25CF7518"/>
    <w:rsid w:val="25D31B25"/>
    <w:rsid w:val="25D32AED"/>
    <w:rsid w:val="25E20F82"/>
    <w:rsid w:val="25F27417"/>
    <w:rsid w:val="25FA6BAC"/>
    <w:rsid w:val="260E7FC9"/>
    <w:rsid w:val="26117800"/>
    <w:rsid w:val="26123616"/>
    <w:rsid w:val="261C26E6"/>
    <w:rsid w:val="261F30CC"/>
    <w:rsid w:val="26267F98"/>
    <w:rsid w:val="26321F0A"/>
    <w:rsid w:val="263A0DBE"/>
    <w:rsid w:val="263A5E5B"/>
    <w:rsid w:val="26597496"/>
    <w:rsid w:val="265C4DF4"/>
    <w:rsid w:val="267047E0"/>
    <w:rsid w:val="26760048"/>
    <w:rsid w:val="267A11BB"/>
    <w:rsid w:val="268D3C1F"/>
    <w:rsid w:val="26926505"/>
    <w:rsid w:val="26995AE5"/>
    <w:rsid w:val="26A30EAA"/>
    <w:rsid w:val="26AD77E2"/>
    <w:rsid w:val="26B97F35"/>
    <w:rsid w:val="26CD39E1"/>
    <w:rsid w:val="26E53D27"/>
    <w:rsid w:val="26EC0975"/>
    <w:rsid w:val="27076EF2"/>
    <w:rsid w:val="271477A7"/>
    <w:rsid w:val="271909D4"/>
    <w:rsid w:val="272B6F1E"/>
    <w:rsid w:val="27351CB2"/>
    <w:rsid w:val="27353013"/>
    <w:rsid w:val="27483067"/>
    <w:rsid w:val="274E4B21"/>
    <w:rsid w:val="274F2647"/>
    <w:rsid w:val="275C0F19"/>
    <w:rsid w:val="276B4FA8"/>
    <w:rsid w:val="276E51C4"/>
    <w:rsid w:val="276E6F72"/>
    <w:rsid w:val="276F4A98"/>
    <w:rsid w:val="277C057C"/>
    <w:rsid w:val="278E4F1E"/>
    <w:rsid w:val="278F23BE"/>
    <w:rsid w:val="279A1BF8"/>
    <w:rsid w:val="279D7857"/>
    <w:rsid w:val="27AE736E"/>
    <w:rsid w:val="27B16D96"/>
    <w:rsid w:val="27B54BA0"/>
    <w:rsid w:val="27CC3C98"/>
    <w:rsid w:val="27CE5C62"/>
    <w:rsid w:val="27D16810"/>
    <w:rsid w:val="27D21976"/>
    <w:rsid w:val="27D227FB"/>
    <w:rsid w:val="27D74B17"/>
    <w:rsid w:val="27D8088F"/>
    <w:rsid w:val="27DD6975"/>
    <w:rsid w:val="27DF3EE1"/>
    <w:rsid w:val="27F03E2A"/>
    <w:rsid w:val="27F82CDF"/>
    <w:rsid w:val="28081174"/>
    <w:rsid w:val="28133675"/>
    <w:rsid w:val="2819334F"/>
    <w:rsid w:val="281F64BE"/>
    <w:rsid w:val="283163FF"/>
    <w:rsid w:val="28357A8F"/>
    <w:rsid w:val="2839289C"/>
    <w:rsid w:val="283A50A6"/>
    <w:rsid w:val="283C7070"/>
    <w:rsid w:val="28463A4A"/>
    <w:rsid w:val="284B2E0F"/>
    <w:rsid w:val="286345FC"/>
    <w:rsid w:val="286E4DBC"/>
    <w:rsid w:val="28730611"/>
    <w:rsid w:val="28774CBD"/>
    <w:rsid w:val="28793E20"/>
    <w:rsid w:val="287E4F92"/>
    <w:rsid w:val="2886653D"/>
    <w:rsid w:val="289612C7"/>
    <w:rsid w:val="289A78F2"/>
    <w:rsid w:val="28AD5878"/>
    <w:rsid w:val="28D510D6"/>
    <w:rsid w:val="28DC12FF"/>
    <w:rsid w:val="29003BF9"/>
    <w:rsid w:val="290A4A78"/>
    <w:rsid w:val="292F44DF"/>
    <w:rsid w:val="29332221"/>
    <w:rsid w:val="29385A89"/>
    <w:rsid w:val="294851BD"/>
    <w:rsid w:val="29714AF7"/>
    <w:rsid w:val="298244EE"/>
    <w:rsid w:val="29826D04"/>
    <w:rsid w:val="29995DFC"/>
    <w:rsid w:val="299F1664"/>
    <w:rsid w:val="29A21154"/>
    <w:rsid w:val="29A9603F"/>
    <w:rsid w:val="29B729B5"/>
    <w:rsid w:val="29C015DB"/>
    <w:rsid w:val="29D07A70"/>
    <w:rsid w:val="29DB4666"/>
    <w:rsid w:val="29DD3F3B"/>
    <w:rsid w:val="29EE1A53"/>
    <w:rsid w:val="2A007C29"/>
    <w:rsid w:val="2A063491"/>
    <w:rsid w:val="2A094D30"/>
    <w:rsid w:val="2A0C2A72"/>
    <w:rsid w:val="2A1D6A2D"/>
    <w:rsid w:val="2A21651D"/>
    <w:rsid w:val="2A353D77"/>
    <w:rsid w:val="2A41271B"/>
    <w:rsid w:val="2A522B7B"/>
    <w:rsid w:val="2A5341FD"/>
    <w:rsid w:val="2A557F75"/>
    <w:rsid w:val="2A573E05"/>
    <w:rsid w:val="2A60386F"/>
    <w:rsid w:val="2A727994"/>
    <w:rsid w:val="2A731B6B"/>
    <w:rsid w:val="2A7C19A5"/>
    <w:rsid w:val="2A7C3754"/>
    <w:rsid w:val="2A905451"/>
    <w:rsid w:val="2A9071FF"/>
    <w:rsid w:val="2A9A007E"/>
    <w:rsid w:val="2A9C3DF6"/>
    <w:rsid w:val="2AA1765E"/>
    <w:rsid w:val="2AA902C1"/>
    <w:rsid w:val="2AB14D5E"/>
    <w:rsid w:val="2AB63109"/>
    <w:rsid w:val="2ABE1FBE"/>
    <w:rsid w:val="2ABE5B1A"/>
    <w:rsid w:val="2AD30362"/>
    <w:rsid w:val="2ADE7F6A"/>
    <w:rsid w:val="2AE16933"/>
    <w:rsid w:val="2AE80DE9"/>
    <w:rsid w:val="2AFE060C"/>
    <w:rsid w:val="2B013C59"/>
    <w:rsid w:val="2B035C23"/>
    <w:rsid w:val="2B0D0850"/>
    <w:rsid w:val="2B0F45C8"/>
    <w:rsid w:val="2B204A27"/>
    <w:rsid w:val="2B471933"/>
    <w:rsid w:val="2B471FB3"/>
    <w:rsid w:val="2B4C1378"/>
    <w:rsid w:val="2B5D17D7"/>
    <w:rsid w:val="2B6568DD"/>
    <w:rsid w:val="2B6E5792"/>
    <w:rsid w:val="2B6F32B8"/>
    <w:rsid w:val="2B764647"/>
    <w:rsid w:val="2B817E3F"/>
    <w:rsid w:val="2B8925CC"/>
    <w:rsid w:val="2BA20995"/>
    <w:rsid w:val="2BA271EA"/>
    <w:rsid w:val="2BA650E8"/>
    <w:rsid w:val="2BA7272B"/>
    <w:rsid w:val="2BA94A1C"/>
    <w:rsid w:val="2BAD5B8F"/>
    <w:rsid w:val="2BBA37CC"/>
    <w:rsid w:val="2BBB474F"/>
    <w:rsid w:val="2BC40160"/>
    <w:rsid w:val="2BD829D4"/>
    <w:rsid w:val="2BD870AF"/>
    <w:rsid w:val="2BDF6B48"/>
    <w:rsid w:val="2BE271C7"/>
    <w:rsid w:val="2BE47802"/>
    <w:rsid w:val="2BFC3EB7"/>
    <w:rsid w:val="2C063C1D"/>
    <w:rsid w:val="2C0B54C5"/>
    <w:rsid w:val="2C0E7A44"/>
    <w:rsid w:val="2C106849"/>
    <w:rsid w:val="2C136339"/>
    <w:rsid w:val="2C180697"/>
    <w:rsid w:val="2C251BC9"/>
    <w:rsid w:val="2C3F2C8B"/>
    <w:rsid w:val="2C4604BD"/>
    <w:rsid w:val="2C4B162F"/>
    <w:rsid w:val="2C532BDA"/>
    <w:rsid w:val="2C550768"/>
    <w:rsid w:val="2C5C1A8E"/>
    <w:rsid w:val="2C640943"/>
    <w:rsid w:val="2C6941AB"/>
    <w:rsid w:val="2C752B50"/>
    <w:rsid w:val="2C820DC9"/>
    <w:rsid w:val="2C840FE5"/>
    <w:rsid w:val="2C844B41"/>
    <w:rsid w:val="2C8D2853"/>
    <w:rsid w:val="2CA23219"/>
    <w:rsid w:val="2CA37CE5"/>
    <w:rsid w:val="2CA70915"/>
    <w:rsid w:val="2CAB0320"/>
    <w:rsid w:val="2CB52F4D"/>
    <w:rsid w:val="2CC66F08"/>
    <w:rsid w:val="2CDC497D"/>
    <w:rsid w:val="2CE46028"/>
    <w:rsid w:val="2CF51881"/>
    <w:rsid w:val="2CFF1D81"/>
    <w:rsid w:val="2D001B1A"/>
    <w:rsid w:val="2D0F4D53"/>
    <w:rsid w:val="2D1265F1"/>
    <w:rsid w:val="2D1B36F8"/>
    <w:rsid w:val="2D2D51D9"/>
    <w:rsid w:val="2D3227EF"/>
    <w:rsid w:val="2D3B5B48"/>
    <w:rsid w:val="2D4744ED"/>
    <w:rsid w:val="2D486A1B"/>
    <w:rsid w:val="2D60110A"/>
    <w:rsid w:val="2D614E83"/>
    <w:rsid w:val="2D652BC5"/>
    <w:rsid w:val="2D7B41F9"/>
    <w:rsid w:val="2D917516"/>
    <w:rsid w:val="2D9B65E7"/>
    <w:rsid w:val="2D9C2453"/>
    <w:rsid w:val="2DA059AB"/>
    <w:rsid w:val="2DA30D70"/>
    <w:rsid w:val="2DA336ED"/>
    <w:rsid w:val="2DAC07F4"/>
    <w:rsid w:val="2DB256DE"/>
    <w:rsid w:val="2DB76677"/>
    <w:rsid w:val="2DBB27E5"/>
    <w:rsid w:val="2DC53663"/>
    <w:rsid w:val="2DC773DC"/>
    <w:rsid w:val="2DD27913"/>
    <w:rsid w:val="2DD438A6"/>
    <w:rsid w:val="2DD82143"/>
    <w:rsid w:val="2DD9710F"/>
    <w:rsid w:val="2DE04677"/>
    <w:rsid w:val="2DE735DA"/>
    <w:rsid w:val="2DE8459E"/>
    <w:rsid w:val="2DEF06E0"/>
    <w:rsid w:val="2E132621"/>
    <w:rsid w:val="2E156399"/>
    <w:rsid w:val="2E254102"/>
    <w:rsid w:val="2E432744"/>
    <w:rsid w:val="2E501DC0"/>
    <w:rsid w:val="2E516CA5"/>
    <w:rsid w:val="2E5F13C2"/>
    <w:rsid w:val="2E6D7F83"/>
    <w:rsid w:val="2E6E3CFB"/>
    <w:rsid w:val="2E6E7857"/>
    <w:rsid w:val="2E866557"/>
    <w:rsid w:val="2E871AFD"/>
    <w:rsid w:val="2EA119DB"/>
    <w:rsid w:val="2EA14BF6"/>
    <w:rsid w:val="2EC102CF"/>
    <w:rsid w:val="2EC76F67"/>
    <w:rsid w:val="2EDA313F"/>
    <w:rsid w:val="2EF44200"/>
    <w:rsid w:val="2EF835C5"/>
    <w:rsid w:val="2EF85C79"/>
    <w:rsid w:val="2EFC4E63"/>
    <w:rsid w:val="2F0106CB"/>
    <w:rsid w:val="2F0F757D"/>
    <w:rsid w:val="2F195A15"/>
    <w:rsid w:val="2F2B399A"/>
    <w:rsid w:val="2F2F348A"/>
    <w:rsid w:val="2F495C8D"/>
    <w:rsid w:val="2F4A6B22"/>
    <w:rsid w:val="2F5051AF"/>
    <w:rsid w:val="2F526F30"/>
    <w:rsid w:val="2F5A7DDB"/>
    <w:rsid w:val="2F5F6EB7"/>
    <w:rsid w:val="2F68074A"/>
    <w:rsid w:val="2F935D67"/>
    <w:rsid w:val="2F964A23"/>
    <w:rsid w:val="2F9C03F4"/>
    <w:rsid w:val="2F9C5AF8"/>
    <w:rsid w:val="2FA01C92"/>
    <w:rsid w:val="2FA379D4"/>
    <w:rsid w:val="2FAD0853"/>
    <w:rsid w:val="2FB3107F"/>
    <w:rsid w:val="2FB83480"/>
    <w:rsid w:val="2FB92D54"/>
    <w:rsid w:val="2FBB4D1E"/>
    <w:rsid w:val="2FC75471"/>
    <w:rsid w:val="2FCD1F6D"/>
    <w:rsid w:val="2FD22068"/>
    <w:rsid w:val="2FD91648"/>
    <w:rsid w:val="2FDD2BAB"/>
    <w:rsid w:val="2FE029D7"/>
    <w:rsid w:val="2FE04785"/>
    <w:rsid w:val="3003275C"/>
    <w:rsid w:val="30034D62"/>
    <w:rsid w:val="300541EB"/>
    <w:rsid w:val="30072FB3"/>
    <w:rsid w:val="300761B5"/>
    <w:rsid w:val="300C4661"/>
    <w:rsid w:val="302A611F"/>
    <w:rsid w:val="303442A2"/>
    <w:rsid w:val="30444929"/>
    <w:rsid w:val="30550CCF"/>
    <w:rsid w:val="30581511"/>
    <w:rsid w:val="30586A11"/>
    <w:rsid w:val="30896BCA"/>
    <w:rsid w:val="308B46F0"/>
    <w:rsid w:val="309612E7"/>
    <w:rsid w:val="30A74AA5"/>
    <w:rsid w:val="30A9726C"/>
    <w:rsid w:val="30AB6B41"/>
    <w:rsid w:val="30BA4104"/>
    <w:rsid w:val="30BC2EFE"/>
    <w:rsid w:val="30C45E54"/>
    <w:rsid w:val="30D2231F"/>
    <w:rsid w:val="31003190"/>
    <w:rsid w:val="31085D41"/>
    <w:rsid w:val="311741D6"/>
    <w:rsid w:val="31181CFC"/>
    <w:rsid w:val="311903FA"/>
    <w:rsid w:val="313308E4"/>
    <w:rsid w:val="313C3C3D"/>
    <w:rsid w:val="314D7BF8"/>
    <w:rsid w:val="314E571E"/>
    <w:rsid w:val="31503D1F"/>
    <w:rsid w:val="31584683"/>
    <w:rsid w:val="315A40C3"/>
    <w:rsid w:val="316136A3"/>
    <w:rsid w:val="31682C84"/>
    <w:rsid w:val="316B2774"/>
    <w:rsid w:val="316B4522"/>
    <w:rsid w:val="317433D6"/>
    <w:rsid w:val="317653A0"/>
    <w:rsid w:val="317C228B"/>
    <w:rsid w:val="317C672F"/>
    <w:rsid w:val="318A28D4"/>
    <w:rsid w:val="318C4BC4"/>
    <w:rsid w:val="31932FA4"/>
    <w:rsid w:val="31AB491E"/>
    <w:rsid w:val="31D64091"/>
    <w:rsid w:val="32081D71"/>
    <w:rsid w:val="320B756B"/>
    <w:rsid w:val="32132BEF"/>
    <w:rsid w:val="32170BF7"/>
    <w:rsid w:val="321B232A"/>
    <w:rsid w:val="321D3A6E"/>
    <w:rsid w:val="32292413"/>
    <w:rsid w:val="322A1CE7"/>
    <w:rsid w:val="32335040"/>
    <w:rsid w:val="323D5EBE"/>
    <w:rsid w:val="32537490"/>
    <w:rsid w:val="325925CC"/>
    <w:rsid w:val="326127B1"/>
    <w:rsid w:val="32650F71"/>
    <w:rsid w:val="327B2543"/>
    <w:rsid w:val="32821B23"/>
    <w:rsid w:val="32A314EE"/>
    <w:rsid w:val="32A41A99"/>
    <w:rsid w:val="32A55811"/>
    <w:rsid w:val="32A6798E"/>
    <w:rsid w:val="32AC4DF2"/>
    <w:rsid w:val="32AC6BA0"/>
    <w:rsid w:val="32AF043E"/>
    <w:rsid w:val="32B75C71"/>
    <w:rsid w:val="32BF68D3"/>
    <w:rsid w:val="32C959A4"/>
    <w:rsid w:val="32E63903"/>
    <w:rsid w:val="32EC3351"/>
    <w:rsid w:val="32F50547"/>
    <w:rsid w:val="33022C64"/>
    <w:rsid w:val="33076207"/>
    <w:rsid w:val="331537EB"/>
    <w:rsid w:val="33344C53"/>
    <w:rsid w:val="333F7A14"/>
    <w:rsid w:val="3355548A"/>
    <w:rsid w:val="33694A91"/>
    <w:rsid w:val="33712774"/>
    <w:rsid w:val="337A0A4C"/>
    <w:rsid w:val="33813B89"/>
    <w:rsid w:val="338F274A"/>
    <w:rsid w:val="3390201E"/>
    <w:rsid w:val="33955886"/>
    <w:rsid w:val="33A65CE5"/>
    <w:rsid w:val="33AC1B75"/>
    <w:rsid w:val="33BA709B"/>
    <w:rsid w:val="33D62126"/>
    <w:rsid w:val="33D63266"/>
    <w:rsid w:val="33DC5263"/>
    <w:rsid w:val="340D25AE"/>
    <w:rsid w:val="3423386A"/>
    <w:rsid w:val="342A2472"/>
    <w:rsid w:val="342A4220"/>
    <w:rsid w:val="34321327"/>
    <w:rsid w:val="3437693D"/>
    <w:rsid w:val="3439114E"/>
    <w:rsid w:val="344A6BD0"/>
    <w:rsid w:val="345319C9"/>
    <w:rsid w:val="34551134"/>
    <w:rsid w:val="345D2848"/>
    <w:rsid w:val="345E3ECA"/>
    <w:rsid w:val="346314E0"/>
    <w:rsid w:val="348778C5"/>
    <w:rsid w:val="349D0E96"/>
    <w:rsid w:val="34C5219B"/>
    <w:rsid w:val="34D47C15"/>
    <w:rsid w:val="34E73EBF"/>
    <w:rsid w:val="34FA1E45"/>
    <w:rsid w:val="34FD2B01"/>
    <w:rsid w:val="350C3926"/>
    <w:rsid w:val="351C000D"/>
    <w:rsid w:val="351E578C"/>
    <w:rsid w:val="3538644B"/>
    <w:rsid w:val="354B46BF"/>
    <w:rsid w:val="35527ED3"/>
    <w:rsid w:val="357201B9"/>
    <w:rsid w:val="357C0AAC"/>
    <w:rsid w:val="357E0CC8"/>
    <w:rsid w:val="35923A74"/>
    <w:rsid w:val="35935DF5"/>
    <w:rsid w:val="35AB75E3"/>
    <w:rsid w:val="35AE2C2F"/>
    <w:rsid w:val="35B244CD"/>
    <w:rsid w:val="35BF6BEA"/>
    <w:rsid w:val="35C83CF1"/>
    <w:rsid w:val="35D00DF7"/>
    <w:rsid w:val="35DC59EE"/>
    <w:rsid w:val="35DF3E2C"/>
    <w:rsid w:val="35E328D9"/>
    <w:rsid w:val="35EB5C31"/>
    <w:rsid w:val="35ED6E95"/>
    <w:rsid w:val="35EF74CF"/>
    <w:rsid w:val="35F35B5D"/>
    <w:rsid w:val="35FB7EB5"/>
    <w:rsid w:val="3608233F"/>
    <w:rsid w:val="36195880"/>
    <w:rsid w:val="362829E1"/>
    <w:rsid w:val="36310308"/>
    <w:rsid w:val="363E3FB3"/>
    <w:rsid w:val="3647730B"/>
    <w:rsid w:val="36486BE0"/>
    <w:rsid w:val="36633A19"/>
    <w:rsid w:val="36713907"/>
    <w:rsid w:val="367E66FF"/>
    <w:rsid w:val="368D0A96"/>
    <w:rsid w:val="36906C94"/>
    <w:rsid w:val="36932551"/>
    <w:rsid w:val="36A06C35"/>
    <w:rsid w:val="36BD5820"/>
    <w:rsid w:val="36C43EAE"/>
    <w:rsid w:val="36C50230"/>
    <w:rsid w:val="36C941C4"/>
    <w:rsid w:val="36D0755B"/>
    <w:rsid w:val="36D61B69"/>
    <w:rsid w:val="36E724CA"/>
    <w:rsid w:val="36E7464B"/>
    <w:rsid w:val="36E903C3"/>
    <w:rsid w:val="36FF3742"/>
    <w:rsid w:val="3712562B"/>
    <w:rsid w:val="371F3DE4"/>
    <w:rsid w:val="37256F21"/>
    <w:rsid w:val="372A4537"/>
    <w:rsid w:val="373E3CAE"/>
    <w:rsid w:val="3757357E"/>
    <w:rsid w:val="37647A49"/>
    <w:rsid w:val="376917E5"/>
    <w:rsid w:val="37735EDE"/>
    <w:rsid w:val="377A6DE0"/>
    <w:rsid w:val="377C36A6"/>
    <w:rsid w:val="378B1D9A"/>
    <w:rsid w:val="379522F8"/>
    <w:rsid w:val="37A6772E"/>
    <w:rsid w:val="37B254F5"/>
    <w:rsid w:val="37B7226F"/>
    <w:rsid w:val="37BA58BB"/>
    <w:rsid w:val="37BF7375"/>
    <w:rsid w:val="37C82A9F"/>
    <w:rsid w:val="37D03331"/>
    <w:rsid w:val="37DE77FC"/>
    <w:rsid w:val="37E82428"/>
    <w:rsid w:val="37F21986"/>
    <w:rsid w:val="38046D23"/>
    <w:rsid w:val="381D755C"/>
    <w:rsid w:val="38203879"/>
    <w:rsid w:val="38211E89"/>
    <w:rsid w:val="38253699"/>
    <w:rsid w:val="383513E6"/>
    <w:rsid w:val="38352216"/>
    <w:rsid w:val="38353194"/>
    <w:rsid w:val="383C283D"/>
    <w:rsid w:val="38433B03"/>
    <w:rsid w:val="384571B6"/>
    <w:rsid w:val="38547ABE"/>
    <w:rsid w:val="386817BB"/>
    <w:rsid w:val="38741F0E"/>
    <w:rsid w:val="387B14EE"/>
    <w:rsid w:val="388736CF"/>
    <w:rsid w:val="38877E93"/>
    <w:rsid w:val="38887767"/>
    <w:rsid w:val="389C3213"/>
    <w:rsid w:val="38C20ECB"/>
    <w:rsid w:val="38CA5FD2"/>
    <w:rsid w:val="38D63EA1"/>
    <w:rsid w:val="38EC7CF6"/>
    <w:rsid w:val="38FD3E94"/>
    <w:rsid w:val="391060DB"/>
    <w:rsid w:val="391159AF"/>
    <w:rsid w:val="39194863"/>
    <w:rsid w:val="391B05DB"/>
    <w:rsid w:val="39290F4A"/>
    <w:rsid w:val="394713D0"/>
    <w:rsid w:val="394A2C6F"/>
    <w:rsid w:val="3951224F"/>
    <w:rsid w:val="39581830"/>
    <w:rsid w:val="395D29A2"/>
    <w:rsid w:val="395F671A"/>
    <w:rsid w:val="396E1053"/>
    <w:rsid w:val="396E4BAF"/>
    <w:rsid w:val="396F26D5"/>
    <w:rsid w:val="39820122"/>
    <w:rsid w:val="39882115"/>
    <w:rsid w:val="39930ABA"/>
    <w:rsid w:val="399B34CA"/>
    <w:rsid w:val="399D36E6"/>
    <w:rsid w:val="39A24859"/>
    <w:rsid w:val="39A607ED"/>
    <w:rsid w:val="39AE1450"/>
    <w:rsid w:val="39B27192"/>
    <w:rsid w:val="39B36A66"/>
    <w:rsid w:val="39C779F1"/>
    <w:rsid w:val="39D07618"/>
    <w:rsid w:val="39E6508D"/>
    <w:rsid w:val="39F74BA5"/>
    <w:rsid w:val="39FA1E33"/>
    <w:rsid w:val="3A0472C2"/>
    <w:rsid w:val="3A0719C4"/>
    <w:rsid w:val="3A2D4A6A"/>
    <w:rsid w:val="3A4B3142"/>
    <w:rsid w:val="3A502507"/>
    <w:rsid w:val="3A612966"/>
    <w:rsid w:val="3A695377"/>
    <w:rsid w:val="3A6C4ACA"/>
    <w:rsid w:val="3A6C5593"/>
    <w:rsid w:val="3A802EE9"/>
    <w:rsid w:val="3A836438"/>
    <w:rsid w:val="3A886145"/>
    <w:rsid w:val="3A916DA7"/>
    <w:rsid w:val="3AA27206"/>
    <w:rsid w:val="3AB02FA5"/>
    <w:rsid w:val="3AB31AA7"/>
    <w:rsid w:val="3AB94550"/>
    <w:rsid w:val="3ABB02C8"/>
    <w:rsid w:val="3ABC52C8"/>
    <w:rsid w:val="3AC058DE"/>
    <w:rsid w:val="3AC54CA3"/>
    <w:rsid w:val="3AD4138A"/>
    <w:rsid w:val="3AD71DB1"/>
    <w:rsid w:val="3AE30103"/>
    <w:rsid w:val="3AE7497A"/>
    <w:rsid w:val="3AEA4709"/>
    <w:rsid w:val="3AF50731"/>
    <w:rsid w:val="3AFD443D"/>
    <w:rsid w:val="3B00217F"/>
    <w:rsid w:val="3B0B02C3"/>
    <w:rsid w:val="3B1F2605"/>
    <w:rsid w:val="3B23141D"/>
    <w:rsid w:val="3B2E0A9A"/>
    <w:rsid w:val="3B345984"/>
    <w:rsid w:val="3B3A2A32"/>
    <w:rsid w:val="3B4C7172"/>
    <w:rsid w:val="3B637FD8"/>
    <w:rsid w:val="3B684142"/>
    <w:rsid w:val="3B742225"/>
    <w:rsid w:val="3B7B1805"/>
    <w:rsid w:val="3B7D732B"/>
    <w:rsid w:val="3B822B94"/>
    <w:rsid w:val="3B8A50BE"/>
    <w:rsid w:val="3B8F3312"/>
    <w:rsid w:val="3B9572D6"/>
    <w:rsid w:val="3B9620CF"/>
    <w:rsid w:val="3BA743A8"/>
    <w:rsid w:val="3BAB20EB"/>
    <w:rsid w:val="3BAB3E99"/>
    <w:rsid w:val="3BD038FF"/>
    <w:rsid w:val="3BD322AF"/>
    <w:rsid w:val="3BD77A63"/>
    <w:rsid w:val="3BDD7DCA"/>
    <w:rsid w:val="3BE178BA"/>
    <w:rsid w:val="3BEE4F8A"/>
    <w:rsid w:val="3C067321"/>
    <w:rsid w:val="3C0A7FA1"/>
    <w:rsid w:val="3C2D2B00"/>
    <w:rsid w:val="3C355E58"/>
    <w:rsid w:val="3C3C59E3"/>
    <w:rsid w:val="3C3F4578"/>
    <w:rsid w:val="3C48228F"/>
    <w:rsid w:val="3C4D31A2"/>
    <w:rsid w:val="3C616C4D"/>
    <w:rsid w:val="3C6978B0"/>
    <w:rsid w:val="3C74072E"/>
    <w:rsid w:val="3C834E15"/>
    <w:rsid w:val="3C8A1D00"/>
    <w:rsid w:val="3C8F64E8"/>
    <w:rsid w:val="3C962485"/>
    <w:rsid w:val="3C9B215F"/>
    <w:rsid w:val="3C9E57AB"/>
    <w:rsid w:val="3C9F7ACB"/>
    <w:rsid w:val="3CA54D8C"/>
    <w:rsid w:val="3CAA4150"/>
    <w:rsid w:val="3CAD1E92"/>
    <w:rsid w:val="3CB11983"/>
    <w:rsid w:val="3CBD0327"/>
    <w:rsid w:val="3CC82828"/>
    <w:rsid w:val="3CCD7E3F"/>
    <w:rsid w:val="3CD016DD"/>
    <w:rsid w:val="3CD30144"/>
    <w:rsid w:val="3CE3195D"/>
    <w:rsid w:val="3CE93077"/>
    <w:rsid w:val="3CED228F"/>
    <w:rsid w:val="3D2F4655"/>
    <w:rsid w:val="3D344362"/>
    <w:rsid w:val="3D436353"/>
    <w:rsid w:val="3D463087"/>
    <w:rsid w:val="3D4F2725"/>
    <w:rsid w:val="3D6469F5"/>
    <w:rsid w:val="3D672041"/>
    <w:rsid w:val="3D6D107C"/>
    <w:rsid w:val="3D6F7148"/>
    <w:rsid w:val="3D755C30"/>
    <w:rsid w:val="3D7A7FC6"/>
    <w:rsid w:val="3D7D3613"/>
    <w:rsid w:val="3D960B78"/>
    <w:rsid w:val="3D96372E"/>
    <w:rsid w:val="3DA768E2"/>
    <w:rsid w:val="3DB122E7"/>
    <w:rsid w:val="3DBA2512"/>
    <w:rsid w:val="3DC01751"/>
    <w:rsid w:val="3DC47494"/>
    <w:rsid w:val="3DDF7E2A"/>
    <w:rsid w:val="3DF00289"/>
    <w:rsid w:val="3DFB09DB"/>
    <w:rsid w:val="3DFC4E7F"/>
    <w:rsid w:val="3E157CEF"/>
    <w:rsid w:val="3E18158D"/>
    <w:rsid w:val="3E263CAA"/>
    <w:rsid w:val="3E2919ED"/>
    <w:rsid w:val="3E2F4E6C"/>
    <w:rsid w:val="3E3839DE"/>
    <w:rsid w:val="3E3A1504"/>
    <w:rsid w:val="3E3F4E4E"/>
    <w:rsid w:val="3E416785"/>
    <w:rsid w:val="3E6842C3"/>
    <w:rsid w:val="3E686071"/>
    <w:rsid w:val="3E8567C1"/>
    <w:rsid w:val="3E8D7442"/>
    <w:rsid w:val="3E99447C"/>
    <w:rsid w:val="3EA006FD"/>
    <w:rsid w:val="3EA370A9"/>
    <w:rsid w:val="3ECB6600"/>
    <w:rsid w:val="3ECF4342"/>
    <w:rsid w:val="3ECF550F"/>
    <w:rsid w:val="3EDA6843"/>
    <w:rsid w:val="3EE576C2"/>
    <w:rsid w:val="3EEC4EF4"/>
    <w:rsid w:val="3F052CF0"/>
    <w:rsid w:val="3F0F473E"/>
    <w:rsid w:val="3F192072"/>
    <w:rsid w:val="3F192BAC"/>
    <w:rsid w:val="3F1D07BC"/>
    <w:rsid w:val="3F2301EA"/>
    <w:rsid w:val="3F3C12AC"/>
    <w:rsid w:val="3F4C14EF"/>
    <w:rsid w:val="3F5D708A"/>
    <w:rsid w:val="3F634A8A"/>
    <w:rsid w:val="3F8844F1"/>
    <w:rsid w:val="3F8E1B07"/>
    <w:rsid w:val="3F8E7D59"/>
    <w:rsid w:val="3F9C7B52"/>
    <w:rsid w:val="3FA56E51"/>
    <w:rsid w:val="3FC714BD"/>
    <w:rsid w:val="3FD12164"/>
    <w:rsid w:val="3FDA4D4C"/>
    <w:rsid w:val="3FE179E2"/>
    <w:rsid w:val="3FF676AC"/>
    <w:rsid w:val="3FF81676"/>
    <w:rsid w:val="40016322"/>
    <w:rsid w:val="400242A3"/>
    <w:rsid w:val="400520BB"/>
    <w:rsid w:val="40297A82"/>
    <w:rsid w:val="40385F17"/>
    <w:rsid w:val="403A57EB"/>
    <w:rsid w:val="40460634"/>
    <w:rsid w:val="40551E7C"/>
    <w:rsid w:val="40554F9C"/>
    <w:rsid w:val="40585637"/>
    <w:rsid w:val="4069496D"/>
    <w:rsid w:val="40750F19"/>
    <w:rsid w:val="407C22A8"/>
    <w:rsid w:val="40905D53"/>
    <w:rsid w:val="40997A4A"/>
    <w:rsid w:val="40A529B7"/>
    <w:rsid w:val="40B94831"/>
    <w:rsid w:val="40BE641C"/>
    <w:rsid w:val="40C17CBA"/>
    <w:rsid w:val="40C41559"/>
    <w:rsid w:val="40C61775"/>
    <w:rsid w:val="40CD665F"/>
    <w:rsid w:val="40D21EC7"/>
    <w:rsid w:val="40E1035D"/>
    <w:rsid w:val="411430A4"/>
    <w:rsid w:val="411B561D"/>
    <w:rsid w:val="411C1395"/>
    <w:rsid w:val="41270465"/>
    <w:rsid w:val="41476311"/>
    <w:rsid w:val="41566655"/>
    <w:rsid w:val="417137CD"/>
    <w:rsid w:val="41792343"/>
    <w:rsid w:val="418F7DB9"/>
    <w:rsid w:val="41AF3FB7"/>
    <w:rsid w:val="41B33AA7"/>
    <w:rsid w:val="41B810BD"/>
    <w:rsid w:val="41CB1FA5"/>
    <w:rsid w:val="41DA54D8"/>
    <w:rsid w:val="41DF2AEE"/>
    <w:rsid w:val="41EA4FEF"/>
    <w:rsid w:val="41F63D1A"/>
    <w:rsid w:val="4201746D"/>
    <w:rsid w:val="42114C71"/>
    <w:rsid w:val="42162288"/>
    <w:rsid w:val="42164036"/>
    <w:rsid w:val="421671CE"/>
    <w:rsid w:val="421A58D4"/>
    <w:rsid w:val="42240501"/>
    <w:rsid w:val="42254279"/>
    <w:rsid w:val="4225519F"/>
    <w:rsid w:val="422C694D"/>
    <w:rsid w:val="423170C2"/>
    <w:rsid w:val="4233672B"/>
    <w:rsid w:val="423A5F76"/>
    <w:rsid w:val="423F5AF2"/>
    <w:rsid w:val="42426100"/>
    <w:rsid w:val="42470693"/>
    <w:rsid w:val="424D3EFC"/>
    <w:rsid w:val="424F49A9"/>
    <w:rsid w:val="42613503"/>
    <w:rsid w:val="42672AE3"/>
    <w:rsid w:val="42890CAC"/>
    <w:rsid w:val="429F2F01"/>
    <w:rsid w:val="42A11B51"/>
    <w:rsid w:val="42A94EAA"/>
    <w:rsid w:val="42B11BCE"/>
    <w:rsid w:val="42B37AD7"/>
    <w:rsid w:val="42B55F90"/>
    <w:rsid w:val="42B95ACD"/>
    <w:rsid w:val="42BF437B"/>
    <w:rsid w:val="42C31117"/>
    <w:rsid w:val="42C61FE7"/>
    <w:rsid w:val="42CB6BCE"/>
    <w:rsid w:val="42D33CD5"/>
    <w:rsid w:val="42D731AB"/>
    <w:rsid w:val="42D73F8A"/>
    <w:rsid w:val="42E12896"/>
    <w:rsid w:val="42E44134"/>
    <w:rsid w:val="42F112EB"/>
    <w:rsid w:val="42F20F80"/>
    <w:rsid w:val="42F223AD"/>
    <w:rsid w:val="42F26851"/>
    <w:rsid w:val="43044022"/>
    <w:rsid w:val="431247FD"/>
    <w:rsid w:val="431A7B56"/>
    <w:rsid w:val="431E7BC4"/>
    <w:rsid w:val="432B58BF"/>
    <w:rsid w:val="432D3D9A"/>
    <w:rsid w:val="432E070E"/>
    <w:rsid w:val="432F53AF"/>
    <w:rsid w:val="43324E9F"/>
    <w:rsid w:val="434150E2"/>
    <w:rsid w:val="435254A9"/>
    <w:rsid w:val="4359067E"/>
    <w:rsid w:val="43730C42"/>
    <w:rsid w:val="43776D56"/>
    <w:rsid w:val="438324EF"/>
    <w:rsid w:val="43851473"/>
    <w:rsid w:val="438C2802"/>
    <w:rsid w:val="438F22F2"/>
    <w:rsid w:val="4393497C"/>
    <w:rsid w:val="43963680"/>
    <w:rsid w:val="43972F54"/>
    <w:rsid w:val="43981875"/>
    <w:rsid w:val="439B4160"/>
    <w:rsid w:val="439E0787"/>
    <w:rsid w:val="43AE7A61"/>
    <w:rsid w:val="43BF2BD7"/>
    <w:rsid w:val="43C81360"/>
    <w:rsid w:val="43C875B2"/>
    <w:rsid w:val="43CF6B92"/>
    <w:rsid w:val="43D146B8"/>
    <w:rsid w:val="43D321DE"/>
    <w:rsid w:val="43D441A9"/>
    <w:rsid w:val="43DD5834"/>
    <w:rsid w:val="43E30E9C"/>
    <w:rsid w:val="43E51F12"/>
    <w:rsid w:val="43EB7FFB"/>
    <w:rsid w:val="43EF1CD5"/>
    <w:rsid w:val="43EF4B3E"/>
    <w:rsid w:val="43F86D9F"/>
    <w:rsid w:val="43FF54EE"/>
    <w:rsid w:val="440838C9"/>
    <w:rsid w:val="440A1978"/>
    <w:rsid w:val="442347E8"/>
    <w:rsid w:val="443D1D4E"/>
    <w:rsid w:val="4450382F"/>
    <w:rsid w:val="44562A8D"/>
    <w:rsid w:val="445B0426"/>
    <w:rsid w:val="445F1CC4"/>
    <w:rsid w:val="4462631A"/>
    <w:rsid w:val="446612A5"/>
    <w:rsid w:val="44826404"/>
    <w:rsid w:val="4484172B"/>
    <w:rsid w:val="449201B8"/>
    <w:rsid w:val="44A14556"/>
    <w:rsid w:val="44A26055"/>
    <w:rsid w:val="44A75419"/>
    <w:rsid w:val="44BF6C07"/>
    <w:rsid w:val="44CE6E4A"/>
    <w:rsid w:val="44D37FBC"/>
    <w:rsid w:val="44D83825"/>
    <w:rsid w:val="44DC072C"/>
    <w:rsid w:val="44E64193"/>
    <w:rsid w:val="44EA30F8"/>
    <w:rsid w:val="44F7014F"/>
    <w:rsid w:val="44FA379B"/>
    <w:rsid w:val="44FF34A7"/>
    <w:rsid w:val="45002125"/>
    <w:rsid w:val="45091C30"/>
    <w:rsid w:val="450C7105"/>
    <w:rsid w:val="45120AE5"/>
    <w:rsid w:val="451F76A5"/>
    <w:rsid w:val="45203E33"/>
    <w:rsid w:val="45216F7A"/>
    <w:rsid w:val="452B604A"/>
    <w:rsid w:val="452D3A41"/>
    <w:rsid w:val="452E1696"/>
    <w:rsid w:val="452F4E0F"/>
    <w:rsid w:val="452F5B3A"/>
    <w:rsid w:val="45344EFF"/>
    <w:rsid w:val="45374644"/>
    <w:rsid w:val="4537679D"/>
    <w:rsid w:val="453D3EE4"/>
    <w:rsid w:val="454B049A"/>
    <w:rsid w:val="454F1D39"/>
    <w:rsid w:val="455C6204"/>
    <w:rsid w:val="456652D4"/>
    <w:rsid w:val="456B28EB"/>
    <w:rsid w:val="456F4189"/>
    <w:rsid w:val="4577303D"/>
    <w:rsid w:val="457F1EF2"/>
    <w:rsid w:val="458319E2"/>
    <w:rsid w:val="45AA5680"/>
    <w:rsid w:val="45AC0F39"/>
    <w:rsid w:val="45B1654F"/>
    <w:rsid w:val="45B63C5D"/>
    <w:rsid w:val="45B930D1"/>
    <w:rsid w:val="45B93656"/>
    <w:rsid w:val="45C1250B"/>
    <w:rsid w:val="45C97CE4"/>
    <w:rsid w:val="45D264C6"/>
    <w:rsid w:val="45DD7344"/>
    <w:rsid w:val="45E85CE9"/>
    <w:rsid w:val="45E87A97"/>
    <w:rsid w:val="45EA7CB3"/>
    <w:rsid w:val="45EC1CC2"/>
    <w:rsid w:val="45EF0E26"/>
    <w:rsid w:val="460523D5"/>
    <w:rsid w:val="4614088C"/>
    <w:rsid w:val="462431C5"/>
    <w:rsid w:val="462521AF"/>
    <w:rsid w:val="462C02CC"/>
    <w:rsid w:val="463B1B56"/>
    <w:rsid w:val="464E0242"/>
    <w:rsid w:val="466B11F9"/>
    <w:rsid w:val="46722C69"/>
    <w:rsid w:val="46774D7C"/>
    <w:rsid w:val="467B6B5D"/>
    <w:rsid w:val="4690085B"/>
    <w:rsid w:val="469A62E0"/>
    <w:rsid w:val="469F45FA"/>
    <w:rsid w:val="46BF6A4A"/>
    <w:rsid w:val="46CE7FFF"/>
    <w:rsid w:val="46D36123"/>
    <w:rsid w:val="46D36999"/>
    <w:rsid w:val="46DB13AA"/>
    <w:rsid w:val="46E11293"/>
    <w:rsid w:val="46E14C12"/>
    <w:rsid w:val="46E75FA1"/>
    <w:rsid w:val="46EB5A91"/>
    <w:rsid w:val="46EE732F"/>
    <w:rsid w:val="47024B89"/>
    <w:rsid w:val="47222787"/>
    <w:rsid w:val="47224B4B"/>
    <w:rsid w:val="47332F94"/>
    <w:rsid w:val="4734568A"/>
    <w:rsid w:val="47413903"/>
    <w:rsid w:val="474D4586"/>
    <w:rsid w:val="475A2C17"/>
    <w:rsid w:val="475F022D"/>
    <w:rsid w:val="475F1FDB"/>
    <w:rsid w:val="47857C94"/>
    <w:rsid w:val="478F28C0"/>
    <w:rsid w:val="47960E5D"/>
    <w:rsid w:val="479F062A"/>
    <w:rsid w:val="47A345BE"/>
    <w:rsid w:val="47AC3472"/>
    <w:rsid w:val="47AD0F98"/>
    <w:rsid w:val="47CA56A6"/>
    <w:rsid w:val="47E238E1"/>
    <w:rsid w:val="47E330FE"/>
    <w:rsid w:val="47F27463"/>
    <w:rsid w:val="47FC782A"/>
    <w:rsid w:val="48082673"/>
    <w:rsid w:val="48106A10"/>
    <w:rsid w:val="482374AD"/>
    <w:rsid w:val="482C010F"/>
    <w:rsid w:val="482C04E4"/>
    <w:rsid w:val="48362D3C"/>
    <w:rsid w:val="483E7E42"/>
    <w:rsid w:val="484511D1"/>
    <w:rsid w:val="484F3DFE"/>
    <w:rsid w:val="485B6C46"/>
    <w:rsid w:val="48710218"/>
    <w:rsid w:val="48757D08"/>
    <w:rsid w:val="487D6BBD"/>
    <w:rsid w:val="488E2B78"/>
    <w:rsid w:val="489A776F"/>
    <w:rsid w:val="48AE6D76"/>
    <w:rsid w:val="48C26CC5"/>
    <w:rsid w:val="48CC18F2"/>
    <w:rsid w:val="48CC544E"/>
    <w:rsid w:val="48D013E2"/>
    <w:rsid w:val="48D2515B"/>
    <w:rsid w:val="48DA400F"/>
    <w:rsid w:val="48E1539E"/>
    <w:rsid w:val="48E1714C"/>
    <w:rsid w:val="48E672D5"/>
    <w:rsid w:val="48E7672C"/>
    <w:rsid w:val="48F03833"/>
    <w:rsid w:val="48F350D1"/>
    <w:rsid w:val="48FF75D2"/>
    <w:rsid w:val="4904250E"/>
    <w:rsid w:val="490B241B"/>
    <w:rsid w:val="490C1CEF"/>
    <w:rsid w:val="492F386E"/>
    <w:rsid w:val="493059DD"/>
    <w:rsid w:val="493D1A60"/>
    <w:rsid w:val="49437E06"/>
    <w:rsid w:val="495C67D2"/>
    <w:rsid w:val="4961203A"/>
    <w:rsid w:val="49683A40"/>
    <w:rsid w:val="496F0BFB"/>
    <w:rsid w:val="49A2349F"/>
    <w:rsid w:val="49B022D0"/>
    <w:rsid w:val="49C55DB4"/>
    <w:rsid w:val="49CA7BE0"/>
    <w:rsid w:val="49CF2BCF"/>
    <w:rsid w:val="49DC7913"/>
    <w:rsid w:val="49F7474D"/>
    <w:rsid w:val="49FB5A82"/>
    <w:rsid w:val="4A064990"/>
    <w:rsid w:val="4A070E34"/>
    <w:rsid w:val="4A0C1A2C"/>
    <w:rsid w:val="4A205F2C"/>
    <w:rsid w:val="4A235542"/>
    <w:rsid w:val="4A331C29"/>
    <w:rsid w:val="4A4F6337"/>
    <w:rsid w:val="4A522065"/>
    <w:rsid w:val="4A541B9F"/>
    <w:rsid w:val="4A57261A"/>
    <w:rsid w:val="4A590F64"/>
    <w:rsid w:val="4A5C2802"/>
    <w:rsid w:val="4A606796"/>
    <w:rsid w:val="4A7246E2"/>
    <w:rsid w:val="4A8809CA"/>
    <w:rsid w:val="4A8A16DF"/>
    <w:rsid w:val="4A8E6E5F"/>
    <w:rsid w:val="4A9326C8"/>
    <w:rsid w:val="4A981A8C"/>
    <w:rsid w:val="4A9F72BE"/>
    <w:rsid w:val="4AA2290B"/>
    <w:rsid w:val="4AA448D5"/>
    <w:rsid w:val="4AA91EEB"/>
    <w:rsid w:val="4AC45DF4"/>
    <w:rsid w:val="4AC7359A"/>
    <w:rsid w:val="4AE253FD"/>
    <w:rsid w:val="4AE41175"/>
    <w:rsid w:val="4AE7656F"/>
    <w:rsid w:val="4AF34F14"/>
    <w:rsid w:val="4AFF5FAF"/>
    <w:rsid w:val="4B074E64"/>
    <w:rsid w:val="4B0B2860"/>
    <w:rsid w:val="4B125CE2"/>
    <w:rsid w:val="4B245A16"/>
    <w:rsid w:val="4B3774F7"/>
    <w:rsid w:val="4B38501D"/>
    <w:rsid w:val="4B3D2633"/>
    <w:rsid w:val="4B3D6AD7"/>
    <w:rsid w:val="4B481704"/>
    <w:rsid w:val="4B4B4D50"/>
    <w:rsid w:val="4B4B7E02"/>
    <w:rsid w:val="4B614574"/>
    <w:rsid w:val="4B62409E"/>
    <w:rsid w:val="4B693428"/>
    <w:rsid w:val="4B722ABE"/>
    <w:rsid w:val="4B7778F3"/>
    <w:rsid w:val="4B7C7600"/>
    <w:rsid w:val="4B7E3D8D"/>
    <w:rsid w:val="4B7F0E9E"/>
    <w:rsid w:val="4B8E2E8F"/>
    <w:rsid w:val="4B977F95"/>
    <w:rsid w:val="4B9E1324"/>
    <w:rsid w:val="4BA91A77"/>
    <w:rsid w:val="4BA97CC9"/>
    <w:rsid w:val="4BB23021"/>
    <w:rsid w:val="4BBD5364"/>
    <w:rsid w:val="4BC845F3"/>
    <w:rsid w:val="4BD5286C"/>
    <w:rsid w:val="4BDC71CD"/>
    <w:rsid w:val="4BE156B5"/>
    <w:rsid w:val="4BE504E7"/>
    <w:rsid w:val="4BE551A5"/>
    <w:rsid w:val="4BE72175"/>
    <w:rsid w:val="4BF54BAD"/>
    <w:rsid w:val="4BF74ED8"/>
    <w:rsid w:val="4BF90C50"/>
    <w:rsid w:val="4C143394"/>
    <w:rsid w:val="4C177328"/>
    <w:rsid w:val="4C194E4E"/>
    <w:rsid w:val="4C1E2465"/>
    <w:rsid w:val="4C215AB1"/>
    <w:rsid w:val="4C2630C7"/>
    <w:rsid w:val="4C337A6B"/>
    <w:rsid w:val="4C34262D"/>
    <w:rsid w:val="4C463387"/>
    <w:rsid w:val="4C4B0D80"/>
    <w:rsid w:val="4C4D4AF8"/>
    <w:rsid w:val="4C5145E8"/>
    <w:rsid w:val="4C675BBA"/>
    <w:rsid w:val="4C697246"/>
    <w:rsid w:val="4C6A56AA"/>
    <w:rsid w:val="4C6F1BE1"/>
    <w:rsid w:val="4C7D53DD"/>
    <w:rsid w:val="4C9269AF"/>
    <w:rsid w:val="4CB6269D"/>
    <w:rsid w:val="4CC324CA"/>
    <w:rsid w:val="4CD15729"/>
    <w:rsid w:val="4CE9152E"/>
    <w:rsid w:val="4CF02F19"/>
    <w:rsid w:val="4CF907DC"/>
    <w:rsid w:val="4D0E4287"/>
    <w:rsid w:val="4D2F209B"/>
    <w:rsid w:val="4D373AD7"/>
    <w:rsid w:val="4D396A73"/>
    <w:rsid w:val="4D3D6261"/>
    <w:rsid w:val="4D405120"/>
    <w:rsid w:val="4D425940"/>
    <w:rsid w:val="4D561F7B"/>
    <w:rsid w:val="4D583754"/>
    <w:rsid w:val="4D6C7200"/>
    <w:rsid w:val="4D7A7353"/>
    <w:rsid w:val="4D7D31BB"/>
    <w:rsid w:val="4D7F6F33"/>
    <w:rsid w:val="4D9F6625"/>
    <w:rsid w:val="4DB0533F"/>
    <w:rsid w:val="4DBF26D1"/>
    <w:rsid w:val="4DD94895"/>
    <w:rsid w:val="4DE84044"/>
    <w:rsid w:val="4DEE5DF2"/>
    <w:rsid w:val="4DF523A6"/>
    <w:rsid w:val="4DF96CE5"/>
    <w:rsid w:val="4E1A4EAE"/>
    <w:rsid w:val="4E1C0C26"/>
    <w:rsid w:val="4E1F4272"/>
    <w:rsid w:val="4E396679"/>
    <w:rsid w:val="4E3C4E24"/>
    <w:rsid w:val="4E41726B"/>
    <w:rsid w:val="4E481A1B"/>
    <w:rsid w:val="4E656129"/>
    <w:rsid w:val="4E6A0A71"/>
    <w:rsid w:val="4E6B74B7"/>
    <w:rsid w:val="4E7E71EB"/>
    <w:rsid w:val="4E810A89"/>
    <w:rsid w:val="4E8B1908"/>
    <w:rsid w:val="4E9C5D85"/>
    <w:rsid w:val="4EA561E7"/>
    <w:rsid w:val="4EC07FC0"/>
    <w:rsid w:val="4EC70B92"/>
    <w:rsid w:val="4ED84B4D"/>
    <w:rsid w:val="4EF26794"/>
    <w:rsid w:val="4EF714A2"/>
    <w:rsid w:val="4EF83441"/>
    <w:rsid w:val="4F1144FC"/>
    <w:rsid w:val="4F194C76"/>
    <w:rsid w:val="4F197F54"/>
    <w:rsid w:val="4F1C3A1A"/>
    <w:rsid w:val="4F22401A"/>
    <w:rsid w:val="4F277310"/>
    <w:rsid w:val="4F2C30EB"/>
    <w:rsid w:val="4F363F69"/>
    <w:rsid w:val="4F457D08"/>
    <w:rsid w:val="4F4C1097"/>
    <w:rsid w:val="4F5E6A31"/>
    <w:rsid w:val="4F625F52"/>
    <w:rsid w:val="4F6B3C13"/>
    <w:rsid w:val="4F960564"/>
    <w:rsid w:val="4F9634CC"/>
    <w:rsid w:val="4FA64C4B"/>
    <w:rsid w:val="4FB37368"/>
    <w:rsid w:val="4FC11A85"/>
    <w:rsid w:val="4FD25A40"/>
    <w:rsid w:val="4FD26FCE"/>
    <w:rsid w:val="4FD4254F"/>
    <w:rsid w:val="4FD55530"/>
    <w:rsid w:val="4FD55E3A"/>
    <w:rsid w:val="4FE63D4E"/>
    <w:rsid w:val="4FEB08B0"/>
    <w:rsid w:val="4FF0236A"/>
    <w:rsid w:val="4FF37764"/>
    <w:rsid w:val="4FF754A7"/>
    <w:rsid w:val="500100D3"/>
    <w:rsid w:val="50045AFA"/>
    <w:rsid w:val="50106AF7"/>
    <w:rsid w:val="50175B49"/>
    <w:rsid w:val="502142D2"/>
    <w:rsid w:val="50414974"/>
    <w:rsid w:val="50465417"/>
    <w:rsid w:val="504D50C7"/>
    <w:rsid w:val="50527240"/>
    <w:rsid w:val="50597F0F"/>
    <w:rsid w:val="505A5A36"/>
    <w:rsid w:val="5072363C"/>
    <w:rsid w:val="507408A5"/>
    <w:rsid w:val="5076286F"/>
    <w:rsid w:val="50882859"/>
    <w:rsid w:val="508839C8"/>
    <w:rsid w:val="50A849F3"/>
    <w:rsid w:val="50AA2368"/>
    <w:rsid w:val="50AA2519"/>
    <w:rsid w:val="50BF6038"/>
    <w:rsid w:val="50C07F8E"/>
    <w:rsid w:val="50CD00D4"/>
    <w:rsid w:val="50D15CF8"/>
    <w:rsid w:val="50D94BAC"/>
    <w:rsid w:val="50DD28EE"/>
    <w:rsid w:val="50E71DCC"/>
    <w:rsid w:val="51143E36"/>
    <w:rsid w:val="511D0F3D"/>
    <w:rsid w:val="51295B34"/>
    <w:rsid w:val="513B7615"/>
    <w:rsid w:val="51491D32"/>
    <w:rsid w:val="514C537E"/>
    <w:rsid w:val="517448D5"/>
    <w:rsid w:val="517B555A"/>
    <w:rsid w:val="518E6AD2"/>
    <w:rsid w:val="519A0DF5"/>
    <w:rsid w:val="519B00B4"/>
    <w:rsid w:val="51A72EFC"/>
    <w:rsid w:val="51B33440"/>
    <w:rsid w:val="51C615D4"/>
    <w:rsid w:val="51ED4DB3"/>
    <w:rsid w:val="51EE4687"/>
    <w:rsid w:val="51FA74D0"/>
    <w:rsid w:val="51FB0B52"/>
    <w:rsid w:val="52041D74"/>
    <w:rsid w:val="52097925"/>
    <w:rsid w:val="522105B9"/>
    <w:rsid w:val="5221680B"/>
    <w:rsid w:val="52233AB0"/>
    <w:rsid w:val="52291CD0"/>
    <w:rsid w:val="522D51B0"/>
    <w:rsid w:val="52483D98"/>
    <w:rsid w:val="5253098E"/>
    <w:rsid w:val="52656929"/>
    <w:rsid w:val="52666914"/>
    <w:rsid w:val="526861E8"/>
    <w:rsid w:val="526D7CA2"/>
    <w:rsid w:val="528C45CC"/>
    <w:rsid w:val="529671F9"/>
    <w:rsid w:val="52BA27BB"/>
    <w:rsid w:val="52BE6D6C"/>
    <w:rsid w:val="52C13B4A"/>
    <w:rsid w:val="52C16DA1"/>
    <w:rsid w:val="52CB49C9"/>
    <w:rsid w:val="52F61A46"/>
    <w:rsid w:val="52FC57CF"/>
    <w:rsid w:val="53193986"/>
    <w:rsid w:val="532E7431"/>
    <w:rsid w:val="53301E1E"/>
    <w:rsid w:val="533113DD"/>
    <w:rsid w:val="53346A12"/>
    <w:rsid w:val="53400F13"/>
    <w:rsid w:val="53403FEA"/>
    <w:rsid w:val="53424C8B"/>
    <w:rsid w:val="535B37A2"/>
    <w:rsid w:val="53642E53"/>
    <w:rsid w:val="53841AA0"/>
    <w:rsid w:val="53894668"/>
    <w:rsid w:val="539D6365"/>
    <w:rsid w:val="53C25DCC"/>
    <w:rsid w:val="53C51035"/>
    <w:rsid w:val="53C725AE"/>
    <w:rsid w:val="53D004E8"/>
    <w:rsid w:val="53D0574A"/>
    <w:rsid w:val="53D31D87"/>
    <w:rsid w:val="53E67D0C"/>
    <w:rsid w:val="53E775E0"/>
    <w:rsid w:val="53F27225"/>
    <w:rsid w:val="53FB308C"/>
    <w:rsid w:val="540208BE"/>
    <w:rsid w:val="540E1011"/>
    <w:rsid w:val="540E2DBF"/>
    <w:rsid w:val="541D2076"/>
    <w:rsid w:val="54282699"/>
    <w:rsid w:val="543E6578"/>
    <w:rsid w:val="54444A33"/>
    <w:rsid w:val="54617393"/>
    <w:rsid w:val="54774E08"/>
    <w:rsid w:val="547F3CBD"/>
    <w:rsid w:val="54817A35"/>
    <w:rsid w:val="54882B71"/>
    <w:rsid w:val="548E14C3"/>
    <w:rsid w:val="54A50E28"/>
    <w:rsid w:val="54A84FC1"/>
    <w:rsid w:val="54AB647D"/>
    <w:rsid w:val="54B03E76"/>
    <w:rsid w:val="54BC6CBF"/>
    <w:rsid w:val="54D13CB7"/>
    <w:rsid w:val="54DE09E3"/>
    <w:rsid w:val="54E42606"/>
    <w:rsid w:val="54EB0BF5"/>
    <w:rsid w:val="54EB4860"/>
    <w:rsid w:val="54ED0D18"/>
    <w:rsid w:val="54F9581D"/>
    <w:rsid w:val="550D3076"/>
    <w:rsid w:val="550F6DEF"/>
    <w:rsid w:val="551556A5"/>
    <w:rsid w:val="5516017D"/>
    <w:rsid w:val="551B5793"/>
    <w:rsid w:val="551C5030"/>
    <w:rsid w:val="551E5284"/>
    <w:rsid w:val="551E7032"/>
    <w:rsid w:val="552370A2"/>
    <w:rsid w:val="55256612"/>
    <w:rsid w:val="553D773C"/>
    <w:rsid w:val="55466588"/>
    <w:rsid w:val="554747DA"/>
    <w:rsid w:val="554A6079"/>
    <w:rsid w:val="554C0043"/>
    <w:rsid w:val="55535E25"/>
    <w:rsid w:val="55652EB2"/>
    <w:rsid w:val="5573066B"/>
    <w:rsid w:val="55823A64"/>
    <w:rsid w:val="55A325CC"/>
    <w:rsid w:val="55A75279"/>
    <w:rsid w:val="55AC288F"/>
    <w:rsid w:val="55AD20B3"/>
    <w:rsid w:val="55B47996"/>
    <w:rsid w:val="55BD4A9D"/>
    <w:rsid w:val="55C4407D"/>
    <w:rsid w:val="55CA71B9"/>
    <w:rsid w:val="55CB3D32"/>
    <w:rsid w:val="55CC3AF7"/>
    <w:rsid w:val="55D329CC"/>
    <w:rsid w:val="55DC0E88"/>
    <w:rsid w:val="55EA494A"/>
    <w:rsid w:val="55FF50B5"/>
    <w:rsid w:val="560143A9"/>
    <w:rsid w:val="56066443"/>
    <w:rsid w:val="561F12B3"/>
    <w:rsid w:val="562059CA"/>
    <w:rsid w:val="56292132"/>
    <w:rsid w:val="563034C0"/>
    <w:rsid w:val="5630526E"/>
    <w:rsid w:val="563A60ED"/>
    <w:rsid w:val="563B3C13"/>
    <w:rsid w:val="5647080A"/>
    <w:rsid w:val="56494582"/>
    <w:rsid w:val="564F7C22"/>
    <w:rsid w:val="56535401"/>
    <w:rsid w:val="566156C7"/>
    <w:rsid w:val="566A7CD9"/>
    <w:rsid w:val="566B2528"/>
    <w:rsid w:val="566F6B28"/>
    <w:rsid w:val="567C6706"/>
    <w:rsid w:val="567E247E"/>
    <w:rsid w:val="56813D1C"/>
    <w:rsid w:val="56837089"/>
    <w:rsid w:val="568850AA"/>
    <w:rsid w:val="569A3030"/>
    <w:rsid w:val="56B70654"/>
    <w:rsid w:val="56B85264"/>
    <w:rsid w:val="56BE7FDF"/>
    <w:rsid w:val="56C92B53"/>
    <w:rsid w:val="56D7393C"/>
    <w:rsid w:val="56D95906"/>
    <w:rsid w:val="56DA179D"/>
    <w:rsid w:val="56DF0A43"/>
    <w:rsid w:val="56E317E5"/>
    <w:rsid w:val="56E66275"/>
    <w:rsid w:val="56F3149B"/>
    <w:rsid w:val="56F444EE"/>
    <w:rsid w:val="56F50266"/>
    <w:rsid w:val="570109B9"/>
    <w:rsid w:val="570861EB"/>
    <w:rsid w:val="571E77BD"/>
    <w:rsid w:val="57315742"/>
    <w:rsid w:val="573C7C43"/>
    <w:rsid w:val="573D7BE4"/>
    <w:rsid w:val="574B60D8"/>
    <w:rsid w:val="576553EC"/>
    <w:rsid w:val="57805D82"/>
    <w:rsid w:val="57880962"/>
    <w:rsid w:val="578810DA"/>
    <w:rsid w:val="57894109"/>
    <w:rsid w:val="579E08FE"/>
    <w:rsid w:val="57A63600"/>
    <w:rsid w:val="57AA72A2"/>
    <w:rsid w:val="57B41ECF"/>
    <w:rsid w:val="57CA16F3"/>
    <w:rsid w:val="57DB56AE"/>
    <w:rsid w:val="57DD3777"/>
    <w:rsid w:val="57F37F1F"/>
    <w:rsid w:val="57F4051E"/>
    <w:rsid w:val="58022C3B"/>
    <w:rsid w:val="580249E9"/>
    <w:rsid w:val="58044C05"/>
    <w:rsid w:val="58337298"/>
    <w:rsid w:val="58450D79"/>
    <w:rsid w:val="58533496"/>
    <w:rsid w:val="58564D34"/>
    <w:rsid w:val="58586CFE"/>
    <w:rsid w:val="585A2A77"/>
    <w:rsid w:val="587873A1"/>
    <w:rsid w:val="58796AD3"/>
    <w:rsid w:val="587C0C3F"/>
    <w:rsid w:val="58A14202"/>
    <w:rsid w:val="58A837E2"/>
    <w:rsid w:val="58AE4B70"/>
    <w:rsid w:val="58E10F36"/>
    <w:rsid w:val="58F05189"/>
    <w:rsid w:val="58F14F2A"/>
    <w:rsid w:val="590429E2"/>
    <w:rsid w:val="59050C34"/>
    <w:rsid w:val="590A624B"/>
    <w:rsid w:val="591075D9"/>
    <w:rsid w:val="591C5F7E"/>
    <w:rsid w:val="59201E0F"/>
    <w:rsid w:val="592117E6"/>
    <w:rsid w:val="5930114B"/>
    <w:rsid w:val="593257A1"/>
    <w:rsid w:val="59516454"/>
    <w:rsid w:val="59587520"/>
    <w:rsid w:val="59653481"/>
    <w:rsid w:val="597D6D22"/>
    <w:rsid w:val="59853B23"/>
    <w:rsid w:val="59856944"/>
    <w:rsid w:val="59861649"/>
    <w:rsid w:val="59875AED"/>
    <w:rsid w:val="598D29D8"/>
    <w:rsid w:val="59A321FB"/>
    <w:rsid w:val="59AC10B0"/>
    <w:rsid w:val="59C56616"/>
    <w:rsid w:val="59C77184"/>
    <w:rsid w:val="5A0802B0"/>
    <w:rsid w:val="5A085CB9"/>
    <w:rsid w:val="5A221372"/>
    <w:rsid w:val="5A274BDA"/>
    <w:rsid w:val="5A2921FA"/>
    <w:rsid w:val="5A3572F7"/>
    <w:rsid w:val="5A3966BC"/>
    <w:rsid w:val="5A451531"/>
    <w:rsid w:val="5A492DA3"/>
    <w:rsid w:val="5A4968FF"/>
    <w:rsid w:val="5A56101C"/>
    <w:rsid w:val="5A604DB4"/>
    <w:rsid w:val="5A6A4AC7"/>
    <w:rsid w:val="5A8E4C59"/>
    <w:rsid w:val="5A955FE8"/>
    <w:rsid w:val="5A9600FD"/>
    <w:rsid w:val="5AA903B9"/>
    <w:rsid w:val="5AA9356E"/>
    <w:rsid w:val="5AAD6225"/>
    <w:rsid w:val="5AC24903"/>
    <w:rsid w:val="5ACB4289"/>
    <w:rsid w:val="5AD00DCE"/>
    <w:rsid w:val="5AD51765"/>
    <w:rsid w:val="5AD62DB4"/>
    <w:rsid w:val="5AE0479A"/>
    <w:rsid w:val="5AE83531"/>
    <w:rsid w:val="5AED7BD2"/>
    <w:rsid w:val="5AF727FF"/>
    <w:rsid w:val="5AF744DA"/>
    <w:rsid w:val="5AF80325"/>
    <w:rsid w:val="5B081FD1"/>
    <w:rsid w:val="5B08233D"/>
    <w:rsid w:val="5B0B44FC"/>
    <w:rsid w:val="5B1C2265"/>
    <w:rsid w:val="5B250298"/>
    <w:rsid w:val="5B2630E4"/>
    <w:rsid w:val="5B2D0088"/>
    <w:rsid w:val="5B2D6220"/>
    <w:rsid w:val="5B3E042E"/>
    <w:rsid w:val="5B435A44"/>
    <w:rsid w:val="5B44356A"/>
    <w:rsid w:val="5B4A2EA7"/>
    <w:rsid w:val="5B4B2B4A"/>
    <w:rsid w:val="5B503CBD"/>
    <w:rsid w:val="5B6634E0"/>
    <w:rsid w:val="5B7377AF"/>
    <w:rsid w:val="5B914A01"/>
    <w:rsid w:val="5B9718EC"/>
    <w:rsid w:val="5B9E711E"/>
    <w:rsid w:val="5BA34735"/>
    <w:rsid w:val="5BA67D81"/>
    <w:rsid w:val="5BAD55B3"/>
    <w:rsid w:val="5BAF63AA"/>
    <w:rsid w:val="5BB57FC4"/>
    <w:rsid w:val="5BD65D63"/>
    <w:rsid w:val="5BE2700B"/>
    <w:rsid w:val="5BE34B31"/>
    <w:rsid w:val="5C007491"/>
    <w:rsid w:val="5C183C23"/>
    <w:rsid w:val="5C2E04A2"/>
    <w:rsid w:val="5C34538D"/>
    <w:rsid w:val="5C3822CC"/>
    <w:rsid w:val="5C3A6E47"/>
    <w:rsid w:val="5C3D06E5"/>
    <w:rsid w:val="5C3D6937"/>
    <w:rsid w:val="5C4B6B03"/>
    <w:rsid w:val="5C5D6E1A"/>
    <w:rsid w:val="5C642116"/>
    <w:rsid w:val="5C6914DA"/>
    <w:rsid w:val="5C797243"/>
    <w:rsid w:val="5C7D4F86"/>
    <w:rsid w:val="5C7F2BF1"/>
    <w:rsid w:val="5C82434A"/>
    <w:rsid w:val="5C8F25FB"/>
    <w:rsid w:val="5C91458D"/>
    <w:rsid w:val="5C981DBF"/>
    <w:rsid w:val="5CB62246"/>
    <w:rsid w:val="5CC22998"/>
    <w:rsid w:val="5CD56B70"/>
    <w:rsid w:val="5CDA4186"/>
    <w:rsid w:val="5CE57E3C"/>
    <w:rsid w:val="5CE60466"/>
    <w:rsid w:val="5CE82AF2"/>
    <w:rsid w:val="5CF60894"/>
    <w:rsid w:val="5CF74D38"/>
    <w:rsid w:val="5D105DFA"/>
    <w:rsid w:val="5D1458EA"/>
    <w:rsid w:val="5D192F00"/>
    <w:rsid w:val="5D363A5E"/>
    <w:rsid w:val="5D3A2E77"/>
    <w:rsid w:val="5D416297"/>
    <w:rsid w:val="5D510063"/>
    <w:rsid w:val="5D530617"/>
    <w:rsid w:val="5D5D7D54"/>
    <w:rsid w:val="5DA64068"/>
    <w:rsid w:val="5DAF1575"/>
    <w:rsid w:val="5DBB5D65"/>
    <w:rsid w:val="5DC170F4"/>
    <w:rsid w:val="5DEF1EB3"/>
    <w:rsid w:val="5DF23751"/>
    <w:rsid w:val="5DF254FF"/>
    <w:rsid w:val="5E0301D2"/>
    <w:rsid w:val="5E033269"/>
    <w:rsid w:val="5E287173"/>
    <w:rsid w:val="5E2B203A"/>
    <w:rsid w:val="5E311AA2"/>
    <w:rsid w:val="5E341674"/>
    <w:rsid w:val="5E3E0745"/>
    <w:rsid w:val="5E3E6996"/>
    <w:rsid w:val="5E4A0E97"/>
    <w:rsid w:val="5E4D2736"/>
    <w:rsid w:val="5E5D50D2"/>
    <w:rsid w:val="5E6C2174"/>
    <w:rsid w:val="5E712AFE"/>
    <w:rsid w:val="5E7423B8"/>
    <w:rsid w:val="5E7603E3"/>
    <w:rsid w:val="5E826506"/>
    <w:rsid w:val="5E84084D"/>
    <w:rsid w:val="5E912F6A"/>
    <w:rsid w:val="5EA7453C"/>
    <w:rsid w:val="5EB6477F"/>
    <w:rsid w:val="5EDA66BF"/>
    <w:rsid w:val="5EDA7DE2"/>
    <w:rsid w:val="5EF64B7B"/>
    <w:rsid w:val="5EFF7ED4"/>
    <w:rsid w:val="5F0955FB"/>
    <w:rsid w:val="5F1C0A86"/>
    <w:rsid w:val="5F1C5490"/>
    <w:rsid w:val="5F202420"/>
    <w:rsid w:val="5F28567D"/>
    <w:rsid w:val="5F2D2C93"/>
    <w:rsid w:val="5F3E23E4"/>
    <w:rsid w:val="5F5256EF"/>
    <w:rsid w:val="5F6D4AD6"/>
    <w:rsid w:val="5F73441E"/>
    <w:rsid w:val="5F8108E9"/>
    <w:rsid w:val="5F830B05"/>
    <w:rsid w:val="5FAD7303"/>
    <w:rsid w:val="5FB01277"/>
    <w:rsid w:val="5FB763F1"/>
    <w:rsid w:val="5FD76F4D"/>
    <w:rsid w:val="5FE377F5"/>
    <w:rsid w:val="5FEC3E56"/>
    <w:rsid w:val="5FF612D7"/>
    <w:rsid w:val="5FFA2985"/>
    <w:rsid w:val="600F2399"/>
    <w:rsid w:val="60167A2E"/>
    <w:rsid w:val="60345679"/>
    <w:rsid w:val="60365B77"/>
    <w:rsid w:val="603718EF"/>
    <w:rsid w:val="60430294"/>
    <w:rsid w:val="60512F78"/>
    <w:rsid w:val="60591866"/>
    <w:rsid w:val="60681978"/>
    <w:rsid w:val="606C3347"/>
    <w:rsid w:val="606F4BE5"/>
    <w:rsid w:val="608D5FF5"/>
    <w:rsid w:val="60912082"/>
    <w:rsid w:val="6095774E"/>
    <w:rsid w:val="60A04417"/>
    <w:rsid w:val="60B146B2"/>
    <w:rsid w:val="60E61309"/>
    <w:rsid w:val="60E70C20"/>
    <w:rsid w:val="60EA448B"/>
    <w:rsid w:val="60FB27B1"/>
    <w:rsid w:val="60FD6C2A"/>
    <w:rsid w:val="60FF7953"/>
    <w:rsid w:val="61047A23"/>
    <w:rsid w:val="610A3C7B"/>
    <w:rsid w:val="610C0686"/>
    <w:rsid w:val="610E43FE"/>
    <w:rsid w:val="610F4219"/>
    <w:rsid w:val="61151C31"/>
    <w:rsid w:val="61167757"/>
    <w:rsid w:val="611D2893"/>
    <w:rsid w:val="61251748"/>
    <w:rsid w:val="6126799A"/>
    <w:rsid w:val="61473814"/>
    <w:rsid w:val="61475B62"/>
    <w:rsid w:val="61477910"/>
    <w:rsid w:val="61483DB4"/>
    <w:rsid w:val="615A3AE7"/>
    <w:rsid w:val="61616C24"/>
    <w:rsid w:val="61776447"/>
    <w:rsid w:val="617C38F8"/>
    <w:rsid w:val="61834DEC"/>
    <w:rsid w:val="6192502F"/>
    <w:rsid w:val="61931122"/>
    <w:rsid w:val="61A3723C"/>
    <w:rsid w:val="61BC41C8"/>
    <w:rsid w:val="61CD6067"/>
    <w:rsid w:val="61D4389A"/>
    <w:rsid w:val="61EB2991"/>
    <w:rsid w:val="61EE5FDE"/>
    <w:rsid w:val="61F05F1C"/>
    <w:rsid w:val="61F24E04"/>
    <w:rsid w:val="61F71336"/>
    <w:rsid w:val="6200643D"/>
    <w:rsid w:val="621B5792"/>
    <w:rsid w:val="62210161"/>
    <w:rsid w:val="622540F5"/>
    <w:rsid w:val="624D53FA"/>
    <w:rsid w:val="62637F9C"/>
    <w:rsid w:val="62662018"/>
    <w:rsid w:val="626D33A6"/>
    <w:rsid w:val="62713D45"/>
    <w:rsid w:val="627666FF"/>
    <w:rsid w:val="627B1F67"/>
    <w:rsid w:val="62890C71"/>
    <w:rsid w:val="62AC6D43"/>
    <w:rsid w:val="62D00C75"/>
    <w:rsid w:val="62D6719E"/>
    <w:rsid w:val="62E278F0"/>
    <w:rsid w:val="62ED4E04"/>
    <w:rsid w:val="62EE40D6"/>
    <w:rsid w:val="62EF200D"/>
    <w:rsid w:val="62FA57FB"/>
    <w:rsid w:val="62FD297C"/>
    <w:rsid w:val="630737FB"/>
    <w:rsid w:val="63141A74"/>
    <w:rsid w:val="63273E9D"/>
    <w:rsid w:val="632E2B36"/>
    <w:rsid w:val="632E6FDA"/>
    <w:rsid w:val="633F3AF3"/>
    <w:rsid w:val="6347009B"/>
    <w:rsid w:val="63493E13"/>
    <w:rsid w:val="63495284"/>
    <w:rsid w:val="63536A40"/>
    <w:rsid w:val="635A7DCF"/>
    <w:rsid w:val="636A7A52"/>
    <w:rsid w:val="63716EC6"/>
    <w:rsid w:val="63754C08"/>
    <w:rsid w:val="637E4A58"/>
    <w:rsid w:val="6384309D"/>
    <w:rsid w:val="638957C1"/>
    <w:rsid w:val="638E5891"/>
    <w:rsid w:val="63972DD1"/>
    <w:rsid w:val="639B68E4"/>
    <w:rsid w:val="63A771E4"/>
    <w:rsid w:val="63B23767"/>
    <w:rsid w:val="63C96D02"/>
    <w:rsid w:val="63CD51F0"/>
    <w:rsid w:val="63D538F9"/>
    <w:rsid w:val="63D7141F"/>
    <w:rsid w:val="63DC4C88"/>
    <w:rsid w:val="63DF2082"/>
    <w:rsid w:val="63ED5D7D"/>
    <w:rsid w:val="63F518A5"/>
    <w:rsid w:val="64073EA7"/>
    <w:rsid w:val="6443678C"/>
    <w:rsid w:val="644F7208"/>
    <w:rsid w:val="6457430E"/>
    <w:rsid w:val="645A5BAC"/>
    <w:rsid w:val="647153D0"/>
    <w:rsid w:val="64715DE8"/>
    <w:rsid w:val="64754794"/>
    <w:rsid w:val="647629E6"/>
    <w:rsid w:val="647749B0"/>
    <w:rsid w:val="64790728"/>
    <w:rsid w:val="647D1326"/>
    <w:rsid w:val="64964E36"/>
    <w:rsid w:val="64966BE4"/>
    <w:rsid w:val="649B069F"/>
    <w:rsid w:val="649B7A1A"/>
    <w:rsid w:val="649C7F73"/>
    <w:rsid w:val="64B20995"/>
    <w:rsid w:val="64B61035"/>
    <w:rsid w:val="64BB2AEF"/>
    <w:rsid w:val="64F1206D"/>
    <w:rsid w:val="64F14520"/>
    <w:rsid w:val="64FD4EB5"/>
    <w:rsid w:val="65031DA0"/>
    <w:rsid w:val="651A744F"/>
    <w:rsid w:val="651D2884"/>
    <w:rsid w:val="651D5558"/>
    <w:rsid w:val="65293EFC"/>
    <w:rsid w:val="6531690D"/>
    <w:rsid w:val="65566374"/>
    <w:rsid w:val="655D7702"/>
    <w:rsid w:val="65613696"/>
    <w:rsid w:val="65624D19"/>
    <w:rsid w:val="656A1E1F"/>
    <w:rsid w:val="658A2B62"/>
    <w:rsid w:val="65A44CD1"/>
    <w:rsid w:val="65A96DEB"/>
    <w:rsid w:val="65AE7F5E"/>
    <w:rsid w:val="65B91885"/>
    <w:rsid w:val="65BA2DA7"/>
    <w:rsid w:val="65BD4645"/>
    <w:rsid w:val="65C43C25"/>
    <w:rsid w:val="65E63B9C"/>
    <w:rsid w:val="65FA31A3"/>
    <w:rsid w:val="65FF4C5D"/>
    <w:rsid w:val="6603474E"/>
    <w:rsid w:val="66067CC3"/>
    <w:rsid w:val="66074F6F"/>
    <w:rsid w:val="661F70AE"/>
    <w:rsid w:val="66344294"/>
    <w:rsid w:val="66383CCB"/>
    <w:rsid w:val="663B7C6B"/>
    <w:rsid w:val="6646463A"/>
    <w:rsid w:val="664B7EA3"/>
    <w:rsid w:val="66707909"/>
    <w:rsid w:val="667D75EA"/>
    <w:rsid w:val="66831D43"/>
    <w:rsid w:val="66952ECC"/>
    <w:rsid w:val="66A03D4A"/>
    <w:rsid w:val="66A3383B"/>
    <w:rsid w:val="66AF0431"/>
    <w:rsid w:val="66BD7716"/>
    <w:rsid w:val="66C25BF0"/>
    <w:rsid w:val="66CA0555"/>
    <w:rsid w:val="66CA7019"/>
    <w:rsid w:val="66CD2666"/>
    <w:rsid w:val="66DB4D83"/>
    <w:rsid w:val="66DD26E1"/>
    <w:rsid w:val="66EC3434"/>
    <w:rsid w:val="67112E9A"/>
    <w:rsid w:val="672E29D7"/>
    <w:rsid w:val="67462E6F"/>
    <w:rsid w:val="674730DF"/>
    <w:rsid w:val="675C1E33"/>
    <w:rsid w:val="6763634E"/>
    <w:rsid w:val="676E209B"/>
    <w:rsid w:val="67717495"/>
    <w:rsid w:val="677A27ED"/>
    <w:rsid w:val="6784273E"/>
    <w:rsid w:val="67896ED4"/>
    <w:rsid w:val="678A1A6C"/>
    <w:rsid w:val="679366A2"/>
    <w:rsid w:val="6795618B"/>
    <w:rsid w:val="679605BB"/>
    <w:rsid w:val="679909C4"/>
    <w:rsid w:val="67CB3F38"/>
    <w:rsid w:val="67D46352"/>
    <w:rsid w:val="67F24A7A"/>
    <w:rsid w:val="67F26828"/>
    <w:rsid w:val="68016A6B"/>
    <w:rsid w:val="680A7475"/>
    <w:rsid w:val="680C4F78"/>
    <w:rsid w:val="6819678B"/>
    <w:rsid w:val="681A3FD0"/>
    <w:rsid w:val="68213928"/>
    <w:rsid w:val="68295FC1"/>
    <w:rsid w:val="68307350"/>
    <w:rsid w:val="68437083"/>
    <w:rsid w:val="684D7F02"/>
    <w:rsid w:val="6867414C"/>
    <w:rsid w:val="686F385C"/>
    <w:rsid w:val="68784853"/>
    <w:rsid w:val="687C65F6"/>
    <w:rsid w:val="687E630D"/>
    <w:rsid w:val="687F3E33"/>
    <w:rsid w:val="688431F8"/>
    <w:rsid w:val="6885769C"/>
    <w:rsid w:val="68AF296B"/>
    <w:rsid w:val="68B25FB7"/>
    <w:rsid w:val="68C27631"/>
    <w:rsid w:val="68D44CF7"/>
    <w:rsid w:val="68D45F2D"/>
    <w:rsid w:val="68E1064A"/>
    <w:rsid w:val="68E85E7D"/>
    <w:rsid w:val="68ED3493"/>
    <w:rsid w:val="68F644A7"/>
    <w:rsid w:val="68FB795E"/>
    <w:rsid w:val="690F3409"/>
    <w:rsid w:val="690F51B7"/>
    <w:rsid w:val="691331EF"/>
    <w:rsid w:val="69196036"/>
    <w:rsid w:val="691E364C"/>
    <w:rsid w:val="69256789"/>
    <w:rsid w:val="692C10C8"/>
    <w:rsid w:val="692C7B17"/>
    <w:rsid w:val="693B7B9E"/>
    <w:rsid w:val="69586B5E"/>
    <w:rsid w:val="69594684"/>
    <w:rsid w:val="69635503"/>
    <w:rsid w:val="69690D6B"/>
    <w:rsid w:val="696E2E35"/>
    <w:rsid w:val="6985167E"/>
    <w:rsid w:val="698931BC"/>
    <w:rsid w:val="69916240"/>
    <w:rsid w:val="69A71894"/>
    <w:rsid w:val="69B91DE6"/>
    <w:rsid w:val="69B95123"/>
    <w:rsid w:val="69C94A38"/>
    <w:rsid w:val="69CE5072"/>
    <w:rsid w:val="69D34437"/>
    <w:rsid w:val="69D63F27"/>
    <w:rsid w:val="69DA1D9A"/>
    <w:rsid w:val="69EC54F9"/>
    <w:rsid w:val="69EE6CD8"/>
    <w:rsid w:val="69F745C9"/>
    <w:rsid w:val="69F85C4B"/>
    <w:rsid w:val="6A0665BA"/>
    <w:rsid w:val="6A0E1913"/>
    <w:rsid w:val="6A1011E7"/>
    <w:rsid w:val="6A1231B1"/>
    <w:rsid w:val="6A19222E"/>
    <w:rsid w:val="6A1B7B8C"/>
    <w:rsid w:val="6A4148B3"/>
    <w:rsid w:val="6A4946F9"/>
    <w:rsid w:val="6A4B784D"/>
    <w:rsid w:val="6A55309E"/>
    <w:rsid w:val="6A57052F"/>
    <w:rsid w:val="6A5C2702"/>
    <w:rsid w:val="6A6432E1"/>
    <w:rsid w:val="6A6C10E4"/>
    <w:rsid w:val="6A955B90"/>
    <w:rsid w:val="6A9E67F3"/>
    <w:rsid w:val="6AA61B4B"/>
    <w:rsid w:val="6AB53B3C"/>
    <w:rsid w:val="6ABB3117"/>
    <w:rsid w:val="6ABE0C43"/>
    <w:rsid w:val="6AC10733"/>
    <w:rsid w:val="6ACA3A8C"/>
    <w:rsid w:val="6AD40467"/>
    <w:rsid w:val="6ADF6E0B"/>
    <w:rsid w:val="6B032AFA"/>
    <w:rsid w:val="6B08757A"/>
    <w:rsid w:val="6B0E01B0"/>
    <w:rsid w:val="6B0E731C"/>
    <w:rsid w:val="6B12187C"/>
    <w:rsid w:val="6B122D3D"/>
    <w:rsid w:val="6B172621"/>
    <w:rsid w:val="6B182A49"/>
    <w:rsid w:val="6B1B42E7"/>
    <w:rsid w:val="6B1E337F"/>
    <w:rsid w:val="6B2A62D8"/>
    <w:rsid w:val="6B2F2E47"/>
    <w:rsid w:val="6B37613E"/>
    <w:rsid w:val="6B3C7DBA"/>
    <w:rsid w:val="6B6C4B43"/>
    <w:rsid w:val="6B7D3277"/>
    <w:rsid w:val="6B945E48"/>
    <w:rsid w:val="6B9E2823"/>
    <w:rsid w:val="6BA02A3F"/>
    <w:rsid w:val="6BA50055"/>
    <w:rsid w:val="6BB04B7E"/>
    <w:rsid w:val="6BB87D88"/>
    <w:rsid w:val="6BB9504A"/>
    <w:rsid w:val="6BBD0EFB"/>
    <w:rsid w:val="6BC602D9"/>
    <w:rsid w:val="6BCA23D6"/>
    <w:rsid w:val="6BD8207B"/>
    <w:rsid w:val="6BE40B7D"/>
    <w:rsid w:val="6BEE5558"/>
    <w:rsid w:val="6BEF6118"/>
    <w:rsid w:val="6BF863D7"/>
    <w:rsid w:val="6C007039"/>
    <w:rsid w:val="6C042F6A"/>
    <w:rsid w:val="6C0B610A"/>
    <w:rsid w:val="6C1763DF"/>
    <w:rsid w:val="6C1765A4"/>
    <w:rsid w:val="6C224F40"/>
    <w:rsid w:val="6C256AA0"/>
    <w:rsid w:val="6C27128A"/>
    <w:rsid w:val="6C467142"/>
    <w:rsid w:val="6C481435"/>
    <w:rsid w:val="6C506213"/>
    <w:rsid w:val="6C57134F"/>
    <w:rsid w:val="6C590C00"/>
    <w:rsid w:val="6C5C6966"/>
    <w:rsid w:val="6C7C2B64"/>
    <w:rsid w:val="6C7F08A6"/>
    <w:rsid w:val="6C8B724B"/>
    <w:rsid w:val="6CAB3449"/>
    <w:rsid w:val="6CAF619F"/>
    <w:rsid w:val="6CBC5656"/>
    <w:rsid w:val="6CC42750"/>
    <w:rsid w:val="6CC8289C"/>
    <w:rsid w:val="6CCA7D73"/>
    <w:rsid w:val="6CD87C24"/>
    <w:rsid w:val="6CE16E6B"/>
    <w:rsid w:val="6CE54BAD"/>
    <w:rsid w:val="6CE801F9"/>
    <w:rsid w:val="6CF7043C"/>
    <w:rsid w:val="6CF941B4"/>
    <w:rsid w:val="6D056FFD"/>
    <w:rsid w:val="6D064B23"/>
    <w:rsid w:val="6D082649"/>
    <w:rsid w:val="6D0B038C"/>
    <w:rsid w:val="6D1F1741"/>
    <w:rsid w:val="6D254147"/>
    <w:rsid w:val="6D2F7BD6"/>
    <w:rsid w:val="6D365409"/>
    <w:rsid w:val="6D556604"/>
    <w:rsid w:val="6D5C3BD4"/>
    <w:rsid w:val="6D5E04BB"/>
    <w:rsid w:val="6D6C0E2A"/>
    <w:rsid w:val="6D793547"/>
    <w:rsid w:val="6D7970A3"/>
    <w:rsid w:val="6D8D0DA1"/>
    <w:rsid w:val="6D9640F9"/>
    <w:rsid w:val="6DA305C4"/>
    <w:rsid w:val="6DA57E98"/>
    <w:rsid w:val="6DCB4FFF"/>
    <w:rsid w:val="6DDE33AA"/>
    <w:rsid w:val="6DE94229"/>
    <w:rsid w:val="6DF36E56"/>
    <w:rsid w:val="6DFD1A82"/>
    <w:rsid w:val="6E0165A6"/>
    <w:rsid w:val="6E0472B5"/>
    <w:rsid w:val="6E162B44"/>
    <w:rsid w:val="6E1D3ED3"/>
    <w:rsid w:val="6E22773B"/>
    <w:rsid w:val="6E274D51"/>
    <w:rsid w:val="6E421B8B"/>
    <w:rsid w:val="6E4C2A0A"/>
    <w:rsid w:val="6E5042A8"/>
    <w:rsid w:val="6E510340"/>
    <w:rsid w:val="6E53384B"/>
    <w:rsid w:val="6E557B10"/>
    <w:rsid w:val="6E6164B5"/>
    <w:rsid w:val="6E645FA5"/>
    <w:rsid w:val="6E66399A"/>
    <w:rsid w:val="6E895A0C"/>
    <w:rsid w:val="6E9141D5"/>
    <w:rsid w:val="6E922B12"/>
    <w:rsid w:val="6EAB7730"/>
    <w:rsid w:val="6EAF6592"/>
    <w:rsid w:val="6EB42D97"/>
    <w:rsid w:val="6EB758EA"/>
    <w:rsid w:val="6ED30A35"/>
    <w:rsid w:val="6EE20EBC"/>
    <w:rsid w:val="6EE67DB6"/>
    <w:rsid w:val="6EEA775A"/>
    <w:rsid w:val="6EEC0B65"/>
    <w:rsid w:val="6EF0008F"/>
    <w:rsid w:val="6EFB5F66"/>
    <w:rsid w:val="6EFB7E1F"/>
    <w:rsid w:val="6F0B4673"/>
    <w:rsid w:val="6F0B6421"/>
    <w:rsid w:val="6F156229"/>
    <w:rsid w:val="6F24082A"/>
    <w:rsid w:val="6F3B6D06"/>
    <w:rsid w:val="6F5E0C47"/>
    <w:rsid w:val="6F60051B"/>
    <w:rsid w:val="6F63625D"/>
    <w:rsid w:val="6F842A78"/>
    <w:rsid w:val="6F846185"/>
    <w:rsid w:val="6F8E4BF6"/>
    <w:rsid w:val="6F9B59F7"/>
    <w:rsid w:val="6F9D176F"/>
    <w:rsid w:val="6FA75122"/>
    <w:rsid w:val="6FB86EC0"/>
    <w:rsid w:val="6FBD596D"/>
    <w:rsid w:val="6FC0545D"/>
    <w:rsid w:val="6FC34F4E"/>
    <w:rsid w:val="6FCF56A0"/>
    <w:rsid w:val="6FD432CA"/>
    <w:rsid w:val="6FFD2E7E"/>
    <w:rsid w:val="70061DD5"/>
    <w:rsid w:val="7007308C"/>
    <w:rsid w:val="70076BE8"/>
    <w:rsid w:val="700C06A3"/>
    <w:rsid w:val="7017014C"/>
    <w:rsid w:val="701D465E"/>
    <w:rsid w:val="70241EE0"/>
    <w:rsid w:val="7028360F"/>
    <w:rsid w:val="702A6D7B"/>
    <w:rsid w:val="703060F9"/>
    <w:rsid w:val="70357BF9"/>
    <w:rsid w:val="7040034C"/>
    <w:rsid w:val="70484ABF"/>
    <w:rsid w:val="706B4EE1"/>
    <w:rsid w:val="707C5453"/>
    <w:rsid w:val="709656D7"/>
    <w:rsid w:val="709D48D3"/>
    <w:rsid w:val="70A628A5"/>
    <w:rsid w:val="70C04599"/>
    <w:rsid w:val="70C44AD9"/>
    <w:rsid w:val="70CB5E68"/>
    <w:rsid w:val="70DF7B65"/>
    <w:rsid w:val="70E62CA2"/>
    <w:rsid w:val="70EB082F"/>
    <w:rsid w:val="70FA04FB"/>
    <w:rsid w:val="70FE623D"/>
    <w:rsid w:val="710B6BAC"/>
    <w:rsid w:val="71193077"/>
    <w:rsid w:val="711960F4"/>
    <w:rsid w:val="711D5CF9"/>
    <w:rsid w:val="71286A35"/>
    <w:rsid w:val="71357785"/>
    <w:rsid w:val="713A62F4"/>
    <w:rsid w:val="713C4FB8"/>
    <w:rsid w:val="713E2ADE"/>
    <w:rsid w:val="7144116A"/>
    <w:rsid w:val="7150503B"/>
    <w:rsid w:val="7157594D"/>
    <w:rsid w:val="715A543E"/>
    <w:rsid w:val="71687B5B"/>
    <w:rsid w:val="717007BD"/>
    <w:rsid w:val="717604C9"/>
    <w:rsid w:val="717E6374"/>
    <w:rsid w:val="7189187F"/>
    <w:rsid w:val="719721EE"/>
    <w:rsid w:val="71AD7C63"/>
    <w:rsid w:val="71B529D6"/>
    <w:rsid w:val="71D11E3B"/>
    <w:rsid w:val="71E05943"/>
    <w:rsid w:val="71E847F7"/>
    <w:rsid w:val="72062ED0"/>
    <w:rsid w:val="7218332F"/>
    <w:rsid w:val="722515A8"/>
    <w:rsid w:val="722E2B52"/>
    <w:rsid w:val="72347A3D"/>
    <w:rsid w:val="72402885"/>
    <w:rsid w:val="72477770"/>
    <w:rsid w:val="72532286"/>
    <w:rsid w:val="726631BE"/>
    <w:rsid w:val="72750781"/>
    <w:rsid w:val="727F75AC"/>
    <w:rsid w:val="728D7FE6"/>
    <w:rsid w:val="728E61D9"/>
    <w:rsid w:val="72916C3D"/>
    <w:rsid w:val="7295497F"/>
    <w:rsid w:val="7298763E"/>
    <w:rsid w:val="729C2D68"/>
    <w:rsid w:val="72A05D18"/>
    <w:rsid w:val="72A45CF3"/>
    <w:rsid w:val="72A93F87"/>
    <w:rsid w:val="72B03567"/>
    <w:rsid w:val="72B56DCF"/>
    <w:rsid w:val="72C45265"/>
    <w:rsid w:val="72D07765"/>
    <w:rsid w:val="72DA6836"/>
    <w:rsid w:val="72F21DD2"/>
    <w:rsid w:val="7306762B"/>
    <w:rsid w:val="731955B0"/>
    <w:rsid w:val="73223D39"/>
    <w:rsid w:val="7329156C"/>
    <w:rsid w:val="73344BE4"/>
    <w:rsid w:val="733A5527"/>
    <w:rsid w:val="73487C44"/>
    <w:rsid w:val="734B7734"/>
    <w:rsid w:val="7355750D"/>
    <w:rsid w:val="73676B7D"/>
    <w:rsid w:val="736B56E0"/>
    <w:rsid w:val="736D76AA"/>
    <w:rsid w:val="7386076C"/>
    <w:rsid w:val="73862E5F"/>
    <w:rsid w:val="73893DB8"/>
    <w:rsid w:val="73942E89"/>
    <w:rsid w:val="739E7864"/>
    <w:rsid w:val="73B115BF"/>
    <w:rsid w:val="73C848E1"/>
    <w:rsid w:val="73CA0659"/>
    <w:rsid w:val="73CF5C6F"/>
    <w:rsid w:val="73D634A1"/>
    <w:rsid w:val="73DB0AB8"/>
    <w:rsid w:val="73E07E7C"/>
    <w:rsid w:val="73EB6821"/>
    <w:rsid w:val="73ED07EB"/>
    <w:rsid w:val="73F71F01"/>
    <w:rsid w:val="73F8659C"/>
    <w:rsid w:val="73FB728E"/>
    <w:rsid w:val="74033B6B"/>
    <w:rsid w:val="740A6CA7"/>
    <w:rsid w:val="740C0C71"/>
    <w:rsid w:val="741B7106"/>
    <w:rsid w:val="7428537F"/>
    <w:rsid w:val="74477EFB"/>
    <w:rsid w:val="74485A21"/>
    <w:rsid w:val="74493C73"/>
    <w:rsid w:val="744A5358"/>
    <w:rsid w:val="74681C20"/>
    <w:rsid w:val="746D7236"/>
    <w:rsid w:val="74730CF0"/>
    <w:rsid w:val="748527D2"/>
    <w:rsid w:val="7489073B"/>
    <w:rsid w:val="74A215D5"/>
    <w:rsid w:val="74A25132"/>
    <w:rsid w:val="74B32CAD"/>
    <w:rsid w:val="74C4779E"/>
    <w:rsid w:val="74CC0400"/>
    <w:rsid w:val="74CE23CA"/>
    <w:rsid w:val="74D177C5"/>
    <w:rsid w:val="74DA2A88"/>
    <w:rsid w:val="74DF0134"/>
    <w:rsid w:val="74E03EAC"/>
    <w:rsid w:val="74E4399C"/>
    <w:rsid w:val="75153B55"/>
    <w:rsid w:val="751B4DE5"/>
    <w:rsid w:val="751D2A0A"/>
    <w:rsid w:val="75213D37"/>
    <w:rsid w:val="75226272"/>
    <w:rsid w:val="752A583F"/>
    <w:rsid w:val="7533222E"/>
    <w:rsid w:val="75540853"/>
    <w:rsid w:val="755419EC"/>
    <w:rsid w:val="755521A4"/>
    <w:rsid w:val="75640639"/>
    <w:rsid w:val="7577036C"/>
    <w:rsid w:val="7579607C"/>
    <w:rsid w:val="75803660"/>
    <w:rsid w:val="75834F63"/>
    <w:rsid w:val="75931DF8"/>
    <w:rsid w:val="759A405B"/>
    <w:rsid w:val="75A007E0"/>
    <w:rsid w:val="75A822A8"/>
    <w:rsid w:val="75B15BA4"/>
    <w:rsid w:val="75C57F15"/>
    <w:rsid w:val="75CA0DE4"/>
    <w:rsid w:val="75CB73D9"/>
    <w:rsid w:val="75CD61DE"/>
    <w:rsid w:val="75D35A3A"/>
    <w:rsid w:val="75E462A8"/>
    <w:rsid w:val="75EC2630"/>
    <w:rsid w:val="75F475C4"/>
    <w:rsid w:val="75F575B2"/>
    <w:rsid w:val="760616F0"/>
    <w:rsid w:val="76151805"/>
    <w:rsid w:val="762027B2"/>
    <w:rsid w:val="762322A2"/>
    <w:rsid w:val="762C5A1A"/>
    <w:rsid w:val="76404C02"/>
    <w:rsid w:val="764110DA"/>
    <w:rsid w:val="76446418"/>
    <w:rsid w:val="76592168"/>
    <w:rsid w:val="765D3A06"/>
    <w:rsid w:val="765E777E"/>
    <w:rsid w:val="766F7295"/>
    <w:rsid w:val="76796366"/>
    <w:rsid w:val="767B0300"/>
    <w:rsid w:val="767B20DE"/>
    <w:rsid w:val="76956494"/>
    <w:rsid w:val="769B35A3"/>
    <w:rsid w:val="769D2054"/>
    <w:rsid w:val="76A84862"/>
    <w:rsid w:val="76AA5EAE"/>
    <w:rsid w:val="76D016A8"/>
    <w:rsid w:val="76E063E5"/>
    <w:rsid w:val="77002718"/>
    <w:rsid w:val="770245AD"/>
    <w:rsid w:val="770C2D36"/>
    <w:rsid w:val="770E4D00"/>
    <w:rsid w:val="77130569"/>
    <w:rsid w:val="771340C5"/>
    <w:rsid w:val="771979B1"/>
    <w:rsid w:val="771F2A69"/>
    <w:rsid w:val="77212C85"/>
    <w:rsid w:val="772672D6"/>
    <w:rsid w:val="772815F7"/>
    <w:rsid w:val="7735228D"/>
    <w:rsid w:val="773A78A3"/>
    <w:rsid w:val="77435226"/>
    <w:rsid w:val="775070C7"/>
    <w:rsid w:val="77530965"/>
    <w:rsid w:val="775A5F60"/>
    <w:rsid w:val="775A7F45"/>
    <w:rsid w:val="77674410"/>
    <w:rsid w:val="7769462C"/>
    <w:rsid w:val="777059BB"/>
    <w:rsid w:val="77732DB5"/>
    <w:rsid w:val="777553EE"/>
    <w:rsid w:val="7783749C"/>
    <w:rsid w:val="778D031B"/>
    <w:rsid w:val="77925931"/>
    <w:rsid w:val="77950F7E"/>
    <w:rsid w:val="77AB1165"/>
    <w:rsid w:val="77B04009"/>
    <w:rsid w:val="77B84C6C"/>
    <w:rsid w:val="77BD0170"/>
    <w:rsid w:val="77BF5FFA"/>
    <w:rsid w:val="77C80D66"/>
    <w:rsid w:val="77D47CF8"/>
    <w:rsid w:val="77DA6E30"/>
    <w:rsid w:val="77E115B3"/>
    <w:rsid w:val="77E51F05"/>
    <w:rsid w:val="77EF4B32"/>
    <w:rsid w:val="780D6D66"/>
    <w:rsid w:val="780E2E8F"/>
    <w:rsid w:val="780F0D30"/>
    <w:rsid w:val="78267E28"/>
    <w:rsid w:val="78302680"/>
    <w:rsid w:val="78324A1E"/>
    <w:rsid w:val="78434E7D"/>
    <w:rsid w:val="784F737E"/>
    <w:rsid w:val="785D684A"/>
    <w:rsid w:val="78632C3D"/>
    <w:rsid w:val="786848E4"/>
    <w:rsid w:val="786A065C"/>
    <w:rsid w:val="78795FE0"/>
    <w:rsid w:val="789045CC"/>
    <w:rsid w:val="78971FBB"/>
    <w:rsid w:val="78A771BA"/>
    <w:rsid w:val="78AC657F"/>
    <w:rsid w:val="78B76A2D"/>
    <w:rsid w:val="78D22BE8"/>
    <w:rsid w:val="78D37FAF"/>
    <w:rsid w:val="78E201F2"/>
    <w:rsid w:val="78EF290F"/>
    <w:rsid w:val="78F9378E"/>
    <w:rsid w:val="79116D2A"/>
    <w:rsid w:val="792151BF"/>
    <w:rsid w:val="79297BCF"/>
    <w:rsid w:val="79552B2F"/>
    <w:rsid w:val="795A422D"/>
    <w:rsid w:val="796706F8"/>
    <w:rsid w:val="79752E15"/>
    <w:rsid w:val="797807CB"/>
    <w:rsid w:val="79813645"/>
    <w:rsid w:val="798219D5"/>
    <w:rsid w:val="79935991"/>
    <w:rsid w:val="799A0ACD"/>
    <w:rsid w:val="799D65A4"/>
    <w:rsid w:val="79A12D07"/>
    <w:rsid w:val="79A6479E"/>
    <w:rsid w:val="79AB2CDA"/>
    <w:rsid w:val="79B53B29"/>
    <w:rsid w:val="79B778D1"/>
    <w:rsid w:val="79BF6786"/>
    <w:rsid w:val="79C008CD"/>
    <w:rsid w:val="79C124FE"/>
    <w:rsid w:val="79C142AC"/>
    <w:rsid w:val="79C370A4"/>
    <w:rsid w:val="79C67B14"/>
    <w:rsid w:val="79D33FDF"/>
    <w:rsid w:val="79D55FA9"/>
    <w:rsid w:val="79E357CD"/>
    <w:rsid w:val="79EF706B"/>
    <w:rsid w:val="79FF4DD4"/>
    <w:rsid w:val="79FF5ACC"/>
    <w:rsid w:val="7A023AAC"/>
    <w:rsid w:val="7A0D74F1"/>
    <w:rsid w:val="7A0F3269"/>
    <w:rsid w:val="7A1270FD"/>
    <w:rsid w:val="7A15284A"/>
    <w:rsid w:val="7A1563A6"/>
    <w:rsid w:val="7A1A39BC"/>
    <w:rsid w:val="7A1B7E60"/>
    <w:rsid w:val="7A2E4054"/>
    <w:rsid w:val="7A312381"/>
    <w:rsid w:val="7A3432BF"/>
    <w:rsid w:val="7A451818"/>
    <w:rsid w:val="7A4A4226"/>
    <w:rsid w:val="7A5113F9"/>
    <w:rsid w:val="7A541609"/>
    <w:rsid w:val="7A5E5F9F"/>
    <w:rsid w:val="7A5F5873"/>
    <w:rsid w:val="7A9419C0"/>
    <w:rsid w:val="7A9B2D4F"/>
    <w:rsid w:val="7A9C0875"/>
    <w:rsid w:val="7ABB2A93"/>
    <w:rsid w:val="7ABE07EB"/>
    <w:rsid w:val="7AC35E02"/>
    <w:rsid w:val="7AD225DE"/>
    <w:rsid w:val="7AD24297"/>
    <w:rsid w:val="7AD973D3"/>
    <w:rsid w:val="7ADB5E62"/>
    <w:rsid w:val="7AEC7106"/>
    <w:rsid w:val="7AF04842"/>
    <w:rsid w:val="7AF75AAB"/>
    <w:rsid w:val="7B077E6A"/>
    <w:rsid w:val="7B167964"/>
    <w:rsid w:val="7B32428B"/>
    <w:rsid w:val="7B326160"/>
    <w:rsid w:val="7B3B008E"/>
    <w:rsid w:val="7B4B1C9C"/>
    <w:rsid w:val="7B6F1AE6"/>
    <w:rsid w:val="7B711D02"/>
    <w:rsid w:val="7B845591"/>
    <w:rsid w:val="7B876E2F"/>
    <w:rsid w:val="7BA93249"/>
    <w:rsid w:val="7BAB5214"/>
    <w:rsid w:val="7BB70EFF"/>
    <w:rsid w:val="7BCD518A"/>
    <w:rsid w:val="7BD06A28"/>
    <w:rsid w:val="7BD31AB2"/>
    <w:rsid w:val="7BD76009"/>
    <w:rsid w:val="7BDD2EF3"/>
    <w:rsid w:val="7BEC3136"/>
    <w:rsid w:val="7BF30969"/>
    <w:rsid w:val="7BF32717"/>
    <w:rsid w:val="7BF546E1"/>
    <w:rsid w:val="7BFA6252"/>
    <w:rsid w:val="7C134B67"/>
    <w:rsid w:val="7C252DB1"/>
    <w:rsid w:val="7C270CAA"/>
    <w:rsid w:val="7C352D2F"/>
    <w:rsid w:val="7C466CEA"/>
    <w:rsid w:val="7C4F2043"/>
    <w:rsid w:val="7C4F2E4B"/>
    <w:rsid w:val="7C590591"/>
    <w:rsid w:val="7C645384"/>
    <w:rsid w:val="7C6453C2"/>
    <w:rsid w:val="7C6F4F0A"/>
    <w:rsid w:val="7C742918"/>
    <w:rsid w:val="7C743857"/>
    <w:rsid w:val="7C773348"/>
    <w:rsid w:val="7C7F3FAA"/>
    <w:rsid w:val="7C947A56"/>
    <w:rsid w:val="7CA26617"/>
    <w:rsid w:val="7CA51C63"/>
    <w:rsid w:val="7CBA4FE2"/>
    <w:rsid w:val="7CC7607D"/>
    <w:rsid w:val="7CE01DE2"/>
    <w:rsid w:val="7CE7580A"/>
    <w:rsid w:val="7CF404F4"/>
    <w:rsid w:val="7CF43DF7"/>
    <w:rsid w:val="7CF90201"/>
    <w:rsid w:val="7D0C1CE2"/>
    <w:rsid w:val="7D0E370D"/>
    <w:rsid w:val="7D0F17D2"/>
    <w:rsid w:val="7D2A2168"/>
    <w:rsid w:val="7D3A23FC"/>
    <w:rsid w:val="7D3D633F"/>
    <w:rsid w:val="7D407BDD"/>
    <w:rsid w:val="7D4274B2"/>
    <w:rsid w:val="7D496A92"/>
    <w:rsid w:val="7D586CD5"/>
    <w:rsid w:val="7D592A4D"/>
    <w:rsid w:val="7D5D078F"/>
    <w:rsid w:val="7D64135F"/>
    <w:rsid w:val="7D6C09D3"/>
    <w:rsid w:val="7D796C4C"/>
    <w:rsid w:val="7D8353DA"/>
    <w:rsid w:val="7DC75389"/>
    <w:rsid w:val="7DC9372F"/>
    <w:rsid w:val="7DCB394B"/>
    <w:rsid w:val="7DD520D4"/>
    <w:rsid w:val="7DDF11A4"/>
    <w:rsid w:val="7DE1316F"/>
    <w:rsid w:val="7DE62533"/>
    <w:rsid w:val="7DF96F41"/>
    <w:rsid w:val="7E167255"/>
    <w:rsid w:val="7E215319"/>
    <w:rsid w:val="7E24305B"/>
    <w:rsid w:val="7E3152C1"/>
    <w:rsid w:val="7E3E236F"/>
    <w:rsid w:val="7E4B05E8"/>
    <w:rsid w:val="7E4D25B2"/>
    <w:rsid w:val="7E4F632A"/>
    <w:rsid w:val="7E5A4CCF"/>
    <w:rsid w:val="7E6478FC"/>
    <w:rsid w:val="7E6A3164"/>
    <w:rsid w:val="7E6B47E6"/>
    <w:rsid w:val="7E7713DD"/>
    <w:rsid w:val="7E926217"/>
    <w:rsid w:val="7E9C0E44"/>
    <w:rsid w:val="7E9E696A"/>
    <w:rsid w:val="7EB048EF"/>
    <w:rsid w:val="7EC30AC6"/>
    <w:rsid w:val="7EC81C39"/>
    <w:rsid w:val="7ECA59B1"/>
    <w:rsid w:val="7ECB797B"/>
    <w:rsid w:val="7ECD724F"/>
    <w:rsid w:val="7ECF2FC7"/>
    <w:rsid w:val="7EDC3936"/>
    <w:rsid w:val="7EF23159"/>
    <w:rsid w:val="7EFA3546"/>
    <w:rsid w:val="7F062761"/>
    <w:rsid w:val="7F224935"/>
    <w:rsid w:val="7F315A30"/>
    <w:rsid w:val="7F361298"/>
    <w:rsid w:val="7F3918C8"/>
    <w:rsid w:val="7F3D1BB8"/>
    <w:rsid w:val="7F405C73"/>
    <w:rsid w:val="7F41016B"/>
    <w:rsid w:val="7F4C0ABC"/>
    <w:rsid w:val="7F58120E"/>
    <w:rsid w:val="7F7E49ED"/>
    <w:rsid w:val="7F930498"/>
    <w:rsid w:val="7F9A43CC"/>
    <w:rsid w:val="7FB83A5B"/>
    <w:rsid w:val="7FC5019C"/>
    <w:rsid w:val="7FCC7507"/>
    <w:rsid w:val="7FD12D6F"/>
    <w:rsid w:val="7FD14B1D"/>
    <w:rsid w:val="7FDA7E75"/>
    <w:rsid w:val="7FDB3BED"/>
    <w:rsid w:val="7FE267CC"/>
    <w:rsid w:val="7FEC212C"/>
    <w:rsid w:val="7FF07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Times New Roman" w:hAnsi="Times New Roman" w:eastAsia="仿宋_GB2312" w:cs="仿宋_GB2312"/>
      <w:kern w:val="2"/>
      <w:sz w:val="32"/>
      <w:szCs w:val="32"/>
      <w:lang w:val="en-US" w:eastAsia="zh-CN" w:bidi="ar-SA"/>
    </w:rPr>
  </w:style>
  <w:style w:type="paragraph" w:styleId="2">
    <w:name w:val="heading 1"/>
    <w:basedOn w:val="1"/>
    <w:next w:val="1"/>
    <w:link w:val="25"/>
    <w:qFormat/>
    <w:uiPriority w:val="0"/>
    <w:pPr>
      <w:keepNext/>
      <w:pageBreakBefore/>
      <w:numPr>
        <w:ilvl w:val="0"/>
        <w:numId w:val="1"/>
      </w:numPr>
      <w:tabs>
        <w:tab w:val="left" w:pos="420"/>
      </w:tabs>
      <w:adjustRightInd w:val="0"/>
      <w:ind w:firstLine="402" w:firstLineChars="0"/>
      <w:jc w:val="center"/>
      <w:textAlignment w:val="baseline"/>
      <w:outlineLvl w:val="0"/>
    </w:pPr>
    <w:rPr>
      <w:rFonts w:ascii="黑体" w:hAnsi="黑体" w:eastAsia="黑体" w:cs="黑体"/>
    </w:rPr>
  </w:style>
  <w:style w:type="paragraph" w:styleId="3">
    <w:name w:val="heading 2"/>
    <w:basedOn w:val="1"/>
    <w:link w:val="29"/>
    <w:unhideWhenUsed/>
    <w:qFormat/>
    <w:uiPriority w:val="0"/>
    <w:pPr>
      <w:keepNext/>
      <w:keepLines/>
      <w:numPr>
        <w:ilvl w:val="1"/>
        <w:numId w:val="1"/>
      </w:numPr>
      <w:tabs>
        <w:tab w:val="left" w:pos="420"/>
        <w:tab w:val="clear" w:pos="0"/>
      </w:tabs>
      <w:ind w:firstLineChars="0"/>
      <w:jc w:val="center"/>
      <w:outlineLvl w:val="1"/>
    </w:pPr>
    <w:rPr>
      <w:rFonts w:ascii="楷体_GB2312" w:hAnsi="楷体_GB2312" w:eastAsia="楷体_GB2312" w:cs="楷体_GB2312"/>
      <w:b/>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spacing w:val="23"/>
      <w:kern w:val="0"/>
      <w:sz w:val="27"/>
      <w:szCs w:val="27"/>
    </w:rPr>
  </w:style>
  <w:style w:type="paragraph" w:styleId="5">
    <w:name w:val="heading 4"/>
    <w:basedOn w:val="1"/>
    <w:next w:val="1"/>
    <w:unhideWhenUsed/>
    <w:qFormat/>
    <w:uiPriority w:val="0"/>
    <w:pPr>
      <w:spacing w:beforeAutospacing="1" w:afterAutospacing="1"/>
      <w:jc w:val="left"/>
      <w:outlineLvl w:val="3"/>
    </w:pPr>
    <w:rPr>
      <w:rFonts w:hint="eastAsia" w:ascii="宋体" w:hAnsi="宋体" w:eastAsia="宋体" w:cs="Times New Roman"/>
      <w:b/>
      <w:bCs/>
      <w:kern w:val="0"/>
      <w:sz w:val="24"/>
      <w:szCs w:val="24"/>
    </w:rPr>
  </w:style>
  <w:style w:type="paragraph" w:styleId="6">
    <w:name w:val="heading 5"/>
    <w:basedOn w:val="1"/>
    <w:next w:val="1"/>
    <w:semiHidden/>
    <w:unhideWhenUsed/>
    <w:qFormat/>
    <w:uiPriority w:val="0"/>
    <w:pPr>
      <w:keepNext/>
      <w:keepLines/>
      <w:numPr>
        <w:ilvl w:val="4"/>
        <w:numId w:val="2"/>
      </w:numPr>
      <w:spacing w:before="280" w:after="290" w:line="372" w:lineRule="auto"/>
      <w:outlineLvl w:val="4"/>
    </w:pPr>
    <w:rPr>
      <w:b/>
      <w:sz w:val="28"/>
    </w:rPr>
  </w:style>
  <w:style w:type="paragraph" w:styleId="7">
    <w:name w:val="heading 6"/>
    <w:basedOn w:val="1"/>
    <w:next w:val="1"/>
    <w:semiHidden/>
    <w:unhideWhenUsed/>
    <w:qFormat/>
    <w:uiPriority w:val="0"/>
    <w:pPr>
      <w:keepNext/>
      <w:keepLines/>
      <w:numPr>
        <w:ilvl w:val="5"/>
        <w:numId w:val="2"/>
      </w:numPr>
      <w:spacing w:before="240" w:after="64" w:line="317" w:lineRule="auto"/>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2"/>
      </w:numPr>
      <w:spacing w:before="240" w:after="64" w:line="317" w:lineRule="auto"/>
      <w:outlineLvl w:val="6"/>
    </w:pPr>
    <w:rPr>
      <w:b/>
      <w:sz w:val="24"/>
    </w:rPr>
  </w:style>
  <w:style w:type="paragraph" w:styleId="9">
    <w:name w:val="heading 8"/>
    <w:basedOn w:val="1"/>
    <w:next w:val="1"/>
    <w:semiHidden/>
    <w:unhideWhenUsed/>
    <w:qFormat/>
    <w:uiPriority w:val="0"/>
    <w:pPr>
      <w:keepNext/>
      <w:keepLines/>
      <w:numPr>
        <w:ilvl w:val="7"/>
        <w:numId w:val="2"/>
      </w:numPr>
      <w:spacing w:before="240" w:after="64" w:line="317" w:lineRule="auto"/>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3"/>
      </w:numPr>
      <w:spacing w:before="240" w:after="64" w:line="317" w:lineRule="auto"/>
      <w:outlineLvl w:val="8"/>
    </w:pPr>
    <w:rPr>
      <w:rFonts w:ascii="Arial" w:hAnsi="Arial" w:eastAsia="黑体"/>
      <w:sz w:val="21"/>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Body Text"/>
    <w:basedOn w:val="1"/>
    <w:next w:val="13"/>
    <w:qFormat/>
    <w:uiPriority w:val="0"/>
    <w:pPr>
      <w:jc w:val="center"/>
    </w:pPr>
    <w:rPr>
      <w:sz w:val="44"/>
    </w:rPr>
  </w:style>
  <w:style w:type="paragraph" w:styleId="13">
    <w:name w:val="Body Text First Indent"/>
    <w:basedOn w:val="12"/>
    <w:qFormat/>
    <w:uiPriority w:val="0"/>
    <w:pPr>
      <w:tabs>
        <w:tab w:val="left" w:pos="-2862"/>
      </w:tabs>
      <w:adjustRightInd w:val="0"/>
      <w:snapToGrid w:val="0"/>
      <w:spacing w:line="360" w:lineRule="auto"/>
      <w:ind w:firstLine="420" w:firstLineChars="100"/>
    </w:pPr>
  </w:style>
  <w:style w:type="paragraph" w:styleId="14">
    <w:name w:val="footer"/>
    <w:basedOn w:val="1"/>
    <w:link w:val="28"/>
    <w:qFormat/>
    <w:uiPriority w:val="99"/>
    <w:pPr>
      <w:tabs>
        <w:tab w:val="center" w:pos="0"/>
        <w:tab w:val="center" w:pos="4153"/>
        <w:tab w:val="right" w:pos="8306"/>
      </w:tabs>
      <w:snapToGrid w:val="0"/>
      <w:ind w:firstLine="0" w:firstLineChars="0"/>
      <w:jc w:val="left"/>
    </w:pPr>
  </w:style>
  <w:style w:type="paragraph" w:styleId="15">
    <w:name w:val="header"/>
    <w:basedOn w:val="1"/>
    <w:link w:val="27"/>
    <w:qFormat/>
    <w:uiPriority w:val="0"/>
    <w:pPr>
      <w:tabs>
        <w:tab w:val="center" w:pos="4153"/>
        <w:tab w:val="right" w:pos="8306"/>
      </w:tabs>
      <w:snapToGrid w:val="0"/>
      <w:spacing w:line="240" w:lineRule="atLeast"/>
      <w:jc w:val="center"/>
    </w:pPr>
    <w:rPr>
      <w:sz w:val="18"/>
      <w:szCs w:val="18"/>
    </w:rPr>
  </w:style>
  <w:style w:type="paragraph" w:styleId="16">
    <w:name w:val="toc 1"/>
    <w:basedOn w:val="1"/>
    <w:next w:val="1"/>
    <w:qFormat/>
    <w:uiPriority w:val="39"/>
    <w:pPr>
      <w:ind w:firstLine="0" w:firstLineChars="0"/>
    </w:pPr>
    <w:rPr>
      <w:sz w:val="30"/>
    </w:rPr>
  </w:style>
  <w:style w:type="paragraph" w:styleId="17">
    <w:name w:val="toc 2"/>
    <w:basedOn w:val="1"/>
    <w:next w:val="1"/>
    <w:qFormat/>
    <w:uiPriority w:val="39"/>
    <w:rPr>
      <w:sz w:val="30"/>
    </w:rPr>
  </w:style>
  <w:style w:type="paragraph" w:styleId="18">
    <w:name w:val="Normal (Web)"/>
    <w:basedOn w:val="1"/>
    <w:qFormat/>
    <w:uiPriority w:val="0"/>
    <w:pPr>
      <w:spacing w:beforeAutospacing="1" w:afterAutospacing="1"/>
      <w:jc w:val="left"/>
    </w:pPr>
    <w:rPr>
      <w:rFonts w:cs="Times New Roman"/>
      <w:kern w:val="0"/>
      <w:sz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Hyperlink"/>
    <w:basedOn w:val="21"/>
    <w:qFormat/>
    <w:uiPriority w:val="99"/>
    <w:rPr>
      <w:color w:val="0000FF"/>
      <w:u w:val="single"/>
    </w:rPr>
  </w:style>
  <w:style w:type="character" w:styleId="24">
    <w:name w:val="annotation reference"/>
    <w:basedOn w:val="21"/>
    <w:qFormat/>
    <w:uiPriority w:val="0"/>
    <w:rPr>
      <w:sz w:val="21"/>
      <w:szCs w:val="21"/>
    </w:rPr>
  </w:style>
  <w:style w:type="character" w:customStyle="1" w:styleId="25">
    <w:name w:val="标题 1 字符"/>
    <w:basedOn w:val="21"/>
    <w:link w:val="2"/>
    <w:qFormat/>
    <w:uiPriority w:val="0"/>
    <w:rPr>
      <w:rFonts w:ascii="黑体" w:hAnsi="黑体" w:eastAsia="黑体" w:cs="黑体"/>
      <w:kern w:val="44"/>
      <w:sz w:val="32"/>
      <w:szCs w:val="32"/>
    </w:rPr>
  </w:style>
  <w:style w:type="paragraph" w:styleId="26">
    <w:name w:val="List Paragraph"/>
    <w:basedOn w:val="1"/>
    <w:unhideWhenUsed/>
    <w:qFormat/>
    <w:uiPriority w:val="99"/>
    <w:pPr>
      <w:ind w:firstLine="420"/>
    </w:pPr>
  </w:style>
  <w:style w:type="character" w:customStyle="1" w:styleId="27">
    <w:name w:val="页眉 字符"/>
    <w:basedOn w:val="21"/>
    <w:link w:val="15"/>
    <w:qFormat/>
    <w:uiPriority w:val="0"/>
    <w:rPr>
      <w:rFonts w:ascii="仿宋_GB2312" w:hAnsi="仿宋_GB2312" w:eastAsia="仿宋_GB2312" w:cs="仿宋_GB2312"/>
      <w:kern w:val="2"/>
      <w:sz w:val="18"/>
      <w:szCs w:val="18"/>
    </w:rPr>
  </w:style>
  <w:style w:type="character" w:customStyle="1" w:styleId="28">
    <w:name w:val="页脚 字符"/>
    <w:basedOn w:val="21"/>
    <w:link w:val="14"/>
    <w:qFormat/>
    <w:uiPriority w:val="99"/>
    <w:rPr>
      <w:rFonts w:ascii="Times New Roman" w:hAnsi="Times New Roman" w:eastAsia="仿宋_GB2312" w:cs="仿宋_GB2312"/>
      <w:kern w:val="2"/>
      <w:sz w:val="32"/>
      <w:szCs w:val="32"/>
    </w:rPr>
  </w:style>
  <w:style w:type="character" w:customStyle="1" w:styleId="29">
    <w:name w:val="标题 2 字符"/>
    <w:link w:val="3"/>
    <w:qFormat/>
    <w:uiPriority w:val="0"/>
    <w:rPr>
      <w:rFonts w:ascii="楷体_GB2312" w:hAnsi="楷体_GB2312" w:eastAsia="楷体_GB2312" w:cs="楷体_GB2312"/>
      <w:b/>
    </w:rPr>
  </w:style>
  <w:style w:type="paragraph" w:customStyle="1" w:styleId="30">
    <w:name w:val="修订1"/>
    <w:hidden/>
    <w:unhideWhenUsed/>
    <w:qFormat/>
    <w:uiPriority w:val="99"/>
    <w:rPr>
      <w:rFonts w:ascii="仿宋_GB2312" w:hAnsi="Times New Roman" w:eastAsia="仿宋_GB2312" w:cs="仿宋_GB2312"/>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3.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662aecf7-ca2f-49a4-9ca6-24060d02ab49</errorID>
      <errorWord>突显</errorWord>
      <group>L1_Word</group>
      <groupName>字词问题</groupName>
      <ability>L2_Typo</ability>
      <abilityName>字词错误</abilityName>
      <candidateList>
        <item>凸显</item>
      </candidateList>
      <explain/>
      <paraID>44C218A4</paraID>
      <start>70</start>
      <end>72</end>
      <status>modified</status>
      <modifiedWord>凸显</modifiedWord>
      <trackRevisions>false</trackRevisions>
    </reviewItem>
    <reviewItem>
      <errorID>c6e75d41-dab1-4515-9a3f-ba744ba6e86e</errorID>
      <errorWord>突显</errorWord>
      <group>L1_Word</group>
      <groupName>字词问题</groupName>
      <ability>L2_Typo</ability>
      <abilityName>字词错误</abilityName>
      <candidateList>
        <item>凸显</item>
      </candidateList>
      <explain/>
      <paraID>369E646E</paraID>
      <start>208</start>
      <end>210</end>
      <status>modified</status>
      <modifiedWord>凸显</modifiedWord>
      <trackRevisions>false</trackRevisions>
    </reviewItem>
    <reviewItem>
      <errorID>3affe3aa-c737-4707-951f-9cf719a11168</errorID>
      <errorWord>数字中国峰会</errorWord>
      <group>L1_Word</group>
      <groupName>字词问题</groupName>
      <ability>L2_Typo</ability>
      <abilityName>字词错误</abilityName>
      <candidateList>
        <item>数字中国建设峰会</item>
      </candidateList>
      <explain/>
      <paraID>369E646E</paraID>
      <start>391</start>
      <end>397</end>
      <status>ignored</status>
      <modifiedWord/>
      <trackRevisions>false</trackRevisions>
    </reviewItem>
    <reviewItem>
      <errorID>96f3ef4c-3890-4bbb-9a83-c39bc3894d5b</errorID>
      <errorWord>现</errorWord>
      <group>L1_Word</group>
      <groupName>字词问题</groupName>
      <ability>L2_Typo</ability>
      <abilityName>字词错误</abilityName>
      <candidateList>
        <item>显</item>
      </candidateList>
      <explain/>
      <paraID>757FACDE</paraID>
      <start>36</start>
      <end>37</end>
      <status>modified</status>
      <modifiedWord>显</modifiedWord>
      <trackRevisions>false</trackRevisions>
    </reviewItem>
    <reviewItem>
      <errorID>f6595083-f298-4b30-809f-eaadfe6ac26c</errorID>
      <errorWord>伊</errorWord>
      <group>L1_Word</group>
      <groupName>字词问题</groupName>
      <ability>L2_Typo</ability>
      <abilityName>字词错误</abilityName>
      <candidateList>
        <item>与</item>
      </candidateList>
      <explain>存在发音相近字词的误用。</explain>
      <paraID>757FACDE</paraID>
      <start>844</start>
      <end>845</end>
      <status>ignored</status>
      <modifiedWord/>
      <trackRevisions>false</trackRevisions>
    </reviewItem>
    <reviewItem>
      <errorID>056cbad1-bf65-4030-88c4-e1ea76365402</errorID>
      <errorWord>上线</errorWord>
      <group>L1_Punc</group>
      <groupName>标点问题</groupName>
      <ability>L2_Punc_CN</ability>
      <abilityName>标点符号问题</abilityName>
      <candidateList>
        <item>，上线</item>
      </candidateList>
      <explain/>
      <paraID>3E17C9D8</paraID>
      <start>36</start>
      <end>39</end>
      <status>modified</status>
      <modifiedWord>，上线</modifiedWord>
      <trackRevisions>false</trackRevisions>
    </reviewItem>
    <reviewItem>
      <errorID>7103f4fa-8717-4ab7-b7d4-837a2d0d59ea</errorID>
      <errorWord>力</errorWord>
      <group>L1_Word</group>
      <groupName>字词问题</groupName>
      <ability>L2_Typo</ability>
      <abilityName>字词错误</abilityName>
      <candidateList>
        <item>力有</item>
      </candidateList>
      <explain/>
      <paraID>31A72D6D</paraID>
      <start>260</start>
      <end>261</end>
      <status>ignored</status>
      <modifiedWord/>
      <trackRevisions>false</trackRevisions>
    </reviewItem>
    <reviewItem>
      <errorID>6f053cae-a6c6-47d8-a7b3-b04757589a1c</errorID>
      <errorWord>促进实体经济和数字经济深度融合</errorWord>
      <group>L1_Political</group>
      <groupName>政治性问题</groupName>
      <ability>L2_Keyword</ability>
      <abilityName>固定表述</abilityName>
      <candidateList>
        <item>促进数字经济和实体经济深度融合</item>
      </candidateList>
      <explain>词汇“促进数字经济和实体经济深度融合”在特定场景下为固定表述形式，请确认此处的“促进实体经济和数字经济深度融合”是否存在不当。</explain>
      <paraID>2FB8AAD7</paraID>
      <start>94</start>
      <end>109</end>
      <status>ignored</status>
      <modifiedWord/>
      <trackRevisions>false</trackRevisions>
    </reviewItem>
    <reviewItem>
      <errorID>daf0320f-0220-4518-92f0-0b8e9a800392</errorID>
      <errorWord>实数</errorWord>
      <group>L1_Word</group>
      <groupName>字词问题</groupName>
      <ability>L2_Typo</ability>
      <abilityName>字词错误</abilityName>
      <candidateList>
        <item>数实</item>
      </candidateList>
      <explain/>
      <paraID>2FB8AAD7</paraID>
      <start>203</start>
      <end>205</end>
      <status>ignored</status>
      <modifiedWord/>
      <trackRevisions>false</trackRevisions>
    </reviewItem>
    <reviewItem>
      <errorID>8400004a-291f-45c5-a8de-30ca5459a072</errorID>
      <errorWord>、</errorWord>
      <group>L1_Punc</group>
      <groupName>标点问题</groupName>
      <ability>L2_Punc_CN</ability>
      <abilityName>标点符号问题</abilityName>
      <candidateList>
        <item>，</item>
      </candidateList>
      <explain/>
      <paraID>36E2979E</paraID>
      <start>295</start>
      <end>296</end>
      <status>modified</status>
      <modifiedWord>，</modifiedWord>
      <trackRevisions>false</trackRevisions>
    </reviewItem>
    <reviewItem>
      <errorID>7d675dfd-7b7a-43c3-8df4-da10dba66ee2</errorID>
      <errorWord>和</errorWord>
      <group>L1_Word</group>
      <groupName>字词问题</groupName>
      <ability>L2_Typo</ability>
      <abilityName>字词错误</abilityName>
      <candidateList>
        <item>、在</item>
      </candidateList>
      <explain/>
      <paraID>36E2979E</paraID>
      <start>346</start>
      <end>347</end>
      <status>ignored</status>
      <modifiedWord/>
      <trackRevisions>false</trackRevisions>
    </reviewItem>
    <reviewItem>
      <errorID>3c432a7f-7b47-4831-acf0-cafb2ec6156b</errorID>
      <errorWord>四区两基</errorWord>
      <group>L1_Other</group>
      <groupName>其他问题</groupName>
      <ability>L2_Consistency</ability>
      <abilityName>一致性检查</abilityName>
      <candidateList>
        <item>四基两区</item>
      </candidateList>
      <explain>实体一致性错误，全文多处统一表述师市战略目标为“四基两区”，此处表述不一致</explain>
      <paraID>1C3DC94E</paraID>
      <start>76</start>
      <end>80</end>
      <status>ignored</status>
      <modifiedWord/>
      <trackRevisions>false</trackRevisions>
    </reviewItem>
    <reviewItem>
      <errorID>b68b8e60-056b-4a9d-9d2e-8199926a1d50</errorID>
      <errorWord>助产</errorWord>
      <group>L1_Word</group>
      <groupName>字词问题</groupName>
      <ability>L2_Typo</ability>
      <abilityName>字词错误</abilityName>
      <candidateList>
        <item>赋能</item>
      </candidateList>
      <explain/>
      <paraID>4E98AB50</paraID>
      <start>154</start>
      <end>156</end>
      <status>unmodified</status>
      <modifiedWord/>
      <trackRevisions>false</trackRevisions>
    </reviewItem>
    <reviewItem>
      <errorID>8fbd9214-1aa4-4797-8f32-eb8c04f8a858</errorID>
      <errorWord>推进</errorWord>
      <group>L1_Word</group>
      <groupName>字词问题</groupName>
      <ability>L2_Typo</ability>
      <abilityName>字词错误</abilityName>
      <candidateList>
        <item>释放</item>
      </candidateList>
      <explain/>
      <paraID> A03462F</paraID>
      <start>8</start>
      <end>10</end>
      <status>modified</status>
      <modifiedWord>释放</modifiedWord>
      <trackRevisions>false</trackRevisions>
    </reviewItem>
    <reviewItem>
      <errorID>6f3967fb-4660-4630-ae1d-d378b9885319</errorID>
      <errorWord>(</errorWord>
      <group>L1_Format</group>
      <groupName>格式问题</groupName>
      <ability>L2_HalfPunc_CN</ability>
      <abilityName>全半角问题</abilityName>
      <candidateList>
        <item>（</item>
      </candidateList>
      <explain>文本全半角错误。</explain>
      <paraID>6B50D1D2</paraID>
      <start>6</start>
      <end>7</end>
      <status>modified</status>
      <modifiedWord>（</modifiedWord>
      <trackRevisions>false</trackRevisions>
    </reviewItem>
    <reviewItem>
      <errorID>cbd603e3-983b-4a5e-a70e-c700bcecf56c</errorID>
      <errorWord>)</errorWord>
      <group>L1_Format</group>
      <groupName>格式问题</groupName>
      <ability>L2_HalfPunc_CN</ability>
      <abilityName>全半角问题</abilityName>
      <candidateList>
        <item>）</item>
      </candidateList>
      <explain>文本全半角错误。</explain>
      <paraID>6B50D1D2</paraID>
      <start>9</start>
      <end>10</end>
      <status>modified</status>
      <modifiedWord>）</modifiedWord>
      <trackRevisions>false</trackRevisions>
    </reviewItem>
    <reviewItem>
      <errorID>1bd088d0-0c9d-49f3-be5e-9d749d04479c</errorID>
      <errorWord>*</errorWord>
      <group>L1_Punc</group>
      <groupName>标点问题</groupName>
      <ability>L2_Punc_CN</ability>
      <abilityName>标点符号问题</abilityName>
      <candidateList/>
      <explain/>
      <paraID>4DF92137</paraID>
      <start>0</start>
      <end>1</end>
      <status>ignored</status>
      <modifiedWord/>
      <trackRevisions>false</trackRevisions>
    </reviewItem>
    <reviewItem>
      <errorID>412242a4-7a89-4c94-9ad4-e2dfe65812b3</errorID>
      <errorWord>和</errorWord>
      <group>L1_Word</group>
      <groupName>字词问题</groupName>
      <ability>L2_Typo</ability>
      <abilityName>字词错误</abilityName>
      <candidateList>
        <item>与</item>
      </candidateList>
      <explain/>
      <paraID>187EBC7A</paraID>
      <start>115</start>
      <end>116</end>
      <status>ignored</status>
      <modifiedWord/>
      <trackRevisions>false</trackRevisions>
    </reviewItem>
    <reviewItem>
      <errorID>0a77e367-5bda-4986-86e4-54b3de391282</errorID>
      <errorWord>产线</errorWord>
      <group>L1_Word</group>
      <groupName>字词问题</groupName>
      <ability>L2_Typo</ability>
      <abilityName>字词错误</abilityName>
      <candidateList>
        <item>生产线</item>
      </candidateList>
      <explain/>
      <paraID>402B1360</paraID>
      <start>48</start>
      <end>51</end>
      <status>modified</status>
      <modifiedWord>生产线</modifiedWord>
      <trackRevisions>false</trackRevisions>
    </reviewItem>
    <reviewItem>
      <errorID>67c42c47-9521-4a13-ac03-71608d62da08</errorID>
      <errorWord>技术</errorWord>
      <group>L1_Grammar</group>
      <groupName>语法问题</groupName>
      <ability>L2_Grammar</ability>
      <abilityName>语法错误</abilityName>
      <candidateList>
        <item>大数据技术</item>
      </candidateList>
      <explain/>
      <paraID>55708C23</paraID>
      <start>160</start>
      <end>162</end>
      <status>ignored</status>
      <modifiedWord/>
      <trackRevisions>false</trackRevisions>
    </reviewItem>
    <reviewItem>
      <errorID>aacec8d6-92ed-42e8-87ad-fc3a969fd6e8</errorID>
      <errorWord>，</errorWord>
      <group>L1_Grammar</group>
      <groupName>语法问题</groupName>
      <ability>L2_Grammar</ability>
      <abilityName>语法错误</abilityName>
      <candidateList>
        <item>企业，</item>
      </candidateList>
      <explain/>
      <paraID>72A9C36E</paraID>
      <start>72</start>
      <end>73</end>
      <status>ignored</status>
      <modifiedWord/>
      <trackRevisions>false</trackRevisions>
    </reviewItem>
    <reviewItem>
      <errorID>f3208ad0-6867-4b8c-b903-cb228cdc00c7</errorID>
      <errorWord>产业</errorWord>
      <group>L1_Word</group>
      <groupName>字词问题</groupName>
      <ability>L2_Typo</ability>
      <abilityName>字词错误</abilityName>
      <candidateList>
        <item>企业</item>
      </candidateList>
      <explain/>
      <paraID>72A9C36E</paraID>
      <start>90</start>
      <end>92</end>
      <status>ignored</status>
      <modifiedWord/>
      <trackRevisions>false</trackRevisions>
    </reviewItem>
    <reviewItem>
      <errorID>ded9a801-c731-4d1b-be8b-ac56e6e13088</errorID>
      <errorWord>。</errorWord>
      <group>L1_Grammar</group>
      <groupName>语法问题</groupName>
      <ability>L2_Grammar</ability>
      <abilityName>语法错误</abilityName>
      <candidateList>
        <item>基础。</item>
      </candidateList>
      <explain/>
      <paraID>75BB3A5C</paraID>
      <start>131</start>
      <end>134</end>
      <status>modified</status>
      <modifiedWord>基础。</modifiedWord>
      <trackRevisions>false</trackRevisions>
    </reviewItem>
    <reviewItem>
      <errorID>e9c5100a-1d65-4c7a-82b9-31e0c775c229</errorID>
      <errorWord>在</errorWord>
      <group>L1_Word</group>
      <groupName>字词问题</groupName>
      <ability>L2_Typo</ability>
      <abilityName>字词错误</abilityName>
      <candidateList>
        <item>针对</item>
      </candidateList>
      <explain/>
      <paraID>1E28EB7D</paraID>
      <start>22</start>
      <end>23</end>
      <status>ignored</status>
      <modifiedWord/>
      <trackRevisions>false</trackRevisions>
    </reviewItem>
    <reviewItem>
      <errorID>3bb8e0b4-961a-494d-95d7-98e82787a40e</errorID>
      <errorWord>,</errorWord>
      <group>L1_Format</group>
      <groupName>格式问题</groupName>
      <ability>L2_HalfPunc_CN</ability>
      <abilityName>全半角问题</abilityName>
      <candidateList>
        <item>，</item>
      </candidateList>
      <explain>文本全半角错误。</explain>
      <paraID>5CB4EAC9</paraID>
      <start>189</start>
      <end>190</end>
      <status>modified</status>
      <modifiedWord>，</modifiedWord>
      <trackRevisions>false</trackRevisions>
    </reviewItem>
    <reviewItem>
      <errorID>b2a5e1df-d805-426e-b164-a238db060950</errorID>
      <errorWord>实数</errorWord>
      <group>L1_Word</group>
      <groupName>字词问题</groupName>
      <ability>L2_Typo</ability>
      <abilityName>字词错误</abilityName>
      <candidateList>
        <item>数实</item>
      </candidateList>
      <explain/>
      <paraID>23A012CD</paraID>
      <start>2</start>
      <end>4</end>
      <status>ignored</status>
      <modifiedWord/>
      <trackRevisions>false</trackRevisions>
    </reviewItem>
    <reviewItem>
      <errorID>67ba522e-da30-4f5d-b2fa-c7f648cabc0d</errorID>
      <errorWord>供销</errorWord>
      <group>L1_Word</group>
      <groupName>字词问题</groupName>
      <ability>L2_Typo</ability>
      <abilityName>字词错误</abilityName>
      <candidateList>
        <item>销</item>
      </candidateList>
      <explain/>
      <paraID>1129C5FA</paraID>
      <start>239</start>
      <end>241</end>
      <status>ignored</status>
      <modifiedWord/>
      <trackRevisions>false</trackRevisions>
    </reviewItem>
    <reviewItem>
      <errorID>59fd8bbb-5783-4352-9aae-fbd5f99c857f</errorID>
      <errorWord>，</errorWord>
      <group>L1_Punc</group>
      <groupName>标点问题</groupName>
      <ability>L2_Punc_CN</ability>
      <abilityName>标点符号问题</abilityName>
      <candidateList>
        <item>、</item>
      </candidateList>
      <explain/>
      <paraID>73022760</paraID>
      <start>129</start>
      <end>130</end>
      <status>modified</status>
      <modifiedWord>、</modifiedWord>
      <trackRevisions>false</trackRevisions>
    </reviewItem>
    <reviewItem>
      <errorID>69b956c7-6869-461b-8b60-689b872e3de6</errorID>
      <errorWord>车间建</errorWord>
      <group>L1_Word</group>
      <groupName>字词问题</groupName>
      <ability>L2_Typo</ability>
      <abilityName>字词错误</abilityName>
      <candidateList>
        <item>车间</item>
      </candidateList>
      <explain/>
      <paraID>73022760</paraID>
      <start>152</start>
      <end>154</end>
      <status>modified</status>
      <modifiedWord>车间</modifiedWord>
      <trackRevisions>false</trackRevisions>
    </reviewItem>
    <reviewItem>
      <errorID>478f7979-bfc6-4e42-9a8b-3b1b7666186a</errorID>
      <errorWord>与</errorWord>
      <group>L1_Word</group>
      <groupName>字词问题</groupName>
      <ability>L2_Typo</ability>
      <abilityName>字词错误</abilityName>
      <candidateList>
        <item>和</item>
      </candidateList>
      <explain/>
      <paraID>  145335</paraID>
      <start>208</start>
      <end>209</end>
      <status>ignored</status>
      <modifiedWord/>
      <trackRevisions>false</trackRevisions>
    </reviewItem>
    <reviewItem>
      <errorID>e5654d18-2e67-4ac0-9113-d69538073987</errorID>
      <errorWord>红星耀陈列馆</errorWord>
      <group>L1_Other</group>
      <groupName>其他问题</groupName>
      <ability>L2_Consistency</ability>
      <abilityName>一致性检查</abilityName>
      <candidateList>
        <item>“红星耀双河”陈列馆</item>
      </candidateList>
      <explain>实体一致性错误，全文多处统一表述该场馆名称为““红星耀双河”陈列馆”，此处表述不一致</explain>
      <paraID>26C8CB48</paraID>
      <start>63</start>
      <end>73</end>
      <status>modified</status>
      <modifiedWord>“红星耀双河”陈列馆</modifiedWord>
      <trackRevisions>false</trackRevisions>
    </reviewItem>
    <reviewItem>
      <errorID>5cecb33b-b53f-4286-bd9c-66e92c36328b</errorID>
      <errorWord>推进探索</errorWord>
      <group>L1_Grammar</group>
      <groupName>语法问题</groupName>
      <ability>L2_Grammar</ability>
      <abilityName>语法错误</abilityName>
      <candidateList>
        <item>推进</item>
      </candidateList>
      <explain/>
      <paraID>1B12C3BC</paraID>
      <start>48</start>
      <end>50</end>
      <status>modified</status>
      <modifiedWord>推进</modifiedWord>
      <trackRevisions>false</trackRevisions>
    </reviewItem>
    <reviewItem>
      <errorID>3b2e82d5-272a-481c-9e8c-5982a5367a7b</errorID>
      <errorWord>市政法委</errorWord>
      <group>L1_Word</group>
      <groupName>字词问题</groupName>
      <ability>L2_Typo</ability>
      <abilityName>字词错误</abilityName>
      <candidateList>
        <item>市委政法委</item>
      </candidateList>
      <explain>机关单位名称不规范，请注意审核。</explain>
      <paraID>39EBB9EC</paraID>
      <start>115</start>
      <end>119</end>
      <status>ignored</status>
      <modifiedWord/>
      <trackRevisions>false</trackRevisions>
    </reviewItem>
    <reviewItem>
      <errorID>f3090cd9-c135-4b79-ad05-28ad8c93b6cb</errorID>
      <errorWord>开展</errorWord>
      <group>L1_Word</group>
      <groupName>字词问题</groupName>
      <ability>L2_Typo</ability>
      <abilityName>字词错误</abilityName>
      <candidateList>
        <item>对</item>
      </candidateList>
      <explain/>
      <paraID>413FA47E</paraID>
      <start>28</start>
      <end>30</end>
      <status>unmodified</status>
      <modifiedWord/>
      <trackRevisions>false</trackRevisions>
    </reviewItem>
    <reviewItem>
      <errorID>c58be022-9fd5-45ba-ac3a-6a4e5e7cd2a1</errorID>
      <errorWord>数据+AI</errorWord>
      <group>L1_Punc</group>
      <groupName>标点问题</groupName>
      <ability>L2_Punc_CN</ability>
      <abilityName>标点符号问题</abilityName>
      <candidateList>
        <item>“数据+AI”</item>
      </candidateList>
      <explain/>
      <paraID>62D054F9</paraID>
      <start>80</start>
      <end>87</end>
      <status>modified</status>
      <modifiedWord>“数据+AI”</modifiedWord>
      <trackRevisions>false</trackRevisions>
    </reviewItem>
    <reviewItem>
      <errorID>69a0e712-c578-455d-8ac6-a0bf422aa9da</errorID>
      <errorWord>,</errorWord>
      <group>L1_Format</group>
      <groupName>格式问题</groupName>
      <ability>L2_HalfPunc_CN</ability>
      <abilityName>全半角问题</abilityName>
      <candidateList>
        <item>，</item>
      </candidateList>
      <explain>文本全半角错误。</explain>
      <paraID>62D054F9</paraID>
      <start>107</start>
      <end>108</end>
      <status>modified</status>
      <modifiedWord>，</modifiedWord>
      <trackRevisions>false</trackRevisions>
    </reviewItem>
    <reviewItem>
      <errorID>a50292f9-f0d5-44a0-867e-9c3e430f941d</errorID>
      <errorWord>博进</errorWord>
      <group>L1_Word</group>
      <groupName>字词问题</groupName>
      <ability>L2_Typo</ability>
      <abilityName>字词错误</abilityName>
      <candidateList>
        <item>博</item>
      </candidateList>
      <explain/>
      <paraID> A4EC126</paraID>
      <start>34</start>
      <end>36</end>
      <status>ignored</status>
      <modifiedWord/>
      <trackRevisions>false</trackRevisions>
    </reviewItem>
    <reviewItem>
      <errorID>07e9cba0-dd6a-4a36-b7bb-0b9f5942c664</errorID>
      <errorWord>开展</errorWord>
      <group>L1_Word</group>
      <groupName>字词问题</groupName>
      <ability>L2_Typo</ability>
      <abilityName>字词错误</abilityName>
      <candidateList>
        <item>并开展</item>
      </candidateList>
      <explain/>
      <paraID>65452AC7</paraID>
      <start>23</start>
      <end>26</end>
      <status>modified</status>
      <modifiedWord>并开展</modifiedWord>
      <trackRevisions>false</trackRevisions>
    </reviewItem>
    <reviewItem>
      <errorID>32e059c1-9534-4fbb-88b9-0e5ded442cfb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65452AC7</paraID>
      <start>56</start>
      <end>58</end>
      <status>modified</status>
      <modifiedWord>”“</modifiedWord>
      <trackRevisions>false</trackRevisions>
    </reviewItem>
    <reviewItem>
      <errorID>d937f85a-c8e7-472e-8447-f5f6265b167e</errorID>
      <errorWord>帮助</errorWord>
      <group>L1_Punc</group>
      <groupName>标点问题</groupName>
      <ability>L2_Punc_CN</ability>
      <abilityName>标点符号问题</abilityName>
      <candidateList>
        <item>，帮助</item>
      </candidateList>
      <explain/>
      <paraID>65452AC7</paraID>
      <start>105</start>
      <end>108</end>
      <status>modified</status>
      <modifiedWord>，帮助</modifiedWord>
      <trackRevisions>false</trackRevisions>
    </reviewItem>
    <reviewItem>
      <errorID>3eae1a3a-e8f6-49ab-b4c8-bc2dec4adad4</errorID>
      <errorWord>数据共享</errorWord>
      <group>L1_Grammar</group>
      <groupName>语法问题</groupName>
      <ability>L2_Grammar</ability>
      <abilityName>语法错误</abilityName>
      <candidateList>
        <item>推进数据共享</item>
      </candidateList>
      <explain/>
      <paraID> 17F1AD2</paraID>
      <start>224</start>
      <end>230</end>
      <status>modified</status>
      <modifiedWord>推进数据共享</modifiedWord>
      <trackRevisions>false</trackRevisions>
    </reviewItem>
    <reviewItem>
      <errorID>4bba7ce6-b528-4fd9-b5a1-ff6e8c6f885d</errorID>
      <errorWord>。</errorWord>
      <group>L1_Grammar</group>
      <groupName>语法问题</groupName>
      <ability>L2_Grammar</ability>
      <abilityName>语法错误</abilityName>
      <candidateList>
        <item>基础。</item>
      </candidateList>
      <explain/>
      <paraID>7327A7C5</paraID>
      <start>146</start>
      <end>147</end>
      <status>unmodified</status>
      <modifiedWord/>
      <trackRevisions>false</trackRevisions>
    </reviewItem>
    <reviewItem>
      <errorID>2fb16a04-1049-4e3b-9f82-5c14ff6a7bb3</errorID>
      <errorWord>推行</errorWord>
      <group>L1_Word</group>
      <groupName>字词问题</groupName>
      <ability>L2_Typo</ability>
      <abilityName>字词错误</abilityName>
      <candidateList>
        <item>推广</item>
      </candidateList>
      <explain/>
      <paraID>20AE0509</paraID>
      <start>51</start>
      <end>53</end>
      <status>modified</status>
      <modifiedWord>推广</modifiedWord>
      <trackRevisions>false</trackRevisions>
    </reviewItem>
    <reviewItem>
      <errorID>f36d9366-750c-4868-9e5b-8afa19cd1bc9</errorID>
      <errorWord>(</errorWord>
      <group>L1_Format</group>
      <groupName>格式问题</groupName>
      <ability>L2_HalfPunc_CN</ability>
      <abilityName>全半角问题</abilityName>
      <candidateList>
        <item>（</item>
      </candidateList>
      <explain>文本全半角错误。</explain>
      <paraID>6BA702C0</paraID>
      <start>16</start>
      <end>17</end>
      <status>modified</status>
      <modifiedWord>（</modifiedWord>
      <trackRevisions>false</trackRevisions>
    </reviewItem>
    <reviewItem>
      <errorID>11d5fe1b-2564-4b77-8017-20a51536971a</errorID>
      <errorWord>)</errorWord>
      <group>L1_Format</group>
      <groupName>格式问题</groupName>
      <ability>L2_HalfPunc_CN</ability>
      <abilityName>全半角问题</abilityName>
      <candidateList>
        <item>）</item>
      </candidateList>
      <explain>文本全半角错误。</explain>
      <paraID>6BA702C0</paraID>
      <start>19</start>
      <end>20</end>
      <status>modified</status>
      <modifiedWord>）</modifiedWord>
      <trackRevisions>false</trackRevisions>
    </reviewItem>
    <reviewItem>
      <errorID>e6f9064f-5cf4-4755-b704-921f3034d0be</errorID>
      <errorWord>(</errorWord>
      <group>L1_Format</group>
      <groupName>格式问题</groupName>
      <ability>L2_HalfPunc_CN</ability>
      <abilityName>全半角问题</abilityName>
      <candidateList>
        <item>（</item>
      </candidateList>
      <explain>文本全半角错误。</explain>
      <paraID>1C6861A1</paraID>
      <start>16</start>
      <end>17</end>
      <status>modified</status>
      <modifiedWord>（</modifiedWord>
      <trackRevisions>false</trackRevisions>
    </reviewItem>
    <reviewItem>
      <errorID>b956e8f4-181c-4466-b32d-ab5f6911a201</errorID>
      <errorWord>)</errorWord>
      <group>L1_Format</group>
      <groupName>格式问题</groupName>
      <ability>L2_HalfPunc_CN</ability>
      <abilityName>全半角问题</abilityName>
      <candidateList>
        <item>）</item>
      </candidateList>
      <explain>文本全半角错误。</explain>
      <paraID>1C6861A1</paraID>
      <start>19</start>
      <end>20</end>
      <status>modified</status>
      <modifiedWord>）</modifiedWord>
      <trackRevisions>false</trackRevisions>
    </reviewItem>
    <reviewItem>
      <errorID>d0afd8de-22f1-480c-97d7-6c62f0353300</errorID>
      <errorWord>终端</errorWord>
      <group>L1_Punc</group>
      <groupName>标点问题</groupName>
      <ability>L2_Punc_CN</ability>
      <abilityName>标点符号问题</abilityName>
      <candidateList>
        <item>终端。</item>
      </candidateList>
      <explain/>
      <paraID>36A84DB8</paraID>
      <start>74</start>
      <end>77</end>
      <status>modified</status>
      <modifiedWord>终端。</modifiedWord>
      <trackRevisions>false</trackRevisions>
    </reviewItem>
    <reviewItem>
      <errorID>9a02eb5f-d83c-463f-be19-e9d40744db49</errorID>
      <errorWord>百分之百</errorWord>
      <group>L1_Word</group>
      <groupName>字词问题</groupName>
      <ability>L2_Typo</ability>
      <abilityName>字词错误</abilityName>
      <candidateList>
        <item>100%</item>
      </candidateList>
      <explain/>
      <paraID>6371AD19</paraID>
      <start>63</start>
      <end>67</end>
      <status>ignored</status>
      <modifiedWord/>
      <trackRevisions>false</trackRevisions>
    </reviewItem>
    <reviewItem>
      <errorID>a86ef589-fdc7-402a-bc9e-033b298df224</errorID>
      <errorWord>电商商务</errorWord>
      <group>L1_Knowledge</group>
      <groupName>知识性问题</groupName>
      <ability>L2_Term</ability>
      <abilityName>专业术语</abilityName>
      <candidateList>
        <item>电子商务</item>
      </candidateList>
      <explain/>
      <paraID>7042100A</paraID>
      <start>13</start>
      <end>17</end>
      <status>ignored</status>
      <modifiedWord/>
      <trackRevisions>false</trackRevisions>
    </reviewItem>
    <reviewItem>
      <errorID>0a998d92-374d-4621-8121-2f9cadc55744</errorID>
      <errorWord>订制</errorWord>
      <group>L1_Word</group>
      <groupName>字词问题</groupName>
      <ability>L2_Typo</ability>
      <abilityName>字词错误</abilityName>
      <candidateList>
        <item>定制</item>
      </candidateList>
      <explain/>
      <paraID>77DD868E</paraID>
      <start>27</start>
      <end>29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A040CF-A27C-41EF-871E-207B9D3CD7DC}">
  <ds:schemaRefs/>
</ds:datastoreItem>
</file>

<file path=customXml/itemProps3.xml><?xml version="1.0" encoding="utf-8"?>
<ds:datastoreItem xmlns:ds="http://schemas.openxmlformats.org/officeDocument/2006/customXml" ds:itemID="{ABCB831C-992C-4E26-862E-2807E7140F17}">
  <ds:schemaRefs/>
</ds:datastoreItem>
</file>

<file path=docProps/app.xml><?xml version="1.0" encoding="utf-8"?>
<Properties xmlns="http://schemas.openxmlformats.org/officeDocument/2006/extended-properties" xmlns:vt="http://schemas.openxmlformats.org/officeDocument/2006/docPropsVTypes">
  <Template>Normal</Template>
  <Pages>39</Pages>
  <Words>4205</Words>
  <Characters>4286</Characters>
  <Lines>194</Lines>
  <Paragraphs>54</Paragraphs>
  <TotalTime>10</TotalTime>
  <ScaleCrop>false</ScaleCrop>
  <LinksUpToDate>false</LinksUpToDate>
  <CharactersWithSpaces>4485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2026-07-15T09:53:00Z</dcterms:created>
  <dc:creator>AndyHe;何章涛;15398014984</dc:creator>
  <cp:lastModifiedBy>admin</cp:lastModifiedBy>
  <cp:lastPrinted>2026-07-15T10:14:00Z</cp:lastPrinted>
  <dcterms:modified xsi:type="dcterms:W3CDTF">2026-09-07T11:23:00Z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ED5ED945435D438A87515ED3EFF713D7_13</vt:lpwstr>
  </property>
  <property fmtid="{D5CDD505-2E9C-101B-9397-08002B2CF9AE}" pid="4" name="KSOTemplateDocerSaveRecord">
    <vt:lpwstr>eyJoZGlkIjoiNDY1NWZlMjFiYzZjMzExYTJkYWM1NzY4ZjFkMDBlNGEifQ==</vt:lpwstr>
  </property>
</Properties>
</file>