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6A5EB">
      <w:pPr>
        <w:keepNext w:val="0"/>
        <w:keepLines w:val="0"/>
        <w:pageBreakBefore w:val="0"/>
        <w:widowControl/>
        <w:suppressLineNumbers w:val="0"/>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第五师双河市新能源汽车充电桩</w:t>
      </w:r>
    </w:p>
    <w:p w14:paraId="08A13C3D">
      <w:pPr>
        <w:keepNext w:val="0"/>
        <w:keepLines w:val="0"/>
        <w:pageBreakBefore w:val="0"/>
        <w:widowControl/>
        <w:suppressLineNumbers w:val="0"/>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安装管理办法</w:t>
      </w:r>
    </w:p>
    <w:p w14:paraId="1AE76335">
      <w:pPr>
        <w:keepNext w:val="0"/>
        <w:keepLines w:val="0"/>
        <w:pageBreakBefore w:val="0"/>
        <w:widowControl/>
        <w:suppressLineNumbers w:val="0"/>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color w:val="auto"/>
          <w:kern w:val="0"/>
          <w:sz w:val="44"/>
          <w:szCs w:val="44"/>
          <w:lang w:val="en-US" w:eastAsia="zh-CN" w:bidi="ar"/>
        </w:rPr>
      </w:pPr>
    </w:p>
    <w:p w14:paraId="6594AFF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color w:val="auto"/>
          <w:kern w:val="0"/>
          <w:sz w:val="32"/>
          <w:szCs w:val="32"/>
          <w:shd w:val="clear" w:color="auto" w:fill="auto"/>
          <w:lang w:val="en-US" w:eastAsia="zh-CN" w:bidi="ar"/>
        </w:rPr>
        <w:t>为全面落实自治区人民政府办公厅《关于印发</w:t>
      </w:r>
      <w:r>
        <w:rPr>
          <w:rFonts w:hint="eastAsia" w:ascii="Times New Roman" w:hAnsi="Times New Roman" w:eastAsia="仿宋_GB2312" w:cs="Times New Roman"/>
          <w:color w:val="auto"/>
          <w:kern w:val="0"/>
          <w:sz w:val="32"/>
          <w:szCs w:val="32"/>
          <w:shd w:val="clear" w:color="auto" w:fill="auto"/>
          <w:lang w:val="en-US" w:eastAsia="zh-CN" w:bidi="ar"/>
        </w:rPr>
        <w:t>〈</w:t>
      </w:r>
      <w:r>
        <w:rPr>
          <w:rFonts w:hint="default" w:ascii="Times New Roman" w:hAnsi="Times New Roman" w:eastAsia="仿宋_GB2312" w:cs="Times New Roman"/>
          <w:color w:val="auto"/>
          <w:kern w:val="0"/>
          <w:sz w:val="32"/>
          <w:szCs w:val="32"/>
          <w:shd w:val="clear" w:color="auto" w:fill="auto"/>
          <w:lang w:val="en-US" w:eastAsia="zh-CN" w:bidi="ar"/>
        </w:rPr>
        <w:t>加快构建自治区高质量充电基础设施体系的实施方案</w:t>
      </w:r>
      <w:r>
        <w:rPr>
          <w:rFonts w:hint="eastAsia" w:ascii="Times New Roman" w:hAnsi="Times New Roman" w:eastAsia="仿宋_GB2312" w:cs="Times New Roman"/>
          <w:color w:val="auto"/>
          <w:kern w:val="0"/>
          <w:sz w:val="32"/>
          <w:szCs w:val="32"/>
          <w:shd w:val="clear" w:color="auto" w:fill="auto"/>
          <w:lang w:val="en-US" w:eastAsia="zh-CN" w:bidi="ar"/>
        </w:rPr>
        <w:t>〉</w:t>
      </w:r>
      <w:r>
        <w:rPr>
          <w:rFonts w:hint="default" w:ascii="Times New Roman" w:hAnsi="Times New Roman" w:eastAsia="仿宋_GB2312" w:cs="Times New Roman"/>
          <w:color w:val="auto"/>
          <w:kern w:val="0"/>
          <w:sz w:val="32"/>
          <w:szCs w:val="32"/>
          <w:shd w:val="clear" w:color="auto" w:fill="auto"/>
          <w:lang w:val="en-US" w:eastAsia="zh-CN" w:bidi="ar"/>
        </w:rPr>
        <w:t>的通知》（新政办发〔2024〕37号）文件精神，进一步规范第五师双河市（以下简称“师市”）新能源汽车充电桩建设流程，切实落实师市党委、人民政府工作部署，结合师市实际，制定本管理办法。</w:t>
      </w:r>
    </w:p>
    <w:p w14:paraId="72A82EC6">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default" w:ascii="Times New Roman" w:hAnsi="Times New Roman" w:eastAsia="黑体" w:cs="Times New Roman"/>
          <w:color w:val="auto"/>
          <w:kern w:val="0"/>
          <w:sz w:val="32"/>
          <w:szCs w:val="32"/>
          <w:shd w:val="clear" w:color="auto" w:fill="auto"/>
          <w:lang w:val="en-US" w:eastAsia="zh-CN" w:bidi="ar"/>
        </w:rPr>
      </w:pPr>
      <w:r>
        <w:rPr>
          <w:rFonts w:hint="default" w:ascii="Times New Roman" w:hAnsi="Times New Roman" w:eastAsia="黑体" w:cs="Times New Roman"/>
          <w:color w:val="auto"/>
          <w:kern w:val="0"/>
          <w:sz w:val="32"/>
          <w:szCs w:val="32"/>
          <w:shd w:val="clear" w:color="auto" w:fill="auto"/>
          <w:lang w:val="en-US" w:eastAsia="zh-CN" w:bidi="ar"/>
        </w:rPr>
        <w:t>总体目标</w:t>
      </w:r>
    </w:p>
    <w:p w14:paraId="654E7FE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color w:val="auto"/>
          <w:kern w:val="0"/>
          <w:sz w:val="32"/>
          <w:szCs w:val="32"/>
          <w:shd w:val="clear" w:color="auto" w:fill="auto"/>
          <w:lang w:val="en-US" w:eastAsia="zh-CN" w:bidi="ar"/>
        </w:rPr>
        <w:t>遵循“政府主导、市场参与、多方协同”工作原则，坚守统筹规划、建管并重、安全规范、便民惠民、权责清晰的工作导向，紧密结合师市新能源汽车推广应用、市政基础设施建设、电网承载能力及小区治理实际情况，进一步明确属地管理责任与各部门牵头职责，规范公共停车场、居民小区充电基础设施的建设、运营及维护全流程管理，健全完善充电安全监管体系，加快打造“安全智能、经济便捷、开放共享”的居民小区充电网络，切实为辖区居民使用新能源汽车提供坚实、便捷的保障。</w:t>
      </w:r>
    </w:p>
    <w:p w14:paraId="3F161DBD">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default" w:ascii="Times New Roman" w:hAnsi="Times New Roman" w:eastAsia="黑体" w:cs="Times New Roman"/>
          <w:color w:val="auto"/>
          <w:kern w:val="0"/>
          <w:sz w:val="32"/>
          <w:szCs w:val="32"/>
          <w:shd w:val="clear" w:color="auto" w:fill="auto"/>
          <w:lang w:val="en-US" w:eastAsia="zh-CN" w:bidi="ar"/>
        </w:rPr>
      </w:pPr>
      <w:r>
        <w:rPr>
          <w:rFonts w:hint="default" w:ascii="Times New Roman" w:hAnsi="Times New Roman" w:eastAsia="黑体" w:cs="Times New Roman"/>
          <w:color w:val="auto"/>
          <w:kern w:val="0"/>
          <w:sz w:val="32"/>
          <w:szCs w:val="32"/>
          <w:shd w:val="clear" w:color="auto" w:fill="auto"/>
          <w:lang w:val="en-US" w:eastAsia="zh-CN" w:bidi="ar"/>
        </w:rPr>
        <w:t>建设管理</w:t>
      </w:r>
    </w:p>
    <w:p w14:paraId="49FFFD0F">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eastAsia" w:ascii="Times New Roman" w:hAnsi="Times New Roman" w:eastAsia="楷体_GB2312" w:cs="Times New Roman"/>
          <w:color w:val="auto"/>
          <w:kern w:val="0"/>
          <w:sz w:val="32"/>
          <w:szCs w:val="32"/>
          <w:shd w:val="clear" w:color="auto" w:fill="auto"/>
          <w:lang w:val="en-US" w:eastAsia="zh-CN" w:bidi="ar"/>
        </w:rPr>
        <w:t>（一）</w:t>
      </w:r>
      <w:r>
        <w:rPr>
          <w:rFonts w:hint="default" w:ascii="Times New Roman" w:hAnsi="Times New Roman" w:eastAsia="楷体_GB2312" w:cs="Times New Roman"/>
          <w:color w:val="auto"/>
          <w:kern w:val="0"/>
          <w:sz w:val="32"/>
          <w:szCs w:val="32"/>
          <w:shd w:val="clear" w:color="auto" w:fill="auto"/>
          <w:lang w:val="en-US" w:eastAsia="zh-CN" w:bidi="ar"/>
        </w:rPr>
        <w:t>公共停车场充电桩</w:t>
      </w:r>
      <w:r>
        <w:rPr>
          <w:rFonts w:hint="eastAsia" w:ascii="Times New Roman" w:hAnsi="Times New Roman" w:eastAsia="楷体_GB2312" w:cs="Times New Roman"/>
          <w:color w:val="auto"/>
          <w:kern w:val="0"/>
          <w:sz w:val="32"/>
          <w:szCs w:val="32"/>
          <w:shd w:val="clear" w:color="auto" w:fill="auto"/>
          <w:lang w:val="en-US" w:eastAsia="zh-CN" w:bidi="ar"/>
        </w:rPr>
        <w:t>。</w:t>
      </w:r>
      <w:r>
        <w:rPr>
          <w:rFonts w:hint="default" w:ascii="Times New Roman" w:hAnsi="Times New Roman" w:eastAsia="仿宋_GB2312" w:cs="Times New Roman"/>
          <w:color w:val="auto"/>
          <w:kern w:val="0"/>
          <w:sz w:val="32"/>
          <w:szCs w:val="32"/>
          <w:shd w:val="clear" w:color="auto" w:fill="auto"/>
          <w:lang w:val="en-US" w:eastAsia="zh-CN" w:bidi="ar"/>
        </w:rPr>
        <w:t>公共停车场充电桩应按照“统一规划、规范审批、专业建设、集中运营”模式，结合停车场车位总量、交通流量及周边充电需求，科学划定充电区域、合理配置桩体数量。公共停车场管理单位选择具备安全运营资质、运维能力强的企业，统一建设、运营充电桩，积极引导第三方运营商和社会资本参与建设运营。</w:t>
      </w:r>
    </w:p>
    <w:p w14:paraId="7FC6F05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color w:val="auto"/>
          <w:kern w:val="0"/>
          <w:sz w:val="32"/>
          <w:szCs w:val="32"/>
          <w:shd w:val="clear" w:color="auto" w:fill="auto"/>
          <w:lang w:val="en-US" w:eastAsia="zh-CN" w:bidi="ar"/>
        </w:rPr>
        <w:t>公共停车场充电桩</w:t>
      </w:r>
      <w:r>
        <w:rPr>
          <w:rFonts w:hint="default" w:ascii="Times New Roman" w:hAnsi="Times New Roman" w:eastAsia="仿宋_GB2312" w:cs="Times New Roman"/>
          <w:color w:val="auto"/>
          <w:kern w:val="0"/>
          <w:sz w:val="32"/>
          <w:szCs w:val="32"/>
          <w:highlight w:val="none"/>
          <w:shd w:val="clear" w:color="auto" w:fill="auto"/>
          <w:lang w:val="en-US" w:eastAsia="zh-CN" w:bidi="ar"/>
        </w:rPr>
        <w:t>建设前需到</w:t>
      </w:r>
      <w:r>
        <w:rPr>
          <w:rFonts w:hint="eastAsia" w:ascii="Times New Roman" w:hAnsi="Times New Roman" w:eastAsia="仿宋_GB2312" w:cs="Times New Roman"/>
          <w:color w:val="auto"/>
          <w:kern w:val="0"/>
          <w:sz w:val="32"/>
          <w:szCs w:val="32"/>
          <w:highlight w:val="none"/>
          <w:shd w:val="clear" w:color="auto" w:fill="auto"/>
          <w:lang w:val="en-US" w:eastAsia="zh-CN" w:bidi="ar"/>
        </w:rPr>
        <w:t>城（镇）建设管理部门申请</w:t>
      </w:r>
      <w:r>
        <w:rPr>
          <w:rFonts w:hint="default" w:ascii="Times New Roman" w:hAnsi="Times New Roman" w:eastAsia="仿宋_GB2312" w:cs="Times New Roman"/>
          <w:b w:val="0"/>
          <w:bCs w:val="0"/>
          <w:color w:val="auto"/>
          <w:kern w:val="0"/>
          <w:sz w:val="32"/>
          <w:szCs w:val="32"/>
          <w:highlight w:val="none"/>
          <w:shd w:val="clear" w:color="auto" w:fill="auto"/>
          <w:lang w:val="en-US" w:eastAsia="zh-CN" w:bidi="ar"/>
        </w:rPr>
        <w:t>备案</w:t>
      </w:r>
      <w:r>
        <w:rPr>
          <w:rFonts w:hint="eastAsia" w:ascii="Times New Roman" w:hAnsi="Times New Roman" w:eastAsia="仿宋_GB2312" w:cs="Times New Roman"/>
          <w:b w:val="0"/>
          <w:bCs w:val="0"/>
          <w:color w:val="auto"/>
          <w:kern w:val="0"/>
          <w:sz w:val="32"/>
          <w:szCs w:val="32"/>
          <w:highlight w:val="none"/>
          <w:shd w:val="clear" w:color="auto" w:fill="auto"/>
          <w:lang w:val="en-US" w:eastAsia="zh-CN" w:bidi="ar"/>
        </w:rPr>
        <w:t>。</w:t>
      </w:r>
      <w:r>
        <w:rPr>
          <w:rFonts w:hint="eastAsia" w:ascii="Times New Roman" w:hAnsi="Times New Roman" w:eastAsia="仿宋_GB2312" w:cs="Times New Roman"/>
          <w:color w:val="auto"/>
          <w:kern w:val="0"/>
          <w:sz w:val="32"/>
          <w:szCs w:val="32"/>
          <w:highlight w:val="none"/>
          <w:shd w:val="clear" w:color="auto" w:fill="auto"/>
          <w:lang w:val="en-US" w:eastAsia="zh-CN" w:bidi="ar"/>
        </w:rPr>
        <w:t>向</w:t>
      </w:r>
      <w:r>
        <w:rPr>
          <w:rFonts w:hint="default" w:ascii="Times New Roman" w:hAnsi="Times New Roman" w:eastAsia="仿宋_GB2312" w:cs="Times New Roman"/>
          <w:color w:val="auto"/>
          <w:kern w:val="0"/>
          <w:sz w:val="32"/>
          <w:szCs w:val="32"/>
          <w:shd w:val="clear" w:color="auto" w:fill="auto"/>
          <w:lang w:val="en-US" w:eastAsia="zh-CN" w:bidi="ar"/>
        </w:rPr>
        <w:t>电力部门</w:t>
      </w:r>
      <w:r>
        <w:rPr>
          <w:rFonts w:hint="eastAsia" w:ascii="Times New Roman" w:hAnsi="Times New Roman" w:eastAsia="仿宋_GB2312" w:cs="Times New Roman"/>
          <w:color w:val="auto"/>
          <w:kern w:val="0"/>
          <w:sz w:val="32"/>
          <w:szCs w:val="32"/>
          <w:shd w:val="clear" w:color="auto" w:fill="auto"/>
          <w:lang w:val="en-US" w:eastAsia="zh-CN" w:bidi="ar"/>
        </w:rPr>
        <w:t>提交</w:t>
      </w:r>
      <w:r>
        <w:rPr>
          <w:rFonts w:hint="default" w:ascii="Times New Roman" w:hAnsi="Times New Roman" w:eastAsia="仿宋_GB2312" w:cs="Times New Roman"/>
          <w:color w:val="auto"/>
          <w:kern w:val="0"/>
          <w:sz w:val="32"/>
          <w:szCs w:val="32"/>
          <w:shd w:val="clear" w:color="auto" w:fill="auto"/>
          <w:lang w:val="en-US" w:eastAsia="zh-CN" w:bidi="ar"/>
        </w:rPr>
        <w:t>报装</w:t>
      </w:r>
      <w:r>
        <w:rPr>
          <w:rFonts w:hint="eastAsia" w:ascii="Times New Roman" w:hAnsi="Times New Roman" w:eastAsia="仿宋_GB2312" w:cs="Times New Roman"/>
          <w:color w:val="auto"/>
          <w:kern w:val="0"/>
          <w:sz w:val="32"/>
          <w:szCs w:val="32"/>
          <w:shd w:val="clear" w:color="auto" w:fill="auto"/>
          <w:lang w:val="en-US" w:eastAsia="zh-CN" w:bidi="ar"/>
        </w:rPr>
        <w:t>申请</w:t>
      </w:r>
      <w:r>
        <w:rPr>
          <w:rFonts w:hint="default" w:ascii="Times New Roman" w:hAnsi="Times New Roman" w:eastAsia="仿宋_GB2312" w:cs="Times New Roman"/>
          <w:color w:val="auto"/>
          <w:kern w:val="0"/>
          <w:sz w:val="32"/>
          <w:szCs w:val="32"/>
          <w:shd w:val="clear" w:color="auto" w:fill="auto"/>
          <w:lang w:val="en-US" w:eastAsia="zh-CN" w:bidi="ar"/>
        </w:rPr>
        <w:t>，委托具备资质的施工单位规范施工，严格落实消防、用电安全标准，施工完成后经</w:t>
      </w:r>
      <w:r>
        <w:rPr>
          <w:rFonts w:hint="eastAsia" w:ascii="Times New Roman" w:hAnsi="Times New Roman" w:eastAsia="仿宋_GB2312" w:cs="Times New Roman"/>
          <w:strike w:val="0"/>
          <w:dstrike w:val="0"/>
          <w:color w:val="auto"/>
          <w:kern w:val="0"/>
          <w:sz w:val="32"/>
          <w:szCs w:val="32"/>
          <w:highlight w:val="none"/>
          <w:shd w:val="clear" w:color="auto" w:fill="auto"/>
          <w:lang w:val="en-US" w:eastAsia="zh-CN" w:bidi="ar"/>
        </w:rPr>
        <w:t>电力部门</w:t>
      </w:r>
      <w:r>
        <w:rPr>
          <w:rFonts w:hint="default" w:ascii="Times New Roman" w:hAnsi="Times New Roman" w:eastAsia="仿宋_GB2312" w:cs="Times New Roman"/>
          <w:color w:val="auto"/>
          <w:kern w:val="0"/>
          <w:sz w:val="32"/>
          <w:szCs w:val="32"/>
          <w:shd w:val="clear" w:color="auto" w:fill="auto"/>
          <w:lang w:val="en-US" w:eastAsia="zh-CN" w:bidi="ar"/>
        </w:rPr>
        <w:t>验收合格，方可投入使用，运营期间接受相关部门及社会公众监督。</w:t>
      </w:r>
    </w:p>
    <w:p w14:paraId="652C57D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楷体_GB2312" w:cs="Times New Roman"/>
          <w:color w:val="auto"/>
          <w:kern w:val="0"/>
          <w:sz w:val="32"/>
          <w:szCs w:val="32"/>
          <w:shd w:val="clear" w:color="auto" w:fill="auto"/>
          <w:lang w:val="en-US" w:eastAsia="zh-CN" w:bidi="ar"/>
        </w:rPr>
        <w:t>（二）小区</w:t>
      </w:r>
      <w:r>
        <w:rPr>
          <w:rFonts w:hint="default" w:ascii="Times New Roman" w:hAnsi="Times New Roman" w:eastAsia="楷体_GB2312" w:cs="Times New Roman"/>
          <w:color w:val="auto"/>
          <w:kern w:val="0"/>
          <w:sz w:val="32"/>
          <w:szCs w:val="32"/>
          <w:highlight w:val="none"/>
          <w:shd w:val="clear" w:color="auto" w:fill="auto"/>
          <w:lang w:val="en-US" w:eastAsia="zh-CN" w:bidi="ar"/>
        </w:rPr>
        <w:t>公建</w:t>
      </w:r>
      <w:r>
        <w:rPr>
          <w:rFonts w:hint="default" w:ascii="Times New Roman" w:hAnsi="Times New Roman" w:eastAsia="楷体_GB2312" w:cs="Times New Roman"/>
          <w:color w:val="auto"/>
          <w:kern w:val="0"/>
          <w:sz w:val="32"/>
          <w:szCs w:val="32"/>
          <w:shd w:val="clear" w:color="auto" w:fill="auto"/>
          <w:lang w:val="en-US" w:eastAsia="zh-CN" w:bidi="ar"/>
        </w:rPr>
        <w:t>充电桩。</w:t>
      </w:r>
      <w:r>
        <w:rPr>
          <w:rFonts w:hint="default" w:ascii="Times New Roman" w:hAnsi="Times New Roman" w:eastAsia="仿宋_GB2312" w:cs="Times New Roman"/>
          <w:color w:val="auto"/>
          <w:kern w:val="0"/>
          <w:sz w:val="32"/>
          <w:szCs w:val="32"/>
          <w:shd w:val="clear" w:color="auto" w:fill="auto"/>
          <w:lang w:val="en-US" w:eastAsia="zh-CN" w:bidi="ar"/>
        </w:rPr>
        <w:t>小区公建充电桩实行“统建统服”模式，由业主委员会（社区居民委员会）统筹规划、统一组织建设和运营。鼓励业主委员会选择具备较强充电设施安全运营服务能力的企业，负责充电桩的统一建设与运营，实现小区内部充电资源共建共享，切实满足居民充电需求。采用“统建统服”模式的，充电运营商与业主委员会或其授权的物业服务企业，协商明确充电基础设施服务费标准。鼓励第三方运营商和社会资本参与小区公建充电桩的建设与运营。</w:t>
      </w:r>
    </w:p>
    <w:p w14:paraId="73ECA8F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楷体_GB2312" w:cs="Times New Roman"/>
          <w:color w:val="auto"/>
          <w:kern w:val="0"/>
          <w:sz w:val="32"/>
          <w:szCs w:val="32"/>
          <w:shd w:val="clear" w:color="auto" w:fill="auto"/>
          <w:lang w:val="en-US" w:eastAsia="zh-CN" w:bidi="ar"/>
        </w:rPr>
        <w:t>（三）居民自建充电桩。</w:t>
      </w:r>
      <w:r>
        <w:rPr>
          <w:rFonts w:hint="default" w:ascii="Times New Roman" w:hAnsi="Times New Roman" w:eastAsia="仿宋_GB2312" w:cs="Times New Roman"/>
          <w:color w:val="auto"/>
          <w:kern w:val="0"/>
          <w:sz w:val="32"/>
          <w:szCs w:val="32"/>
          <w:highlight w:val="none"/>
          <w:shd w:val="clear" w:color="auto" w:fill="auto"/>
          <w:lang w:val="en-US" w:eastAsia="zh-CN" w:bidi="ar"/>
        </w:rPr>
        <w:t>自建充电桩建设在自有产权停车位或经产权人同意的租赁停车位（有效租赁期一年（含）以上）的，</w:t>
      </w:r>
      <w:r>
        <w:rPr>
          <w:rFonts w:hint="eastAsia" w:ascii="Times New Roman" w:hAnsi="Times New Roman" w:eastAsia="仿宋_GB2312" w:cs="Times New Roman"/>
          <w:color w:val="auto"/>
          <w:kern w:val="0"/>
          <w:sz w:val="32"/>
          <w:szCs w:val="32"/>
          <w:highlight w:val="none"/>
          <w:shd w:val="clear" w:color="auto" w:fill="auto"/>
          <w:lang w:val="en-US" w:eastAsia="zh-CN" w:bidi="ar"/>
        </w:rPr>
        <w:t>同一车位仅限安装1个自用充电设施。居民向业主委员会提交申请，</w:t>
      </w:r>
      <w:r>
        <w:rPr>
          <w:rFonts w:hint="default" w:ascii="Times New Roman" w:hAnsi="Times New Roman" w:eastAsia="仿宋_GB2312" w:cs="Times New Roman"/>
          <w:color w:val="auto"/>
          <w:kern w:val="0"/>
          <w:sz w:val="32"/>
          <w:szCs w:val="32"/>
          <w:shd w:val="clear" w:color="auto" w:fill="auto"/>
          <w:lang w:val="en-US" w:eastAsia="zh-CN" w:bidi="ar"/>
        </w:rPr>
        <w:t>业主委员会收到居民书面申请后，对申请内容进行审核并报所在社区</w:t>
      </w:r>
      <w:r>
        <w:rPr>
          <w:rFonts w:hint="eastAsia" w:ascii="Times New Roman" w:hAnsi="Times New Roman" w:eastAsia="仿宋_GB2312" w:cs="Times New Roman"/>
          <w:color w:val="auto"/>
          <w:kern w:val="0"/>
          <w:sz w:val="32"/>
          <w:szCs w:val="32"/>
          <w:shd w:val="clear" w:color="auto" w:fill="auto"/>
          <w:lang w:val="en-US" w:eastAsia="zh-CN" w:bidi="ar"/>
        </w:rPr>
        <w:t>进行告知</w:t>
      </w:r>
      <w:r>
        <w:rPr>
          <w:rFonts w:hint="default" w:ascii="Times New Roman" w:hAnsi="Times New Roman" w:eastAsia="仿宋_GB2312" w:cs="Times New Roman"/>
          <w:color w:val="auto"/>
          <w:kern w:val="0"/>
          <w:sz w:val="32"/>
          <w:szCs w:val="32"/>
          <w:shd w:val="clear" w:color="auto" w:fill="auto"/>
          <w:lang w:val="en-US" w:eastAsia="zh-CN" w:bidi="ar"/>
        </w:rPr>
        <w:t>备案，由社区组织业主委员会、物业服务企业、房地产开发企业等，配合供电部门开展现场勘查，确定有关配电箱、表箱位置，协助提供相关图纸资料和线缆通道等接入条件，不得无故阻拦。无业主委员会和物业服务企业管理的小区，由社区居民委员会代行业主委员会职责。租赁车位租期届满后，若原使用人有意续租，</w:t>
      </w:r>
      <w:r>
        <w:rPr>
          <w:rFonts w:hint="eastAsia" w:ascii="Times New Roman" w:hAnsi="Times New Roman" w:eastAsia="仿宋_GB2312" w:cs="Times New Roman"/>
          <w:color w:val="auto"/>
          <w:kern w:val="0"/>
          <w:sz w:val="32"/>
          <w:szCs w:val="32"/>
          <w:shd w:val="clear" w:color="auto" w:fill="auto"/>
          <w:lang w:val="en-US" w:eastAsia="zh-CN" w:bidi="ar"/>
        </w:rPr>
        <w:t>产权人</w:t>
      </w:r>
      <w:r>
        <w:rPr>
          <w:rFonts w:hint="default" w:ascii="Times New Roman" w:hAnsi="Times New Roman" w:eastAsia="仿宋_GB2312" w:cs="Times New Roman"/>
          <w:color w:val="auto"/>
          <w:kern w:val="0"/>
          <w:sz w:val="32"/>
          <w:szCs w:val="32"/>
          <w:shd w:val="clear" w:color="auto" w:fill="auto"/>
          <w:lang w:val="en-US" w:eastAsia="zh-CN" w:bidi="ar"/>
        </w:rPr>
        <w:t>应优先将该车位予以续租；若不再续租，使用人</w:t>
      </w:r>
      <w:r>
        <w:rPr>
          <w:rFonts w:hint="eastAsia" w:ascii="Times New Roman" w:hAnsi="Times New Roman" w:eastAsia="仿宋_GB2312" w:cs="Times New Roman"/>
          <w:color w:val="auto"/>
          <w:kern w:val="0"/>
          <w:sz w:val="32"/>
          <w:szCs w:val="32"/>
          <w:shd w:val="clear" w:color="auto" w:fill="auto"/>
          <w:lang w:val="en-US" w:eastAsia="zh-CN" w:bidi="ar"/>
        </w:rPr>
        <w:t>应</w:t>
      </w:r>
      <w:r>
        <w:rPr>
          <w:rFonts w:hint="default" w:ascii="Times New Roman" w:hAnsi="Times New Roman" w:eastAsia="仿宋_GB2312" w:cs="Times New Roman"/>
          <w:color w:val="auto"/>
          <w:kern w:val="0"/>
          <w:sz w:val="32"/>
          <w:szCs w:val="32"/>
          <w:shd w:val="clear" w:color="auto" w:fill="auto"/>
          <w:lang w:val="en-US" w:eastAsia="zh-CN" w:bidi="ar"/>
        </w:rPr>
        <w:t>与车位受让方协商处置充电桩相关事宜</w:t>
      </w:r>
      <w:r>
        <w:rPr>
          <w:rFonts w:hint="eastAsia" w:ascii="Times New Roman" w:hAnsi="Times New Roman" w:eastAsia="仿宋_GB2312" w:cs="Times New Roman"/>
          <w:color w:val="auto"/>
          <w:kern w:val="0"/>
          <w:sz w:val="32"/>
          <w:szCs w:val="32"/>
          <w:shd w:val="clear" w:color="auto" w:fill="auto"/>
          <w:lang w:val="en-US" w:eastAsia="zh-CN" w:bidi="ar"/>
        </w:rPr>
        <w:t>，或</w:t>
      </w:r>
      <w:r>
        <w:rPr>
          <w:rFonts w:hint="default" w:ascii="Times New Roman" w:hAnsi="Times New Roman" w:eastAsia="仿宋_GB2312" w:cs="Times New Roman"/>
          <w:color w:val="auto"/>
          <w:kern w:val="0"/>
          <w:sz w:val="32"/>
          <w:szCs w:val="32"/>
          <w:shd w:val="clear" w:color="auto" w:fill="auto"/>
          <w:lang w:val="en-US" w:eastAsia="zh-CN" w:bidi="ar"/>
        </w:rPr>
        <w:t>委托供电部门拆除充电桩</w:t>
      </w:r>
      <w:r>
        <w:rPr>
          <w:rFonts w:hint="eastAsia" w:ascii="Times New Roman" w:hAnsi="Times New Roman" w:eastAsia="仿宋_GB2312" w:cs="Times New Roman"/>
          <w:color w:val="auto"/>
          <w:kern w:val="0"/>
          <w:sz w:val="32"/>
          <w:szCs w:val="32"/>
          <w:shd w:val="clear" w:color="auto" w:fill="auto"/>
          <w:lang w:val="en-US" w:eastAsia="zh-CN" w:bidi="ar"/>
        </w:rPr>
        <w:t>。</w:t>
      </w:r>
    </w:p>
    <w:p w14:paraId="0F99171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eastAsia" w:ascii="Times New Roman" w:hAnsi="Times New Roman" w:eastAsia="仿宋_GB2312" w:cs="Times New Roman"/>
          <w:color w:val="auto"/>
          <w:kern w:val="0"/>
          <w:sz w:val="32"/>
          <w:szCs w:val="32"/>
          <w:shd w:val="clear" w:color="auto" w:fill="auto"/>
          <w:lang w:val="en-US" w:eastAsia="zh-CN" w:bidi="ar"/>
        </w:rPr>
        <w:t>供电企业</w:t>
      </w:r>
      <w:r>
        <w:rPr>
          <w:rFonts w:hint="default" w:ascii="Times New Roman" w:hAnsi="Times New Roman" w:eastAsia="仿宋_GB2312" w:cs="Times New Roman"/>
          <w:color w:val="auto"/>
          <w:kern w:val="0"/>
          <w:sz w:val="32"/>
          <w:szCs w:val="32"/>
          <w:shd w:val="clear" w:color="auto" w:fill="auto"/>
          <w:lang w:val="en-US" w:eastAsia="zh-CN" w:bidi="ar"/>
        </w:rPr>
        <w:t>不得在缺少相关资料</w:t>
      </w:r>
      <w:r>
        <w:rPr>
          <w:rFonts w:hint="eastAsia" w:ascii="Times New Roman" w:hAnsi="Times New Roman" w:eastAsia="仿宋_GB2312" w:cs="Times New Roman"/>
          <w:color w:val="auto"/>
          <w:kern w:val="0"/>
          <w:sz w:val="32"/>
          <w:szCs w:val="32"/>
          <w:shd w:val="clear" w:color="auto" w:fill="auto"/>
          <w:lang w:val="en-US" w:eastAsia="zh-CN" w:bidi="ar"/>
        </w:rPr>
        <w:t>或小区剩余电力变配电容量不足</w:t>
      </w:r>
      <w:r>
        <w:rPr>
          <w:rFonts w:hint="default" w:ascii="Times New Roman" w:hAnsi="Times New Roman" w:eastAsia="仿宋_GB2312" w:cs="Times New Roman"/>
          <w:color w:val="auto"/>
          <w:kern w:val="0"/>
          <w:sz w:val="32"/>
          <w:szCs w:val="32"/>
          <w:shd w:val="clear" w:color="auto" w:fill="auto"/>
          <w:lang w:val="en-US" w:eastAsia="zh-CN" w:bidi="ar"/>
        </w:rPr>
        <w:t>的情况下违规接电。申请人组织符合资质的充电设施施工单位与小区管理单位对接，就施工工期、人员进出、材料管理、工程对接、现场管理等事项达成一致意见。施工单位按照确认后的安装技术方案和相应施工规范、技术标准以及安全管理规定，组织开展充电基础设施工程建设，并承担施工期间的安全责任。充电设施建设施工完成后，申请人向供电部门提出竣工检验申请，供电部门出具验收意见，验收合</w:t>
      </w:r>
      <w:r>
        <w:rPr>
          <w:rFonts w:hint="eastAsia" w:ascii="Times New Roman" w:hAnsi="Times New Roman" w:eastAsia="仿宋_GB2312" w:cs="Times New Roman"/>
          <w:color w:val="auto"/>
          <w:kern w:val="0"/>
          <w:sz w:val="32"/>
          <w:szCs w:val="32"/>
          <w:shd w:val="clear" w:color="auto" w:fill="auto"/>
          <w:lang w:val="en-US" w:eastAsia="zh-CN" w:bidi="ar"/>
        </w:rPr>
        <w:t>格后可投入使用</w:t>
      </w:r>
      <w:r>
        <w:rPr>
          <w:rFonts w:hint="default" w:ascii="Times New Roman" w:hAnsi="Times New Roman" w:eastAsia="仿宋_GB2312" w:cs="Times New Roman"/>
          <w:color w:val="auto"/>
          <w:kern w:val="0"/>
          <w:sz w:val="32"/>
          <w:szCs w:val="32"/>
          <w:shd w:val="clear" w:color="auto" w:fill="auto"/>
          <w:lang w:val="en-US" w:eastAsia="zh-CN" w:bidi="ar"/>
        </w:rPr>
        <w:t>。街道、社区应积极发挥党建引领作用，统筹和协调物业服务人（停车管理单位）、业主委员会共同推进居民自建充电桩工作。</w:t>
      </w:r>
    </w:p>
    <w:p w14:paraId="48C6E6F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楷体_GB2312" w:cs="Times New Roman"/>
          <w:color w:val="auto"/>
          <w:kern w:val="0"/>
          <w:sz w:val="32"/>
          <w:szCs w:val="32"/>
          <w:shd w:val="clear" w:color="auto" w:fill="auto"/>
          <w:lang w:val="en-US" w:eastAsia="zh-CN" w:bidi="ar"/>
        </w:rPr>
        <w:t>（四）运维管理。</w:t>
      </w:r>
      <w:r>
        <w:rPr>
          <w:rFonts w:hint="default" w:ascii="Times New Roman" w:hAnsi="Times New Roman" w:eastAsia="仿宋_GB2312" w:cs="Times New Roman"/>
          <w:color w:val="auto"/>
          <w:kern w:val="0"/>
          <w:sz w:val="32"/>
          <w:szCs w:val="32"/>
          <w:shd w:val="clear" w:color="auto" w:fill="auto"/>
          <w:lang w:val="en-US" w:eastAsia="zh-CN" w:bidi="ar"/>
        </w:rPr>
        <w:t>充电设施项目建成通电后，公共停车场充电桩运营商应将相关建设、运营资料留存至师市住房和城乡建设局</w:t>
      </w:r>
      <w:r>
        <w:rPr>
          <w:rFonts w:hint="eastAsia" w:ascii="Times New Roman" w:hAnsi="Times New Roman" w:eastAsia="仿宋_GB2312" w:cs="Times New Roman"/>
          <w:color w:val="auto"/>
          <w:kern w:val="0"/>
          <w:sz w:val="32"/>
          <w:szCs w:val="32"/>
          <w:shd w:val="clear" w:color="auto" w:fill="auto"/>
          <w:lang w:val="en-US" w:eastAsia="zh-CN" w:bidi="ar"/>
        </w:rPr>
        <w:t>备查。</w:t>
      </w:r>
      <w:r>
        <w:rPr>
          <w:rFonts w:hint="default" w:ascii="Times New Roman" w:hAnsi="Times New Roman" w:eastAsia="仿宋_GB2312" w:cs="Times New Roman"/>
          <w:color w:val="auto"/>
          <w:kern w:val="0"/>
          <w:sz w:val="32"/>
          <w:szCs w:val="32"/>
          <w:shd w:val="clear" w:color="auto" w:fill="auto"/>
          <w:lang w:val="en-US" w:eastAsia="zh-CN" w:bidi="ar"/>
        </w:rPr>
        <w:t>居民自建充电桩申请人、小区公建充电桩运营商，应将相关资料同步留存至业主委员会备查。</w:t>
      </w:r>
    </w:p>
    <w:p w14:paraId="673F01B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eastAsia"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color w:val="auto"/>
          <w:kern w:val="0"/>
          <w:sz w:val="32"/>
          <w:szCs w:val="32"/>
          <w:shd w:val="clear" w:color="auto" w:fill="auto"/>
          <w:lang w:val="en-US" w:eastAsia="zh-CN" w:bidi="ar"/>
        </w:rPr>
        <w:t>居民自建充电桩申请人作为充电基础设施所有人，是充电设施及相关线路安全责任的第一责任人，应定期对充电设施进行维护保养，及时排查并消除安全隐患，严防因充电设施问题侵害他人合法权益。</w:t>
      </w:r>
      <w:r>
        <w:rPr>
          <w:rFonts w:hint="eastAsia" w:ascii="Times New Roman" w:hAnsi="Times New Roman" w:eastAsia="仿宋_GB2312" w:cs="Times New Roman"/>
          <w:color w:val="auto"/>
          <w:kern w:val="0"/>
          <w:sz w:val="32"/>
          <w:szCs w:val="32"/>
          <w:shd w:val="clear" w:color="auto" w:fill="auto"/>
          <w:lang w:val="en-US" w:eastAsia="zh-CN" w:bidi="ar"/>
        </w:rPr>
        <w:t>公共停车场及</w:t>
      </w:r>
      <w:r>
        <w:rPr>
          <w:rFonts w:hint="default" w:ascii="Times New Roman" w:hAnsi="Times New Roman" w:eastAsia="仿宋_GB2312" w:cs="Times New Roman"/>
          <w:color w:val="auto"/>
          <w:kern w:val="0"/>
          <w:sz w:val="32"/>
          <w:szCs w:val="32"/>
          <w:shd w:val="clear" w:color="auto" w:fill="auto"/>
          <w:lang w:val="en-US" w:eastAsia="zh-CN" w:bidi="ar"/>
        </w:rPr>
        <w:t>小区公建充电桩运营商需切实履行安全生产主体责任，负责充电桩的日常维护管理，为自身经营的充电桩购买充电安全责任保险，并承担相应的安全管理责任。既有小区剩余电力变配电容量不足时，由供配电设施权属单位负责开展增容改造工程，保障充电设施用电需求。</w:t>
      </w:r>
      <w:r>
        <w:rPr>
          <w:rFonts w:hint="eastAsia" w:ascii="Times New Roman" w:hAnsi="Times New Roman" w:eastAsia="仿宋_GB2312" w:cs="Times New Roman"/>
          <w:color w:val="auto"/>
          <w:kern w:val="0"/>
          <w:sz w:val="32"/>
          <w:szCs w:val="32"/>
          <w:shd w:val="clear" w:color="auto" w:fill="auto"/>
          <w:lang w:val="en-US" w:eastAsia="zh-CN" w:bidi="ar"/>
        </w:rPr>
        <w:t>公共停车场</w:t>
      </w:r>
      <w:r>
        <w:rPr>
          <w:rFonts w:hint="default" w:ascii="Times New Roman" w:hAnsi="Times New Roman" w:eastAsia="仿宋_GB2312" w:cs="Times New Roman"/>
          <w:color w:val="auto"/>
          <w:kern w:val="0"/>
          <w:sz w:val="32"/>
          <w:szCs w:val="32"/>
          <w:shd w:val="clear" w:color="auto" w:fill="auto"/>
          <w:lang w:val="en-US" w:eastAsia="zh-CN" w:bidi="ar"/>
        </w:rPr>
        <w:t>电力变配电容量不足时，</w:t>
      </w:r>
      <w:r>
        <w:rPr>
          <w:rFonts w:hint="eastAsia" w:ascii="Times New Roman" w:hAnsi="Times New Roman" w:eastAsia="仿宋_GB2312" w:cs="Times New Roman"/>
          <w:color w:val="auto"/>
          <w:kern w:val="0"/>
          <w:sz w:val="32"/>
          <w:szCs w:val="32"/>
          <w:shd w:val="clear" w:color="auto" w:fill="auto"/>
          <w:lang w:val="en-US" w:eastAsia="zh-CN" w:bidi="ar"/>
        </w:rPr>
        <w:t>由城市建设管理部门或申请企业在城市建设管理部门监督下进行</w:t>
      </w:r>
      <w:r>
        <w:rPr>
          <w:rFonts w:hint="default" w:ascii="Times New Roman" w:hAnsi="Times New Roman" w:eastAsia="仿宋_GB2312" w:cs="Times New Roman"/>
          <w:color w:val="auto"/>
          <w:kern w:val="0"/>
          <w:sz w:val="32"/>
          <w:szCs w:val="32"/>
          <w:shd w:val="clear" w:color="auto" w:fill="auto"/>
          <w:lang w:val="en-US" w:eastAsia="zh-CN" w:bidi="ar"/>
        </w:rPr>
        <w:t>增容改造工程</w:t>
      </w:r>
      <w:r>
        <w:rPr>
          <w:rFonts w:hint="eastAsia" w:ascii="Times New Roman" w:hAnsi="Times New Roman" w:eastAsia="仿宋_GB2312" w:cs="Times New Roman"/>
          <w:color w:val="auto"/>
          <w:kern w:val="0"/>
          <w:sz w:val="32"/>
          <w:szCs w:val="32"/>
          <w:shd w:val="clear" w:color="auto" w:fill="auto"/>
          <w:lang w:val="en-US" w:eastAsia="zh-CN" w:bidi="ar"/>
        </w:rPr>
        <w:t>。</w:t>
      </w:r>
    </w:p>
    <w:p w14:paraId="20FF6D2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eastAsia" w:ascii="楷体_GB2312" w:hAnsi="楷体_GB2312" w:eastAsia="楷体_GB2312" w:cs="楷体_GB2312"/>
          <w:color w:val="auto"/>
          <w:kern w:val="0"/>
          <w:sz w:val="32"/>
          <w:szCs w:val="32"/>
          <w:shd w:val="clear" w:color="auto" w:fill="auto"/>
          <w:lang w:val="en-US" w:eastAsia="zh-CN" w:bidi="ar"/>
        </w:rPr>
        <w:t>（五）人防车位充电设施建设管理。</w:t>
      </w:r>
      <w:r>
        <w:rPr>
          <w:rFonts w:hint="eastAsia" w:ascii="Times New Roman" w:hAnsi="Times New Roman" w:eastAsia="仿宋_GB2312" w:cs="Times New Roman"/>
          <w:color w:val="auto"/>
          <w:kern w:val="0"/>
          <w:sz w:val="32"/>
          <w:szCs w:val="32"/>
          <w:shd w:val="clear" w:color="auto" w:fill="auto"/>
          <w:lang w:val="en-US" w:eastAsia="zh-CN" w:bidi="ar"/>
        </w:rPr>
        <w:t>严格遵循不影响人防工程防护效能的核心原则，严禁随意改动、损毁人防工程主体结构及防护设施。建设安装前，须取得人防主管部门或其授权管理单位书面同意，方可开展后续备案、报装及施工工作。施工全过程严禁破坏人防墙体、防护密闭设施等核心结构，严格执行人防工程建设规范。设施投入使用后，使用人须签订人防工程安全保护承诺书，自觉履行人防设施管护责任。若后期拆除充电设施，须全面恢复人防工程原有结构、功能原貌，并报请人防主管部门验收合格，确保人防工程防护功能完好达标。</w:t>
      </w:r>
    </w:p>
    <w:p w14:paraId="2167C99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楷体_GB2312" w:cs="Times New Roman"/>
          <w:color w:val="auto"/>
          <w:kern w:val="0"/>
          <w:sz w:val="32"/>
          <w:szCs w:val="32"/>
          <w:shd w:val="clear" w:color="auto" w:fill="auto"/>
          <w:lang w:val="en-US" w:eastAsia="zh-CN" w:bidi="ar"/>
        </w:rPr>
        <w:t>（</w:t>
      </w:r>
      <w:r>
        <w:rPr>
          <w:rFonts w:hint="eastAsia" w:ascii="Times New Roman" w:hAnsi="Times New Roman" w:eastAsia="楷体_GB2312" w:cs="Times New Roman"/>
          <w:color w:val="auto"/>
          <w:kern w:val="0"/>
          <w:sz w:val="32"/>
          <w:szCs w:val="32"/>
          <w:shd w:val="clear" w:color="auto" w:fill="auto"/>
          <w:lang w:val="en-US" w:eastAsia="zh-CN" w:bidi="ar"/>
        </w:rPr>
        <w:t>六</w:t>
      </w:r>
      <w:r>
        <w:rPr>
          <w:rFonts w:hint="default" w:ascii="Times New Roman" w:hAnsi="Times New Roman" w:eastAsia="楷体_GB2312" w:cs="Times New Roman"/>
          <w:color w:val="auto"/>
          <w:kern w:val="0"/>
          <w:sz w:val="32"/>
          <w:szCs w:val="32"/>
          <w:shd w:val="clear" w:color="auto" w:fill="auto"/>
          <w:lang w:val="en-US" w:eastAsia="zh-CN" w:bidi="ar"/>
        </w:rPr>
        <w:t>）新建小区充电设施建设管理。</w:t>
      </w:r>
      <w:r>
        <w:rPr>
          <w:rFonts w:hint="default" w:ascii="Times New Roman" w:hAnsi="Times New Roman" w:eastAsia="仿宋_GB2312" w:cs="Times New Roman"/>
          <w:color w:val="auto"/>
          <w:kern w:val="0"/>
          <w:sz w:val="32"/>
          <w:szCs w:val="32"/>
          <w:shd w:val="clear" w:color="auto" w:fill="auto"/>
          <w:lang w:val="en-US" w:eastAsia="zh-CN" w:bidi="ar"/>
        </w:rPr>
        <w:t>新建小区配建停车位应当100％建设充电设施或预留建设安装条件，预留安装条件时需将管线和桥架等供电设施建设到车位以满足直接装表接电需求。设计及施工严格按照《住宅小区供配电设施建设和改造技术标准（XJJ074-2022）》《电动汽车充电站设计标准（GB/T50966-2024）</w:t>
      </w:r>
      <w:r>
        <w:rPr>
          <w:rFonts w:hint="eastAsia" w:ascii="Times New Roman" w:hAnsi="Times New Roman" w:eastAsia="仿宋_GB2312" w:cs="Times New Roman"/>
          <w:color w:val="auto"/>
          <w:kern w:val="0"/>
          <w:sz w:val="32"/>
          <w:szCs w:val="32"/>
          <w:shd w:val="clear" w:color="auto" w:fill="auto"/>
          <w:lang w:val="en-US" w:eastAsia="zh-CN" w:bidi="ar"/>
        </w:rPr>
        <w:t>》等</w:t>
      </w:r>
      <w:r>
        <w:rPr>
          <w:rFonts w:hint="default" w:ascii="Times New Roman" w:hAnsi="Times New Roman" w:eastAsia="仿宋_GB2312" w:cs="Times New Roman"/>
          <w:color w:val="auto"/>
          <w:kern w:val="0"/>
          <w:sz w:val="32"/>
          <w:szCs w:val="32"/>
          <w:shd w:val="clear" w:color="auto" w:fill="auto"/>
          <w:lang w:val="en-US" w:eastAsia="zh-CN" w:bidi="ar"/>
        </w:rPr>
        <w:t>技术要求执行。</w:t>
      </w:r>
    </w:p>
    <w:p w14:paraId="103D711E">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default" w:ascii="Times New Roman" w:hAnsi="Times New Roman" w:eastAsia="黑体" w:cs="Times New Roman"/>
          <w:color w:val="auto"/>
          <w:kern w:val="0"/>
          <w:sz w:val="32"/>
          <w:szCs w:val="32"/>
          <w:shd w:val="clear" w:color="auto" w:fill="auto"/>
          <w:lang w:val="en-US" w:eastAsia="zh-CN" w:bidi="ar"/>
        </w:rPr>
      </w:pPr>
      <w:r>
        <w:rPr>
          <w:rFonts w:hint="default" w:ascii="Times New Roman" w:hAnsi="Times New Roman" w:eastAsia="黑体" w:cs="Times New Roman"/>
          <w:color w:val="auto"/>
          <w:kern w:val="0"/>
          <w:sz w:val="32"/>
          <w:szCs w:val="32"/>
          <w:shd w:val="clear" w:color="auto" w:fill="auto"/>
          <w:lang w:val="en-US" w:eastAsia="zh-CN" w:bidi="ar"/>
        </w:rPr>
        <w:t>职责分工</w:t>
      </w:r>
    </w:p>
    <w:p w14:paraId="4BB0FC3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eastAsia" w:ascii="Times New Roman" w:hAnsi="Times New Roman" w:eastAsia="楷体_GB2312" w:cs="Times New Roman"/>
          <w:color w:val="auto"/>
          <w:kern w:val="0"/>
          <w:sz w:val="32"/>
          <w:szCs w:val="32"/>
          <w:shd w:val="clear" w:color="auto" w:fill="auto"/>
          <w:lang w:val="en-US" w:eastAsia="zh-CN" w:bidi="ar"/>
        </w:rPr>
      </w:pPr>
      <w:r>
        <w:rPr>
          <w:rFonts w:hint="eastAsia" w:ascii="Times New Roman" w:hAnsi="Times New Roman" w:eastAsia="楷体_GB2312" w:cs="Times New Roman"/>
          <w:color w:val="auto"/>
          <w:kern w:val="0"/>
          <w:sz w:val="32"/>
          <w:szCs w:val="32"/>
          <w:shd w:val="clear" w:color="auto" w:fill="auto"/>
          <w:lang w:val="en-US" w:eastAsia="zh-CN" w:bidi="ar"/>
        </w:rPr>
        <w:t>（一）</w:t>
      </w:r>
      <w:r>
        <w:rPr>
          <w:rFonts w:hint="default" w:ascii="Times New Roman" w:hAnsi="Times New Roman" w:eastAsia="楷体_GB2312" w:cs="Times New Roman"/>
          <w:color w:val="auto"/>
          <w:kern w:val="0"/>
          <w:sz w:val="32"/>
          <w:szCs w:val="32"/>
          <w:shd w:val="clear" w:color="auto" w:fill="auto"/>
          <w:lang w:val="en-US" w:eastAsia="zh-CN" w:bidi="ar"/>
        </w:rPr>
        <w:t>自然资源</w:t>
      </w:r>
      <w:r>
        <w:rPr>
          <w:rFonts w:hint="eastAsia" w:ascii="Times New Roman" w:hAnsi="Times New Roman" w:eastAsia="楷体_GB2312" w:cs="Times New Roman"/>
          <w:color w:val="auto"/>
          <w:kern w:val="0"/>
          <w:sz w:val="32"/>
          <w:szCs w:val="32"/>
          <w:shd w:val="clear" w:color="auto" w:fill="auto"/>
          <w:lang w:val="en-US" w:eastAsia="zh-CN" w:bidi="ar"/>
        </w:rPr>
        <w:t>和规划局</w:t>
      </w:r>
    </w:p>
    <w:p w14:paraId="5857ECE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color w:val="auto"/>
          <w:kern w:val="0"/>
          <w:sz w:val="32"/>
          <w:szCs w:val="32"/>
          <w:shd w:val="clear" w:color="auto" w:fill="auto"/>
          <w:lang w:val="en-US" w:eastAsia="zh-CN" w:bidi="ar"/>
        </w:rPr>
        <w:t>做好新建小区充电设施的规划与审批，将充电车位比例按照100％建设充电基础设施或预留安装条件，满足直接装表接电配建要求。</w:t>
      </w:r>
    </w:p>
    <w:p w14:paraId="5F6BFEE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eastAsia" w:ascii="楷体_GB2312" w:hAnsi="楷体_GB2312" w:eastAsia="楷体_GB2312" w:cs="楷体_GB2312"/>
          <w:color w:val="auto"/>
          <w:kern w:val="0"/>
          <w:sz w:val="32"/>
          <w:szCs w:val="32"/>
          <w:shd w:val="clear" w:color="auto" w:fill="auto"/>
          <w:lang w:val="en-US" w:eastAsia="zh-CN" w:bidi="ar"/>
        </w:rPr>
        <w:t>（二）发展和改革委员会</w:t>
      </w:r>
      <w:r>
        <w:rPr>
          <w:rFonts w:hint="default" w:ascii="Times New Roman" w:hAnsi="Times New Roman" w:eastAsia="仿宋_GB2312" w:cs="Times New Roman"/>
          <w:color w:val="auto"/>
          <w:kern w:val="0"/>
          <w:sz w:val="32"/>
          <w:szCs w:val="32"/>
          <w:shd w:val="clear" w:color="auto" w:fill="auto"/>
          <w:lang w:val="en-US" w:eastAsia="zh-CN" w:bidi="ar"/>
        </w:rPr>
        <w:t>​</w:t>
      </w:r>
    </w:p>
    <w:p w14:paraId="38D9398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color w:val="auto"/>
          <w:kern w:val="0"/>
          <w:sz w:val="32"/>
          <w:szCs w:val="32"/>
          <w:shd w:val="clear" w:color="auto" w:fill="auto"/>
          <w:lang w:val="en-US" w:eastAsia="zh-CN" w:bidi="ar"/>
        </w:rPr>
        <w:t>负责师市新能源汽车充电基础设施项目备案管理工作</w:t>
      </w:r>
      <w:r>
        <w:rPr>
          <w:rFonts w:hint="eastAsia" w:ascii="Times New Roman" w:hAnsi="Times New Roman" w:eastAsia="仿宋_GB2312" w:cs="Times New Roman"/>
          <w:color w:val="auto"/>
          <w:kern w:val="0"/>
          <w:sz w:val="32"/>
          <w:szCs w:val="32"/>
          <w:shd w:val="clear" w:color="auto" w:fill="auto"/>
          <w:lang w:val="en-US" w:eastAsia="zh-CN" w:bidi="ar"/>
        </w:rPr>
        <w:t>、人防车位充电设施的建设管理、</w:t>
      </w:r>
      <w:r>
        <w:rPr>
          <w:rFonts w:hint="default" w:ascii="Times New Roman" w:hAnsi="Times New Roman" w:eastAsia="仿宋_GB2312" w:cs="Times New Roman"/>
          <w:color w:val="auto"/>
          <w:kern w:val="0"/>
          <w:sz w:val="32"/>
          <w:szCs w:val="32"/>
          <w:shd w:val="clear" w:color="auto" w:fill="auto"/>
          <w:lang w:val="en-US" w:eastAsia="zh-CN" w:bidi="ar"/>
        </w:rPr>
        <w:t>统筹推进充电基础设施规划落地与项目规范实施。履行电力行业监管职责，督促供电企业严格落实电价政策、优化报装接电服务、保障配套电力工程建设，常态化监督供电服务质量、电网扩容改造、有序充电管理等工作，规范供电企业运营服务行为。</w:t>
      </w:r>
    </w:p>
    <w:p w14:paraId="0F369A2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楷体_GB2312" w:cs="Times New Roman"/>
          <w:color w:val="auto"/>
          <w:kern w:val="0"/>
          <w:sz w:val="32"/>
          <w:szCs w:val="32"/>
          <w:shd w:val="clear" w:color="auto" w:fill="auto"/>
          <w:lang w:val="en-US" w:eastAsia="zh-CN" w:bidi="ar"/>
        </w:rPr>
      </w:pPr>
      <w:r>
        <w:rPr>
          <w:rFonts w:hint="eastAsia" w:ascii="Times New Roman" w:hAnsi="Times New Roman" w:eastAsia="楷体_GB2312" w:cs="Times New Roman"/>
          <w:color w:val="auto"/>
          <w:kern w:val="0"/>
          <w:sz w:val="32"/>
          <w:szCs w:val="32"/>
          <w:shd w:val="clear" w:color="auto" w:fill="auto"/>
          <w:lang w:val="en-US" w:eastAsia="zh-CN" w:bidi="ar"/>
        </w:rPr>
        <w:t>（三）</w:t>
      </w:r>
      <w:r>
        <w:rPr>
          <w:rFonts w:hint="default" w:ascii="Times New Roman" w:hAnsi="Times New Roman" w:eastAsia="楷体_GB2312" w:cs="Times New Roman"/>
          <w:color w:val="auto"/>
          <w:kern w:val="0"/>
          <w:sz w:val="32"/>
          <w:szCs w:val="32"/>
          <w:shd w:val="clear" w:color="auto" w:fill="auto"/>
          <w:lang w:val="en-US" w:eastAsia="zh-CN" w:bidi="ar"/>
        </w:rPr>
        <w:t>住房和城乡</w:t>
      </w:r>
      <w:r>
        <w:rPr>
          <w:rFonts w:hint="eastAsia" w:ascii="Times New Roman" w:hAnsi="Times New Roman" w:eastAsia="楷体_GB2312" w:cs="Times New Roman"/>
          <w:color w:val="auto"/>
          <w:kern w:val="0"/>
          <w:sz w:val="32"/>
          <w:szCs w:val="32"/>
          <w:shd w:val="clear" w:color="auto" w:fill="auto"/>
          <w:lang w:val="en-US" w:eastAsia="zh-CN" w:bidi="ar"/>
        </w:rPr>
        <w:t>建设局</w:t>
      </w:r>
    </w:p>
    <w:p w14:paraId="55FFDB3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b/>
          <w:bCs/>
          <w:color w:val="auto"/>
          <w:kern w:val="0"/>
          <w:sz w:val="32"/>
          <w:szCs w:val="32"/>
          <w:shd w:val="clear" w:color="auto" w:fill="auto"/>
          <w:lang w:val="en-US" w:eastAsia="zh-CN" w:bidi="ar"/>
        </w:rPr>
        <w:t>1.老旧小区改造增设充电设施。</w:t>
      </w:r>
      <w:r>
        <w:rPr>
          <w:rFonts w:hint="default" w:ascii="Times New Roman" w:hAnsi="Times New Roman" w:eastAsia="仿宋_GB2312" w:cs="Times New Roman"/>
          <w:color w:val="auto"/>
          <w:kern w:val="0"/>
          <w:sz w:val="32"/>
          <w:szCs w:val="32"/>
          <w:shd w:val="clear" w:color="auto" w:fill="auto"/>
          <w:lang w:val="en-US" w:eastAsia="zh-CN" w:bidi="ar"/>
        </w:rPr>
        <w:t>将充电设施纳入老旧小区完善类改造内容，统筹消防设施升级与充电桩布局优化，如增设消防水源、修复消防管网等。</w:t>
      </w:r>
    </w:p>
    <w:p w14:paraId="076A3B1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b/>
          <w:bCs/>
          <w:color w:val="auto"/>
          <w:kern w:val="0"/>
          <w:sz w:val="32"/>
          <w:szCs w:val="32"/>
          <w:shd w:val="clear" w:color="auto" w:fill="auto"/>
          <w:lang w:val="en-US" w:eastAsia="zh-CN" w:bidi="ar"/>
        </w:rPr>
        <w:t>2.施工图审查。</w:t>
      </w:r>
      <w:r>
        <w:rPr>
          <w:rFonts w:hint="default" w:ascii="Times New Roman" w:hAnsi="Times New Roman" w:eastAsia="仿宋_GB2312" w:cs="Times New Roman"/>
          <w:color w:val="auto"/>
          <w:kern w:val="0"/>
          <w:sz w:val="32"/>
          <w:szCs w:val="32"/>
          <w:shd w:val="clear" w:color="auto" w:fill="auto"/>
          <w:lang w:val="en-US" w:eastAsia="zh-CN" w:bidi="ar"/>
        </w:rPr>
        <w:t>在工程验收中严格审核充电设施配建情况，未达标项目不予竣工备案。联合消防、供电等部门建立联合执法机制，整治私拉电线、违规施工等行为。</w:t>
      </w:r>
    </w:p>
    <w:p w14:paraId="313CBCD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b/>
          <w:bCs/>
          <w:color w:val="auto"/>
          <w:kern w:val="0"/>
          <w:sz w:val="32"/>
          <w:szCs w:val="32"/>
          <w:shd w:val="clear" w:color="auto" w:fill="auto"/>
          <w:lang w:val="en-US" w:eastAsia="zh-CN" w:bidi="ar"/>
        </w:rPr>
        <w:t>3.监督物业落实责任。</w:t>
      </w:r>
      <w:r>
        <w:rPr>
          <w:rFonts w:hint="default" w:ascii="Times New Roman" w:hAnsi="Times New Roman" w:eastAsia="仿宋_GB2312" w:cs="Times New Roman"/>
          <w:color w:val="auto"/>
          <w:kern w:val="0"/>
          <w:sz w:val="32"/>
          <w:szCs w:val="32"/>
          <w:shd w:val="clear" w:color="auto" w:fill="auto"/>
          <w:lang w:val="en-US" w:eastAsia="zh-CN" w:bidi="ar"/>
        </w:rPr>
        <w:t>督促物业规范小区自用充电桩建设审批流程</w:t>
      </w:r>
      <w:r>
        <w:rPr>
          <w:rFonts w:hint="eastAsia" w:ascii="Times New Roman" w:hAnsi="Times New Roman" w:eastAsia="仿宋_GB2312" w:cs="Times New Roman"/>
          <w:color w:val="auto"/>
          <w:kern w:val="0"/>
          <w:sz w:val="32"/>
          <w:szCs w:val="32"/>
          <w:shd w:val="clear" w:color="auto" w:fill="auto"/>
          <w:lang w:val="en-US" w:eastAsia="zh-CN" w:bidi="ar"/>
        </w:rPr>
        <w:t>，为</w:t>
      </w:r>
      <w:r>
        <w:rPr>
          <w:rFonts w:hint="default" w:ascii="Times New Roman" w:hAnsi="Times New Roman" w:eastAsia="仿宋_GB2312" w:cs="Times New Roman"/>
          <w:color w:val="auto"/>
          <w:kern w:val="0"/>
          <w:sz w:val="32"/>
          <w:szCs w:val="32"/>
          <w:shd w:val="clear" w:color="auto" w:fill="auto"/>
          <w:lang w:val="en-US" w:eastAsia="zh-CN" w:bidi="ar"/>
        </w:rPr>
        <w:t>业主或第三方企业提供施工便利（如提供图纸、协助现场勘查），对阻挠行为依法处理。</w:t>
      </w:r>
    </w:p>
    <w:p w14:paraId="25493A9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楷体_GB2312" w:cs="Times New Roman"/>
          <w:color w:val="auto"/>
          <w:kern w:val="0"/>
          <w:sz w:val="32"/>
          <w:szCs w:val="32"/>
          <w:shd w:val="clear" w:color="auto" w:fill="auto"/>
          <w:lang w:val="en-US" w:eastAsia="zh-CN" w:bidi="ar"/>
        </w:rPr>
      </w:pPr>
      <w:r>
        <w:rPr>
          <w:rFonts w:hint="eastAsia" w:ascii="Times New Roman" w:hAnsi="Times New Roman" w:eastAsia="楷体_GB2312" w:cs="Times New Roman"/>
          <w:color w:val="auto"/>
          <w:kern w:val="0"/>
          <w:sz w:val="32"/>
          <w:szCs w:val="32"/>
          <w:shd w:val="clear" w:color="auto" w:fill="auto"/>
          <w:lang w:val="en-US" w:eastAsia="zh-CN" w:bidi="ar"/>
        </w:rPr>
        <w:t>（四）</w:t>
      </w:r>
      <w:r>
        <w:rPr>
          <w:rFonts w:hint="default" w:ascii="Times New Roman" w:hAnsi="Times New Roman" w:eastAsia="楷体_GB2312" w:cs="Times New Roman"/>
          <w:color w:val="auto"/>
          <w:kern w:val="0"/>
          <w:sz w:val="32"/>
          <w:szCs w:val="32"/>
          <w:shd w:val="clear" w:color="auto" w:fill="auto"/>
          <w:lang w:val="en-US" w:eastAsia="zh-CN" w:bidi="ar"/>
        </w:rPr>
        <w:t>师市应急管理局</w:t>
      </w:r>
    </w:p>
    <w:p w14:paraId="3C3918F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eastAsia" w:ascii="Times New Roman" w:hAnsi="Times New Roman" w:eastAsia="仿宋_GB2312" w:cs="Times New Roman"/>
          <w:b/>
          <w:bCs/>
          <w:color w:val="auto"/>
          <w:kern w:val="0"/>
          <w:sz w:val="32"/>
          <w:szCs w:val="32"/>
          <w:shd w:val="clear" w:color="auto" w:fill="auto"/>
          <w:lang w:val="en-US" w:eastAsia="zh-CN" w:bidi="ar"/>
        </w:rPr>
        <w:t>1.综合安全监管。</w:t>
      </w:r>
      <w:r>
        <w:rPr>
          <w:rFonts w:hint="default" w:ascii="Times New Roman" w:hAnsi="Times New Roman" w:eastAsia="仿宋_GB2312" w:cs="Times New Roman"/>
          <w:color w:val="auto"/>
          <w:kern w:val="0"/>
          <w:sz w:val="32"/>
          <w:szCs w:val="32"/>
          <w:shd w:val="clear" w:color="auto" w:fill="auto"/>
          <w:lang w:val="en-US" w:eastAsia="zh-CN" w:bidi="ar"/>
        </w:rPr>
        <w:t>履行安全生产综合监督管理职责，督促属地、行业主管部门落实充电桩安全生产监管职责，</w:t>
      </w:r>
      <w:r>
        <w:rPr>
          <w:rFonts w:hint="eastAsia" w:ascii="Times New Roman" w:hAnsi="Times New Roman" w:eastAsia="仿宋_GB2312" w:cs="Times New Roman"/>
          <w:color w:val="auto"/>
          <w:kern w:val="0"/>
          <w:sz w:val="32"/>
          <w:szCs w:val="32"/>
          <w:shd w:val="clear" w:color="auto" w:fill="auto"/>
          <w:lang w:val="en-US" w:eastAsia="zh-CN" w:bidi="ar"/>
        </w:rPr>
        <w:t>包括</w:t>
      </w:r>
      <w:r>
        <w:rPr>
          <w:rFonts w:hint="default" w:ascii="Times New Roman" w:hAnsi="Times New Roman" w:eastAsia="仿宋_GB2312" w:cs="Times New Roman"/>
          <w:color w:val="auto"/>
          <w:kern w:val="0"/>
          <w:sz w:val="32"/>
          <w:szCs w:val="32"/>
          <w:shd w:val="clear" w:color="auto" w:fill="auto"/>
          <w:lang w:val="en-US" w:eastAsia="zh-CN" w:bidi="ar"/>
        </w:rPr>
        <w:t>充电设施消防安全监管、应急处置及安全隐患排查工作，重点排查小区自用充电桩违规建设、用电不规范等安全隐患，及时督促整改，防范安全事故发生。</w:t>
      </w:r>
    </w:p>
    <w:p w14:paraId="5D34B9A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eastAsia" w:ascii="Times New Roman" w:hAnsi="Times New Roman" w:eastAsia="仿宋_GB2312" w:cs="Times New Roman"/>
          <w:b/>
          <w:bCs/>
          <w:color w:val="auto"/>
          <w:kern w:val="0"/>
          <w:sz w:val="32"/>
          <w:szCs w:val="32"/>
          <w:shd w:val="clear" w:color="auto" w:fill="auto"/>
          <w:lang w:val="en-US" w:eastAsia="zh-CN" w:bidi="ar"/>
        </w:rPr>
        <w:t>2.消防安全指导及事故调查。</w:t>
      </w:r>
      <w:r>
        <w:rPr>
          <w:rFonts w:hint="default" w:ascii="Times New Roman" w:hAnsi="Times New Roman" w:eastAsia="仿宋_GB2312" w:cs="Times New Roman"/>
          <w:color w:val="auto"/>
          <w:kern w:val="0"/>
          <w:sz w:val="32"/>
          <w:szCs w:val="32"/>
          <w:shd w:val="clear" w:color="auto" w:fill="auto"/>
          <w:lang w:val="en-US" w:eastAsia="zh-CN" w:bidi="ar"/>
        </w:rPr>
        <w:t>根据《电动汽车充电站设计规范》中消防设施设置要求，在职责范围内开展充电桩消防安全检查指导，指导相关单位组建微型消防站、开展针对性消防演练，指导社区建立联防联勤机制</w:t>
      </w:r>
      <w:r>
        <w:rPr>
          <w:rFonts w:hint="eastAsia" w:ascii="Times New Roman" w:hAnsi="Times New Roman" w:eastAsia="仿宋_GB2312" w:cs="Times New Roman"/>
          <w:color w:val="auto"/>
          <w:kern w:val="0"/>
          <w:sz w:val="32"/>
          <w:szCs w:val="32"/>
          <w:shd w:val="clear" w:color="auto" w:fill="auto"/>
          <w:lang w:val="en-US" w:eastAsia="zh-CN" w:bidi="ar"/>
        </w:rPr>
        <w:t>。</w:t>
      </w:r>
      <w:r>
        <w:rPr>
          <w:rFonts w:hint="default" w:ascii="Times New Roman" w:hAnsi="Times New Roman" w:eastAsia="仿宋_GB2312" w:cs="Times New Roman"/>
          <w:color w:val="auto"/>
          <w:kern w:val="0"/>
          <w:sz w:val="32"/>
          <w:szCs w:val="32"/>
          <w:shd w:val="clear" w:color="auto" w:fill="auto"/>
          <w:lang w:val="en-US" w:eastAsia="zh-CN" w:bidi="ar"/>
        </w:rPr>
        <w:t>组织住建、工信、市监等部门开展新能源汽车充电桩火灾事故调查。</w:t>
      </w:r>
    </w:p>
    <w:p w14:paraId="68C5C52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eastAsia" w:ascii="Times New Roman" w:hAnsi="Times New Roman" w:eastAsia="楷体_GB2312" w:cs="Times New Roman"/>
          <w:color w:val="auto"/>
          <w:kern w:val="0"/>
          <w:sz w:val="32"/>
          <w:szCs w:val="32"/>
          <w:shd w:val="clear" w:color="auto" w:fill="auto"/>
          <w:lang w:val="en-US" w:eastAsia="zh-CN" w:bidi="ar"/>
        </w:rPr>
      </w:pPr>
      <w:r>
        <w:rPr>
          <w:rFonts w:hint="eastAsia" w:ascii="Times New Roman" w:hAnsi="Times New Roman" w:eastAsia="楷体_GB2312" w:cs="Times New Roman"/>
          <w:color w:val="auto"/>
          <w:kern w:val="0"/>
          <w:sz w:val="32"/>
          <w:szCs w:val="32"/>
          <w:shd w:val="clear" w:color="auto" w:fill="auto"/>
          <w:lang w:val="en-US" w:eastAsia="zh-CN" w:bidi="ar"/>
        </w:rPr>
        <w:t>（五）供电企业</w:t>
      </w:r>
    </w:p>
    <w:p w14:paraId="392E288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jc w:val="left"/>
        <w:textAlignment w:val="auto"/>
        <w:rPr>
          <w:rFonts w:hint="eastAsia" w:ascii="Times New Roman" w:hAnsi="Times New Roman" w:eastAsia="仿宋_GB2312" w:cs="Times New Roman"/>
          <w:color w:val="auto"/>
          <w:kern w:val="0"/>
          <w:sz w:val="32"/>
          <w:szCs w:val="32"/>
          <w:shd w:val="clear" w:color="auto" w:fill="auto"/>
          <w:lang w:val="en-US" w:eastAsia="zh-CN" w:bidi="ar"/>
        </w:rPr>
      </w:pPr>
      <w:r>
        <w:rPr>
          <w:rFonts w:hint="eastAsia" w:ascii="Times New Roman" w:hAnsi="Times New Roman" w:eastAsia="仿宋_GB2312" w:cs="Times New Roman"/>
          <w:b/>
          <w:bCs/>
          <w:color w:val="auto"/>
          <w:kern w:val="0"/>
          <w:sz w:val="32"/>
          <w:szCs w:val="32"/>
          <w:shd w:val="clear" w:color="auto" w:fill="auto"/>
          <w:lang w:val="en-US" w:eastAsia="zh-CN" w:bidi="ar"/>
        </w:rPr>
        <w:t>1.供电报装服务。</w:t>
      </w:r>
      <w:r>
        <w:rPr>
          <w:rFonts w:hint="eastAsia" w:ascii="Times New Roman" w:hAnsi="Times New Roman" w:eastAsia="仿宋_GB2312" w:cs="Times New Roman"/>
          <w:color w:val="auto"/>
          <w:kern w:val="0"/>
          <w:sz w:val="32"/>
          <w:szCs w:val="32"/>
          <w:shd w:val="clear" w:color="auto" w:fill="auto"/>
          <w:lang w:val="en-US" w:eastAsia="zh-CN" w:bidi="ar"/>
        </w:rPr>
        <w:t>负责做好充电桩报装接电工作，负责指导充电运营商做好有序充电、互动响应，确保居民正常充电。严格落实电价政策。</w:t>
      </w:r>
    </w:p>
    <w:p w14:paraId="503E473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jc w:val="left"/>
        <w:textAlignment w:val="auto"/>
        <w:rPr>
          <w:rFonts w:hint="eastAsia" w:ascii="Times New Roman" w:hAnsi="Times New Roman" w:eastAsia="仿宋_GB2312" w:cs="Times New Roman"/>
          <w:color w:val="auto"/>
          <w:kern w:val="0"/>
          <w:sz w:val="32"/>
          <w:szCs w:val="32"/>
          <w:shd w:val="clear" w:color="auto" w:fill="auto"/>
          <w:lang w:val="en-US" w:eastAsia="zh-CN" w:bidi="ar"/>
        </w:rPr>
      </w:pPr>
      <w:r>
        <w:rPr>
          <w:rFonts w:hint="eastAsia" w:ascii="Times New Roman" w:hAnsi="Times New Roman" w:eastAsia="仿宋_GB2312" w:cs="Times New Roman"/>
          <w:b/>
          <w:bCs/>
          <w:color w:val="auto"/>
          <w:kern w:val="0"/>
          <w:sz w:val="32"/>
          <w:szCs w:val="32"/>
          <w:shd w:val="clear" w:color="auto" w:fill="auto"/>
          <w:lang w:val="en-US" w:eastAsia="zh-CN" w:bidi="ar"/>
        </w:rPr>
        <w:t>2.电力设施建设。</w:t>
      </w:r>
      <w:r>
        <w:rPr>
          <w:rFonts w:hint="eastAsia" w:ascii="Times New Roman" w:hAnsi="Times New Roman" w:eastAsia="仿宋_GB2312" w:cs="Times New Roman"/>
          <w:color w:val="auto"/>
          <w:kern w:val="0"/>
          <w:sz w:val="32"/>
          <w:szCs w:val="32"/>
          <w:shd w:val="clear" w:color="auto" w:fill="auto"/>
          <w:lang w:val="en-US" w:eastAsia="zh-CN" w:bidi="ar"/>
        </w:rPr>
        <w:t>负责充电设施从产权分界点至公共电网的配套电力工程改造。</w:t>
      </w:r>
    </w:p>
    <w:p w14:paraId="5F2252C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jc w:val="left"/>
        <w:textAlignment w:val="auto"/>
        <w:rPr>
          <w:rFonts w:hint="default" w:ascii="Times New Roman" w:hAnsi="Times New Roman" w:eastAsia="楷体_GB2312" w:cs="Times New Roman"/>
          <w:color w:val="auto"/>
          <w:kern w:val="0"/>
          <w:sz w:val="32"/>
          <w:szCs w:val="32"/>
          <w:shd w:val="clear" w:color="auto" w:fill="auto"/>
          <w:lang w:val="en-US" w:eastAsia="zh-CN" w:bidi="ar"/>
        </w:rPr>
      </w:pPr>
      <w:r>
        <w:rPr>
          <w:rFonts w:hint="eastAsia" w:ascii="Times New Roman" w:hAnsi="Times New Roman" w:eastAsia="楷体_GB2312" w:cs="Times New Roman"/>
          <w:color w:val="auto"/>
          <w:kern w:val="0"/>
          <w:sz w:val="32"/>
          <w:szCs w:val="32"/>
          <w:shd w:val="clear" w:color="auto" w:fill="auto"/>
          <w:lang w:val="en-US" w:eastAsia="zh-CN" w:bidi="ar"/>
        </w:rPr>
        <w:t>（六）</w:t>
      </w:r>
      <w:r>
        <w:rPr>
          <w:rFonts w:hint="default" w:ascii="Times New Roman" w:hAnsi="Times New Roman" w:eastAsia="楷体_GB2312" w:cs="Times New Roman"/>
          <w:color w:val="auto"/>
          <w:kern w:val="0"/>
          <w:sz w:val="32"/>
          <w:szCs w:val="32"/>
          <w:shd w:val="clear" w:color="auto" w:fill="auto"/>
          <w:lang w:val="en-US" w:eastAsia="zh-CN" w:bidi="ar"/>
        </w:rPr>
        <w:t>团场、</w:t>
      </w:r>
      <w:r>
        <w:rPr>
          <w:rFonts w:hint="eastAsia" w:ascii="Times New Roman" w:hAnsi="Times New Roman" w:eastAsia="楷体_GB2312" w:cs="Times New Roman"/>
          <w:color w:val="auto"/>
          <w:kern w:val="0"/>
          <w:sz w:val="32"/>
          <w:szCs w:val="32"/>
          <w:shd w:val="clear" w:color="auto" w:fill="auto"/>
          <w:lang w:val="en-US" w:eastAsia="zh-CN" w:bidi="ar"/>
        </w:rPr>
        <w:t>经开区</w:t>
      </w:r>
      <w:r>
        <w:rPr>
          <w:rFonts w:hint="default" w:ascii="Times New Roman" w:hAnsi="Times New Roman" w:eastAsia="楷体_GB2312" w:cs="Times New Roman"/>
          <w:color w:val="auto"/>
          <w:kern w:val="0"/>
          <w:sz w:val="32"/>
          <w:szCs w:val="32"/>
          <w:shd w:val="clear" w:color="auto" w:fill="auto"/>
          <w:lang w:val="en-US" w:eastAsia="zh-CN" w:bidi="ar"/>
        </w:rPr>
        <w:t>管委会</w:t>
      </w:r>
    </w:p>
    <w:p w14:paraId="456A676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3" w:firstLineChars="200"/>
        <w:jc w:val="left"/>
        <w:textAlignment w:val="auto"/>
        <w:rPr>
          <w:rFonts w:hint="eastAsia" w:ascii="Times New Roman" w:hAnsi="Times New Roman" w:eastAsia="仿宋_GB2312" w:cs="Times New Roman"/>
          <w:color w:val="auto"/>
          <w:kern w:val="0"/>
          <w:sz w:val="32"/>
          <w:szCs w:val="32"/>
          <w:shd w:val="clear" w:color="auto" w:fill="auto"/>
          <w:lang w:val="en-US" w:eastAsia="zh-CN" w:bidi="ar"/>
        </w:rPr>
      </w:pPr>
      <w:r>
        <w:rPr>
          <w:rFonts w:hint="eastAsia" w:ascii="Times New Roman" w:hAnsi="Times New Roman" w:eastAsia="仿宋_GB2312" w:cs="Times New Roman"/>
          <w:b/>
          <w:bCs/>
          <w:color w:val="auto"/>
          <w:kern w:val="0"/>
          <w:sz w:val="32"/>
          <w:szCs w:val="32"/>
          <w:shd w:val="clear" w:color="auto" w:fill="auto"/>
          <w:lang w:val="en-US" w:eastAsia="zh-CN" w:bidi="ar"/>
        </w:rPr>
        <w:t>1.日常监督管理。</w:t>
      </w:r>
      <w:r>
        <w:rPr>
          <w:rFonts w:hint="default" w:ascii="Times New Roman" w:hAnsi="Times New Roman" w:eastAsia="仿宋_GB2312" w:cs="Times New Roman"/>
          <w:color w:val="auto"/>
          <w:kern w:val="0"/>
          <w:sz w:val="32"/>
          <w:szCs w:val="32"/>
          <w:shd w:val="clear" w:color="auto" w:fill="auto"/>
          <w:lang w:val="en-US" w:eastAsia="zh-CN" w:bidi="ar"/>
        </w:rPr>
        <w:t>落实属地管理</w:t>
      </w:r>
      <w:r>
        <w:rPr>
          <w:rFonts w:hint="eastAsia" w:ascii="Times New Roman" w:hAnsi="Times New Roman" w:eastAsia="仿宋_GB2312" w:cs="Times New Roman"/>
          <w:color w:val="auto"/>
          <w:kern w:val="0"/>
          <w:sz w:val="32"/>
          <w:szCs w:val="32"/>
          <w:shd w:val="clear" w:color="auto" w:fill="auto"/>
          <w:lang w:val="en-US" w:eastAsia="zh-CN" w:bidi="ar"/>
        </w:rPr>
        <w:t>责任</w:t>
      </w:r>
      <w:r>
        <w:rPr>
          <w:rFonts w:hint="default" w:ascii="Times New Roman" w:hAnsi="Times New Roman" w:eastAsia="仿宋_GB2312" w:cs="Times New Roman"/>
          <w:color w:val="auto"/>
          <w:kern w:val="0"/>
          <w:sz w:val="32"/>
          <w:szCs w:val="32"/>
          <w:shd w:val="clear" w:color="auto" w:fill="auto"/>
          <w:lang w:val="en-US" w:eastAsia="zh-CN" w:bidi="ar"/>
        </w:rPr>
        <w:t>，</w:t>
      </w:r>
      <w:r>
        <w:rPr>
          <w:rFonts w:hint="eastAsia" w:ascii="Times New Roman" w:hAnsi="Times New Roman" w:eastAsia="仿宋_GB2312" w:cs="Times New Roman"/>
          <w:color w:val="auto"/>
          <w:kern w:val="0"/>
          <w:sz w:val="32"/>
          <w:szCs w:val="32"/>
          <w:shd w:val="clear" w:color="auto" w:fill="auto"/>
          <w:lang w:val="en-US" w:eastAsia="zh-CN" w:bidi="ar"/>
        </w:rPr>
        <w:t>审批辖区公共停车场</w:t>
      </w:r>
      <w:r>
        <w:rPr>
          <w:rFonts w:hint="default" w:ascii="Times New Roman" w:hAnsi="Times New Roman" w:eastAsia="仿宋_GB2312" w:cs="Times New Roman"/>
          <w:color w:val="auto"/>
          <w:kern w:val="0"/>
          <w:sz w:val="32"/>
          <w:szCs w:val="32"/>
          <w:shd w:val="clear" w:color="auto" w:fill="auto"/>
          <w:lang w:val="en-US" w:eastAsia="zh-CN" w:bidi="ar"/>
        </w:rPr>
        <w:t>充电桩建设与日常监管</w:t>
      </w:r>
      <w:r>
        <w:rPr>
          <w:rFonts w:hint="eastAsia" w:ascii="Times New Roman" w:hAnsi="Times New Roman" w:eastAsia="仿宋_GB2312" w:cs="Times New Roman"/>
          <w:color w:val="auto"/>
          <w:kern w:val="0"/>
          <w:sz w:val="32"/>
          <w:szCs w:val="32"/>
          <w:shd w:val="clear" w:color="auto" w:fill="auto"/>
          <w:lang w:val="en-US" w:eastAsia="zh-CN" w:bidi="ar"/>
        </w:rPr>
        <w:t>。</w:t>
      </w:r>
    </w:p>
    <w:p w14:paraId="50795CD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643"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eastAsia" w:ascii="Times New Roman" w:hAnsi="Times New Roman" w:eastAsia="仿宋_GB2312" w:cs="Times New Roman"/>
          <w:b/>
          <w:bCs/>
          <w:color w:val="auto"/>
          <w:kern w:val="0"/>
          <w:sz w:val="32"/>
          <w:szCs w:val="32"/>
          <w:shd w:val="clear" w:color="auto" w:fill="auto"/>
          <w:lang w:val="en-US" w:eastAsia="zh-CN" w:bidi="ar"/>
        </w:rPr>
        <w:t>2.隐患排查及纠纷协调。</w:t>
      </w:r>
      <w:r>
        <w:rPr>
          <w:rFonts w:hint="default" w:ascii="Times New Roman" w:hAnsi="Times New Roman" w:eastAsia="仿宋_GB2312" w:cs="Times New Roman"/>
          <w:color w:val="auto"/>
          <w:kern w:val="0"/>
          <w:sz w:val="32"/>
          <w:szCs w:val="32"/>
          <w:shd w:val="clear" w:color="auto" w:fill="auto"/>
          <w:lang w:val="en-US" w:eastAsia="zh-CN" w:bidi="ar"/>
        </w:rPr>
        <w:t>负责行政区域内的充电桩（公共停车场充电桩、小区公用和自用充电桩备案汇总）隐患排查上报，</w:t>
      </w:r>
      <w:r>
        <w:rPr>
          <w:rFonts w:hint="eastAsia" w:ascii="Times New Roman" w:hAnsi="Times New Roman" w:eastAsia="仿宋_GB2312" w:cs="Times New Roman"/>
          <w:color w:val="auto"/>
          <w:kern w:val="0"/>
          <w:sz w:val="32"/>
          <w:szCs w:val="32"/>
          <w:shd w:val="clear" w:color="auto" w:fill="auto"/>
          <w:lang w:val="en-US" w:eastAsia="zh-CN" w:bidi="ar"/>
        </w:rPr>
        <w:t>及时</w:t>
      </w:r>
      <w:r>
        <w:rPr>
          <w:rFonts w:hint="default" w:ascii="Times New Roman" w:hAnsi="Times New Roman" w:eastAsia="仿宋_GB2312" w:cs="Times New Roman"/>
          <w:color w:val="auto"/>
          <w:kern w:val="0"/>
          <w:sz w:val="32"/>
          <w:szCs w:val="32"/>
          <w:shd w:val="clear" w:color="auto" w:fill="auto"/>
          <w:lang w:val="en-US" w:eastAsia="zh-CN" w:bidi="ar"/>
        </w:rPr>
        <w:t>调解相关</w:t>
      </w:r>
      <w:r>
        <w:rPr>
          <w:rFonts w:hint="eastAsia" w:ascii="Times New Roman" w:hAnsi="Times New Roman" w:eastAsia="仿宋_GB2312" w:cs="Times New Roman"/>
          <w:color w:val="auto"/>
          <w:kern w:val="0"/>
          <w:sz w:val="32"/>
          <w:szCs w:val="32"/>
          <w:shd w:val="clear" w:color="auto" w:fill="auto"/>
          <w:lang w:val="en-US" w:eastAsia="zh-CN" w:bidi="ar"/>
        </w:rPr>
        <w:t>矛盾</w:t>
      </w:r>
      <w:r>
        <w:rPr>
          <w:rFonts w:hint="default" w:ascii="Times New Roman" w:hAnsi="Times New Roman" w:eastAsia="仿宋_GB2312" w:cs="Times New Roman"/>
          <w:color w:val="auto"/>
          <w:kern w:val="0"/>
          <w:sz w:val="32"/>
          <w:szCs w:val="32"/>
          <w:shd w:val="clear" w:color="auto" w:fill="auto"/>
          <w:lang w:val="en-US" w:eastAsia="zh-CN" w:bidi="ar"/>
        </w:rPr>
        <w:t>纠纷。</w:t>
      </w:r>
    </w:p>
    <w:p w14:paraId="5A8C572C">
      <w:pPr>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50" w:lineRule="exact"/>
        <w:ind w:left="0" w:leftChars="0" w:firstLine="640" w:firstLineChars="200"/>
        <w:jc w:val="left"/>
        <w:textAlignment w:val="auto"/>
        <w:rPr>
          <w:rFonts w:hint="default" w:ascii="Times New Roman" w:hAnsi="Times New Roman" w:eastAsia="黑体" w:cs="Times New Roman"/>
          <w:color w:val="auto"/>
          <w:kern w:val="0"/>
          <w:sz w:val="32"/>
          <w:szCs w:val="32"/>
          <w:shd w:val="clear" w:color="auto" w:fill="auto"/>
          <w:lang w:val="en-US" w:eastAsia="zh-CN" w:bidi="ar"/>
        </w:rPr>
      </w:pPr>
      <w:r>
        <w:rPr>
          <w:rFonts w:hint="default" w:ascii="Times New Roman" w:hAnsi="Times New Roman" w:eastAsia="黑体" w:cs="Times New Roman"/>
          <w:color w:val="auto"/>
          <w:kern w:val="0"/>
          <w:sz w:val="32"/>
          <w:szCs w:val="32"/>
          <w:shd w:val="clear" w:color="auto" w:fill="auto"/>
          <w:lang w:val="en-US" w:eastAsia="zh-CN" w:bidi="ar"/>
        </w:rPr>
        <w:t>保障措施</w:t>
      </w:r>
    </w:p>
    <w:p w14:paraId="43B6C61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楷体_GB2312" w:cs="Times New Roman"/>
          <w:color w:val="auto"/>
          <w:kern w:val="0"/>
          <w:sz w:val="32"/>
          <w:szCs w:val="32"/>
          <w:shd w:val="clear" w:color="auto" w:fill="auto"/>
          <w:lang w:val="en-US" w:eastAsia="zh-CN" w:bidi="ar"/>
        </w:rPr>
        <w:t>（一）加强统筹协调。</w:t>
      </w:r>
      <w:r>
        <w:rPr>
          <w:rFonts w:hint="default" w:ascii="Times New Roman" w:hAnsi="Times New Roman" w:eastAsia="仿宋_GB2312" w:cs="Times New Roman"/>
          <w:color w:val="auto"/>
          <w:kern w:val="0"/>
          <w:sz w:val="32"/>
          <w:szCs w:val="32"/>
          <w:shd w:val="clear" w:color="auto" w:fill="auto"/>
          <w:lang w:val="en-US" w:eastAsia="zh-CN" w:bidi="ar"/>
        </w:rPr>
        <w:t>各相关部门应当按照职责分工，紧密协同，做好新能源充电基础设施建设管理指导和推进工作。各团场、经开区要切实落实主体责任，加强对业主委员会、物业服务企业的指导和监督，及时协调解决建设中遇到的困难和问题，推动新能源充电桩建设有序推进。</w:t>
      </w:r>
    </w:p>
    <w:p w14:paraId="19A7EF5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楷体_GB2312" w:cs="Times New Roman"/>
          <w:color w:val="auto"/>
          <w:kern w:val="0"/>
          <w:sz w:val="32"/>
          <w:szCs w:val="32"/>
          <w:shd w:val="clear" w:color="auto" w:fill="auto"/>
          <w:lang w:val="en-US" w:eastAsia="zh-CN" w:bidi="ar"/>
        </w:rPr>
        <w:t>（二）加强充电设施安全管理。</w:t>
      </w:r>
      <w:r>
        <w:rPr>
          <w:rFonts w:hint="default" w:ascii="Times New Roman" w:hAnsi="Times New Roman" w:eastAsia="仿宋_GB2312" w:cs="Times New Roman"/>
          <w:color w:val="auto"/>
          <w:kern w:val="0"/>
          <w:sz w:val="32"/>
          <w:szCs w:val="32"/>
          <w:shd w:val="clear" w:color="auto" w:fill="auto"/>
          <w:lang w:val="en-US" w:eastAsia="zh-CN" w:bidi="ar"/>
        </w:rPr>
        <w:t>居民住宅小区电动新能源</w:t>
      </w:r>
      <w:r>
        <w:rPr>
          <w:rFonts w:hint="eastAsia" w:ascii="Times New Roman" w:hAnsi="Times New Roman" w:eastAsia="仿宋_GB2312" w:cs="Times New Roman"/>
          <w:color w:val="auto"/>
          <w:kern w:val="0"/>
          <w:sz w:val="32"/>
          <w:szCs w:val="32"/>
          <w:shd w:val="clear" w:color="auto" w:fill="auto"/>
          <w:lang w:val="en-US" w:eastAsia="zh-CN" w:bidi="ar"/>
        </w:rPr>
        <w:t>汽车</w:t>
      </w:r>
      <w:r>
        <w:rPr>
          <w:rFonts w:hint="default" w:ascii="Times New Roman" w:hAnsi="Times New Roman" w:eastAsia="仿宋_GB2312" w:cs="Times New Roman"/>
          <w:color w:val="auto"/>
          <w:kern w:val="0"/>
          <w:sz w:val="32"/>
          <w:szCs w:val="32"/>
          <w:shd w:val="clear" w:color="auto" w:fill="auto"/>
          <w:lang w:val="en-US" w:eastAsia="zh-CN" w:bidi="ar"/>
        </w:rPr>
        <w:t>充电基础设施安全生产实行属地管理原则，各团场、经开区要指导社区将居民住宅小区电动</w:t>
      </w:r>
      <w:r>
        <w:rPr>
          <w:rFonts w:hint="eastAsia" w:ascii="Times New Roman" w:hAnsi="Times New Roman" w:eastAsia="仿宋_GB2312" w:cs="Times New Roman"/>
          <w:color w:val="auto"/>
          <w:kern w:val="0"/>
          <w:sz w:val="32"/>
          <w:szCs w:val="32"/>
          <w:shd w:val="clear" w:color="auto" w:fill="auto"/>
          <w:lang w:val="en-US" w:eastAsia="zh-CN" w:bidi="ar"/>
        </w:rPr>
        <w:t>汽车</w:t>
      </w:r>
      <w:r>
        <w:rPr>
          <w:rFonts w:hint="default" w:ascii="Times New Roman" w:hAnsi="Times New Roman" w:eastAsia="仿宋_GB2312" w:cs="Times New Roman"/>
          <w:color w:val="auto"/>
          <w:kern w:val="0"/>
          <w:sz w:val="32"/>
          <w:szCs w:val="32"/>
          <w:shd w:val="clear" w:color="auto" w:fill="auto"/>
          <w:lang w:val="en-US" w:eastAsia="zh-CN" w:bidi="ar"/>
        </w:rPr>
        <w:t>充电基础设施纳入居民住宅小区安全管理体系。各有关部门要按照职责，加大对私拉电线、违规用电、违规施工等行为的查处力度，确保居民住宅小区用电安全。</w:t>
      </w:r>
    </w:p>
    <w:p w14:paraId="0B43050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640" w:firstLineChars="20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eastAsia" w:ascii="楷体_GB2312" w:hAnsi="楷体_GB2312" w:eastAsia="楷体_GB2312" w:cs="楷体_GB2312"/>
          <w:color w:val="auto"/>
          <w:kern w:val="0"/>
          <w:sz w:val="32"/>
          <w:szCs w:val="32"/>
          <w:shd w:val="clear" w:color="auto" w:fill="auto"/>
          <w:lang w:val="en-US" w:eastAsia="zh-CN" w:bidi="ar"/>
        </w:rPr>
        <w:t>（三）做好电力配套服务。</w:t>
      </w:r>
      <w:r>
        <w:rPr>
          <w:rFonts w:hint="default" w:ascii="Times New Roman" w:hAnsi="Times New Roman" w:eastAsia="仿宋_GB2312" w:cs="Times New Roman"/>
          <w:color w:val="auto"/>
          <w:kern w:val="0"/>
          <w:sz w:val="32"/>
          <w:szCs w:val="32"/>
          <w:shd w:val="clear" w:color="auto" w:fill="auto"/>
          <w:lang w:val="en-US" w:eastAsia="zh-CN" w:bidi="ar"/>
        </w:rPr>
        <w:t>供电企业要全面提升电力服务水平，积极推广“互联网＋”办电服务，为运营商和个人业务办理充电桩建设业务开辟绿色通道，加快审批进度。按照国家、自治区有关规定执行电价政策。</w:t>
      </w:r>
      <w:bookmarkStart w:id="0" w:name="_GoBack"/>
      <w:bookmarkEnd w:id="0"/>
    </w:p>
    <w:p w14:paraId="2D6EA5F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64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r>
        <w:rPr>
          <w:rFonts w:hint="default" w:ascii="Times New Roman" w:hAnsi="Times New Roman" w:eastAsia="仿宋_GB2312" w:cs="Times New Roman"/>
          <w:color w:val="auto"/>
          <w:kern w:val="0"/>
          <w:sz w:val="32"/>
          <w:szCs w:val="32"/>
          <w:shd w:val="clear" w:color="auto" w:fill="auto"/>
          <w:lang w:val="en-US" w:eastAsia="zh-CN" w:bidi="ar"/>
        </w:rPr>
        <w:t>本办法将根据国家、自治区新能源充电基础设施建设领域最新法律法规、政策标准及行业规范动态修订、适时更新，确保制度的时效性、规范性和实操性。</w:t>
      </w:r>
    </w:p>
    <w:p w14:paraId="0E6C1E5F">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640"/>
        <w:jc w:val="left"/>
        <w:textAlignment w:val="auto"/>
        <w:rPr>
          <w:rFonts w:hint="default" w:ascii="Times New Roman" w:hAnsi="Times New Roman" w:eastAsia="仿宋_GB2312" w:cs="Times New Roman"/>
          <w:color w:val="auto"/>
          <w:kern w:val="0"/>
          <w:sz w:val="32"/>
          <w:szCs w:val="32"/>
          <w:shd w:val="clear" w:color="auto" w:fill="auto"/>
          <w:lang w:val="en-US" w:eastAsia="zh-CN" w:bidi="ar"/>
        </w:rPr>
      </w:pPr>
    </w:p>
    <w:p w14:paraId="755760C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仿宋_GB2312" w:cs="Times New Roman"/>
          <w:kern w:val="0"/>
          <w:sz w:val="32"/>
          <w:szCs w:val="32"/>
          <w:shd w:val="clear" w:color="auto" w:fill="auto"/>
          <w:lang w:val="en-US" w:eastAsia="zh-CN" w:bidi="ar"/>
        </w:rPr>
        <w:t>附件：1.公共停车场公用充电桩建设管理流程</w:t>
      </w:r>
    </w:p>
    <w:p w14:paraId="10EFA1B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1600" w:firstLineChars="5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仿宋_GB2312" w:cs="Times New Roman"/>
          <w:kern w:val="0"/>
          <w:sz w:val="32"/>
          <w:szCs w:val="32"/>
          <w:shd w:val="clear" w:color="auto" w:fill="auto"/>
          <w:lang w:val="en-US" w:eastAsia="zh-CN" w:bidi="ar"/>
        </w:rPr>
        <w:t>2.</w:t>
      </w:r>
      <w:r>
        <w:rPr>
          <w:rFonts w:hint="default" w:ascii="Times New Roman" w:hAnsi="Times New Roman" w:eastAsia="仿宋_GB2312" w:cs="Times New Roman"/>
          <w:kern w:val="0"/>
          <w:sz w:val="32"/>
          <w:szCs w:val="32"/>
          <w:shd w:val="clear" w:color="auto" w:fill="auto"/>
          <w:lang w:val="en-US" w:eastAsia="zh-CN" w:bidi="ar"/>
        </w:rPr>
        <w:t>既有小区公用充电桩建设管理流程</w:t>
      </w:r>
    </w:p>
    <w:p w14:paraId="0C3B604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1600" w:firstLineChars="5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仿宋_GB2312" w:cs="Times New Roman"/>
          <w:kern w:val="0"/>
          <w:sz w:val="32"/>
          <w:szCs w:val="32"/>
          <w:shd w:val="clear" w:color="auto" w:fill="auto"/>
          <w:lang w:val="en-US" w:eastAsia="zh-CN" w:bidi="ar"/>
        </w:rPr>
        <w:t>3.</w:t>
      </w:r>
      <w:r>
        <w:rPr>
          <w:rFonts w:hint="default" w:ascii="Times New Roman" w:hAnsi="Times New Roman" w:eastAsia="仿宋_GB2312" w:cs="Times New Roman"/>
          <w:kern w:val="0"/>
          <w:sz w:val="32"/>
          <w:szCs w:val="32"/>
          <w:shd w:val="clear" w:color="auto" w:fill="auto"/>
          <w:lang w:val="en-US" w:eastAsia="zh-CN" w:bidi="ar"/>
        </w:rPr>
        <w:t>既有小区自用充电桩建设管理流程</w:t>
      </w:r>
    </w:p>
    <w:p w14:paraId="22C7F1C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1600" w:firstLineChars="5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1944839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1600" w:firstLineChars="5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597FABE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1600" w:firstLineChars="5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1395247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1600" w:firstLineChars="5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75132FCF">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1600" w:firstLineChars="5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6F70E7C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1600" w:firstLineChars="5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0E1F2A6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1600" w:firstLineChars="5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46F94C5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50" w:lineRule="exact"/>
        <w:ind w:leftChars="0" w:firstLine="1600" w:firstLineChars="5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3B10F4C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eastAsia="黑体" w:cs="Times New Roman"/>
          <w:kern w:val="0"/>
          <w:sz w:val="28"/>
          <w:szCs w:val="28"/>
          <w:shd w:val="clear" w:color="auto" w:fill="auto"/>
          <w:lang w:val="en-US" w:eastAsia="zh-CN" w:bidi="ar"/>
        </w:rPr>
      </w:pPr>
      <w:r>
        <w:rPr>
          <w:rFonts w:hint="default" w:ascii="Times New Roman" w:hAnsi="Times New Roman" w:eastAsia="黑体" w:cs="Times New Roman"/>
          <w:kern w:val="0"/>
          <w:sz w:val="28"/>
          <w:szCs w:val="28"/>
          <w:shd w:val="clear" w:color="auto" w:fill="auto"/>
          <w:lang w:val="en-US" w:eastAsia="zh-CN" w:bidi="ar"/>
        </w:rPr>
        <w:t>附件1</w:t>
      </w:r>
    </w:p>
    <w:p w14:paraId="2200B56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eastAsia="黑体" w:cs="Times New Roman"/>
          <w:kern w:val="0"/>
          <w:sz w:val="28"/>
          <w:szCs w:val="28"/>
          <w:shd w:val="clear" w:color="auto" w:fill="auto"/>
          <w:lang w:val="en-US" w:eastAsia="zh-CN" w:bidi="ar"/>
        </w:rPr>
      </w:pPr>
    </w:p>
    <w:p w14:paraId="715E8EE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kern w:val="0"/>
          <w:sz w:val="44"/>
          <w:szCs w:val="44"/>
          <w:shd w:val="clear" w:color="auto" w:fill="auto"/>
          <w:lang w:val="en-US" w:eastAsia="zh-CN" w:bidi="ar"/>
        </w:rPr>
      </w:pPr>
      <w:r>
        <w:rPr>
          <w:rFonts w:hint="eastAsia" w:ascii="方正小标宋简体" w:hAnsi="方正小标宋简体" w:eastAsia="方正小标宋简体" w:cs="方正小标宋简体"/>
          <w:kern w:val="0"/>
          <w:sz w:val="44"/>
          <w:szCs w:val="44"/>
          <w:shd w:val="clear" w:color="auto" w:fill="auto"/>
          <w:lang w:val="en-US" w:eastAsia="zh-CN" w:bidi="ar"/>
        </w:rPr>
        <w:t>公共停车场公用充电桩建设管理流程</w:t>
      </w:r>
    </w:p>
    <w:p w14:paraId="3725D83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kern w:val="0"/>
          <w:sz w:val="44"/>
          <w:szCs w:val="44"/>
          <w:shd w:val="clear" w:color="auto" w:fill="auto"/>
          <w:lang w:val="en-US" w:eastAsia="zh-CN" w:bidi="ar"/>
        </w:rPr>
      </w:pPr>
    </w:p>
    <w:p w14:paraId="43FBF78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黑体" w:cs="Times New Roman"/>
          <w:kern w:val="0"/>
          <w:sz w:val="32"/>
          <w:szCs w:val="32"/>
          <w:shd w:val="clear" w:color="auto" w:fill="auto"/>
          <w:lang w:val="en-US" w:eastAsia="zh-CN" w:bidi="ar"/>
        </w:rPr>
      </w:pPr>
      <w:r>
        <w:rPr>
          <w:rFonts w:hint="default" w:ascii="Times New Roman" w:hAnsi="Times New Roman" w:eastAsia="黑体" w:cs="Times New Roman"/>
          <w:kern w:val="0"/>
          <w:sz w:val="32"/>
          <w:szCs w:val="32"/>
          <w:shd w:val="clear" w:color="auto" w:fill="auto"/>
          <w:lang w:val="en-US" w:eastAsia="zh-CN" w:bidi="ar"/>
        </w:rPr>
        <w:t>一、公共停车场建设公用充电桩须符合以下条件​</w:t>
      </w:r>
    </w:p>
    <w:p w14:paraId="192A6390">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楷体_GB2312" w:cs="Times New Roman"/>
          <w:kern w:val="0"/>
          <w:sz w:val="32"/>
          <w:szCs w:val="32"/>
          <w:shd w:val="clear" w:color="auto" w:fill="auto"/>
          <w:lang w:val="en-US" w:eastAsia="zh-CN" w:bidi="ar"/>
        </w:rPr>
        <w:t>1.车位条件：</w:t>
      </w:r>
      <w:r>
        <w:rPr>
          <w:rFonts w:hint="default" w:ascii="Times New Roman" w:hAnsi="Times New Roman" w:eastAsia="仿宋_GB2312" w:cs="Times New Roman"/>
          <w:kern w:val="0"/>
          <w:sz w:val="32"/>
          <w:szCs w:val="32"/>
          <w:shd w:val="clear" w:color="auto" w:fill="auto"/>
          <w:lang w:val="en-US" w:eastAsia="zh-CN" w:bidi="ar"/>
        </w:rPr>
        <w:t>公共停车场</w:t>
      </w:r>
      <w:r>
        <w:rPr>
          <w:rFonts w:hint="eastAsia" w:ascii="Times New Roman" w:hAnsi="Times New Roman" w:eastAsia="仿宋_GB2312" w:cs="Times New Roman"/>
          <w:kern w:val="0"/>
          <w:sz w:val="32"/>
          <w:szCs w:val="32"/>
          <w:shd w:val="clear" w:color="auto" w:fill="auto"/>
          <w:lang w:val="en-US" w:eastAsia="zh-CN" w:bidi="ar"/>
        </w:rPr>
        <w:t>须具备</w:t>
      </w:r>
      <w:r>
        <w:rPr>
          <w:rFonts w:hint="default" w:ascii="Times New Roman" w:hAnsi="Times New Roman" w:eastAsia="仿宋_GB2312" w:cs="Times New Roman"/>
          <w:kern w:val="0"/>
          <w:sz w:val="32"/>
          <w:szCs w:val="32"/>
          <w:shd w:val="clear" w:color="auto" w:fill="auto"/>
          <w:lang w:val="en-US" w:eastAsia="zh-CN" w:bidi="ar"/>
        </w:rPr>
        <w:t>可用于建设公用充电桩的公共车位，确保充电桩建设不占用消防通道、应急车道及公共通行区域。</w:t>
      </w:r>
    </w:p>
    <w:p w14:paraId="5F6B12E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楷体_GB2312" w:cs="Times New Roman"/>
          <w:kern w:val="0"/>
          <w:sz w:val="32"/>
          <w:szCs w:val="32"/>
          <w:shd w:val="clear" w:color="auto" w:fill="auto"/>
          <w:lang w:val="en-US" w:eastAsia="zh-CN" w:bidi="ar"/>
        </w:rPr>
        <w:t>2.电力容量：</w:t>
      </w:r>
      <w:r>
        <w:rPr>
          <w:rFonts w:hint="default" w:ascii="Times New Roman" w:hAnsi="Times New Roman" w:eastAsia="仿宋_GB2312" w:cs="Times New Roman"/>
          <w:kern w:val="0"/>
          <w:sz w:val="32"/>
          <w:szCs w:val="32"/>
          <w:shd w:val="clear" w:color="auto" w:fill="auto"/>
          <w:lang w:val="en-US" w:eastAsia="zh-CN" w:bidi="ar"/>
        </w:rPr>
        <w:t>公共停车场周边剩余电力变配电容量需满足充电桩用电负荷需求，并按本管理办法要求办理报装接入手续。若电力容量不满足需求，</w:t>
      </w:r>
      <w:r>
        <w:rPr>
          <w:rFonts w:hint="eastAsia" w:ascii="Times New Roman" w:hAnsi="Times New Roman" w:eastAsia="仿宋_GB2312" w:cs="Times New Roman"/>
          <w:kern w:val="0"/>
          <w:sz w:val="32"/>
          <w:szCs w:val="32"/>
          <w:shd w:val="clear" w:color="auto" w:fill="auto"/>
          <w:lang w:val="en-US" w:eastAsia="zh-CN" w:bidi="ar"/>
        </w:rPr>
        <w:t>由城（镇）建设管理部门改造</w:t>
      </w:r>
      <w:r>
        <w:rPr>
          <w:rFonts w:hint="default" w:ascii="Times New Roman" w:hAnsi="Times New Roman" w:eastAsia="仿宋_GB2312" w:cs="Times New Roman"/>
          <w:kern w:val="0"/>
          <w:sz w:val="32"/>
          <w:szCs w:val="32"/>
          <w:shd w:val="clear" w:color="auto" w:fill="auto"/>
          <w:lang w:val="en-US" w:eastAsia="zh-CN" w:bidi="ar"/>
        </w:rPr>
        <w:t>，或</w:t>
      </w:r>
      <w:r>
        <w:rPr>
          <w:rFonts w:hint="eastAsia" w:ascii="Times New Roman" w:hAnsi="Times New Roman" w:eastAsia="仿宋_GB2312" w:cs="Times New Roman"/>
          <w:kern w:val="0"/>
          <w:sz w:val="32"/>
          <w:szCs w:val="32"/>
          <w:shd w:val="clear" w:color="auto" w:fill="auto"/>
          <w:lang w:val="en-US" w:eastAsia="zh-CN" w:bidi="ar"/>
        </w:rPr>
        <w:t>在建设管理部门的监督下</w:t>
      </w:r>
      <w:r>
        <w:rPr>
          <w:rFonts w:hint="default" w:ascii="Times New Roman" w:hAnsi="Times New Roman" w:eastAsia="仿宋_GB2312" w:cs="Times New Roman"/>
          <w:kern w:val="0"/>
          <w:sz w:val="32"/>
          <w:szCs w:val="32"/>
          <w:shd w:val="clear" w:color="auto" w:fill="auto"/>
          <w:lang w:val="en-US" w:eastAsia="zh-CN" w:bidi="ar"/>
        </w:rPr>
        <w:t>开展公共停车场变压器增容改造，待改造完成、满足接入条件后，再办理充电桩报装接电。​</w:t>
      </w:r>
    </w:p>
    <w:p w14:paraId="398CBFF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楷体_GB2312" w:cs="Times New Roman"/>
          <w:kern w:val="0"/>
          <w:sz w:val="32"/>
          <w:szCs w:val="32"/>
          <w:shd w:val="clear" w:color="auto" w:fill="auto"/>
          <w:lang w:val="en-US" w:eastAsia="zh-CN" w:bidi="ar"/>
        </w:rPr>
        <w:t>3.消防设施：</w:t>
      </w:r>
      <w:r>
        <w:rPr>
          <w:rFonts w:hint="default" w:ascii="Times New Roman" w:hAnsi="Times New Roman" w:eastAsia="仿宋_GB2312" w:cs="Times New Roman"/>
          <w:kern w:val="0"/>
          <w:sz w:val="32"/>
          <w:szCs w:val="32"/>
          <w:shd w:val="clear" w:color="auto" w:fill="auto"/>
          <w:lang w:val="en-US" w:eastAsia="zh-CN" w:bidi="ar"/>
        </w:rPr>
        <w:t>公共停车场需按规范配备相应消防设施，严格遵循《电动汽车充电站设计规范》相关要求，根据停车场规模、布局及充电桩安装数量，合理配置干粉灭火器、消防沙、消防水源等基础消防器材，确保完好有效、便于取用。</w:t>
      </w:r>
    </w:p>
    <w:p w14:paraId="3DDE696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黑体" w:cs="Times New Roman"/>
          <w:kern w:val="0"/>
          <w:sz w:val="32"/>
          <w:szCs w:val="32"/>
          <w:shd w:val="clear" w:color="auto" w:fill="auto"/>
          <w:lang w:val="en-US" w:eastAsia="zh-CN" w:bidi="ar"/>
        </w:rPr>
      </w:pPr>
      <w:r>
        <w:rPr>
          <w:rFonts w:hint="default" w:ascii="Times New Roman" w:hAnsi="Times New Roman" w:eastAsia="黑体" w:cs="Times New Roman"/>
          <w:kern w:val="0"/>
          <w:sz w:val="32"/>
          <w:szCs w:val="32"/>
          <w:shd w:val="clear" w:color="auto" w:fill="auto"/>
          <w:lang w:val="en-US" w:eastAsia="zh-CN" w:bidi="ar"/>
        </w:rPr>
        <w:t>二、公共停车场公用充电桩建设管理流程​</w:t>
      </w:r>
    </w:p>
    <w:p w14:paraId="18D55FE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楷体_GB2312" w:cs="Times New Roman"/>
          <w:kern w:val="0"/>
          <w:sz w:val="32"/>
          <w:szCs w:val="32"/>
          <w:shd w:val="clear" w:color="auto" w:fill="auto"/>
          <w:lang w:val="en-US" w:eastAsia="zh-CN" w:bidi="ar"/>
        </w:rPr>
        <w:t>1.签订协议：</w:t>
      </w:r>
      <w:r>
        <w:rPr>
          <w:rFonts w:hint="default" w:ascii="Times New Roman" w:hAnsi="Times New Roman" w:eastAsia="仿宋_GB2312" w:cs="Times New Roman"/>
          <w:kern w:val="0"/>
          <w:sz w:val="32"/>
          <w:szCs w:val="32"/>
          <w:shd w:val="clear" w:color="auto" w:fill="auto"/>
          <w:lang w:val="en-US" w:eastAsia="zh-CN" w:bidi="ar"/>
        </w:rPr>
        <w:t>充电运营商会同公共停车场管理单位（属地管理单位、市政公司等）开展现场勘查，确认停车场符合公用充电桩建设基本条件后，将选址情况在指定区域进行公示（公示期不少于5天）。公示期满无异议的，充电运营商</w:t>
      </w:r>
      <w:r>
        <w:rPr>
          <w:rFonts w:hint="eastAsia" w:ascii="Times New Roman" w:hAnsi="Times New Roman" w:eastAsia="仿宋_GB2312" w:cs="Times New Roman"/>
          <w:kern w:val="0"/>
          <w:sz w:val="32"/>
          <w:szCs w:val="32"/>
          <w:shd w:val="clear" w:color="auto" w:fill="auto"/>
          <w:lang w:val="en-US" w:eastAsia="zh-CN" w:bidi="ar"/>
        </w:rPr>
        <w:t>向城（镇）建设管理部门进行备案，并</w:t>
      </w:r>
      <w:r>
        <w:rPr>
          <w:rFonts w:hint="default" w:ascii="Times New Roman" w:hAnsi="Times New Roman" w:eastAsia="仿宋_GB2312" w:cs="Times New Roman"/>
          <w:kern w:val="0"/>
          <w:sz w:val="32"/>
          <w:szCs w:val="32"/>
          <w:shd w:val="clear" w:color="auto" w:fill="auto"/>
          <w:lang w:val="en-US" w:eastAsia="zh-CN" w:bidi="ar"/>
        </w:rPr>
        <w:t>与公共停车场管理单位签订建设运营协议，明确各方权责义务、建设运营方式等相关内容。​</w:t>
      </w:r>
    </w:p>
    <w:p w14:paraId="5C70312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楷体_GB2312" w:cs="Times New Roman"/>
          <w:kern w:val="0"/>
          <w:sz w:val="32"/>
          <w:szCs w:val="32"/>
          <w:shd w:val="clear" w:color="auto" w:fill="auto"/>
          <w:lang w:val="en-US" w:eastAsia="zh-CN" w:bidi="ar"/>
        </w:rPr>
        <w:t>2.报装申请：</w:t>
      </w:r>
      <w:r>
        <w:rPr>
          <w:rFonts w:hint="default" w:ascii="Times New Roman" w:hAnsi="Times New Roman" w:eastAsia="仿宋_GB2312" w:cs="Times New Roman"/>
          <w:kern w:val="0"/>
          <w:sz w:val="32"/>
          <w:szCs w:val="32"/>
          <w:shd w:val="clear" w:color="auto" w:fill="auto"/>
          <w:lang w:val="en-US" w:eastAsia="zh-CN" w:bidi="ar"/>
        </w:rPr>
        <w:t>由充电运营商按需向属地供电部门提交报装申请。供电企业履行一次性告知义务，及时接收、查验、审核接电申请资料。​</w:t>
      </w:r>
    </w:p>
    <w:p w14:paraId="4076F91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仿宋_GB2312" w:cs="Times New Roman"/>
          <w:kern w:val="0"/>
          <w:sz w:val="32"/>
          <w:szCs w:val="32"/>
          <w:shd w:val="clear" w:color="auto" w:fill="auto"/>
          <w:lang w:val="en-US" w:eastAsia="zh-CN" w:bidi="ar"/>
        </w:rPr>
        <w:t>（1）充电运营商营业执照复印件（加盖运营商公章）；</w:t>
      </w:r>
    </w:p>
    <w:p w14:paraId="5370122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仿宋_GB2312" w:cs="Times New Roman"/>
          <w:kern w:val="0"/>
          <w:sz w:val="32"/>
          <w:szCs w:val="32"/>
          <w:shd w:val="clear" w:color="auto" w:fill="auto"/>
          <w:lang w:val="en-US" w:eastAsia="zh-CN" w:bidi="ar"/>
        </w:rPr>
        <w:t>（2）充电运营商法人代表身份证复印件、经办人员身份证复印件及授权委托书原件（均须加盖运营商公章）；​</w:t>
      </w:r>
    </w:p>
    <w:p w14:paraId="3DA02C23">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仿宋_GB2312" w:cs="Times New Roman"/>
          <w:kern w:val="0"/>
          <w:sz w:val="32"/>
          <w:szCs w:val="32"/>
          <w:shd w:val="clear" w:color="auto" w:fill="auto"/>
          <w:lang w:val="en-US" w:eastAsia="zh-CN" w:bidi="ar"/>
        </w:rPr>
        <w:t>（3）公共停车场管理单位与充电运营商签订的同意报装接电合作协议复印件（加盖公章）；无相关合作协议的，由公共停车场管理单位出具《电力接入说明》并加盖公章。</w:t>
      </w:r>
    </w:p>
    <w:p w14:paraId="7F91FFE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楷体_GB2312" w:cs="Times New Roman"/>
          <w:kern w:val="0"/>
          <w:sz w:val="32"/>
          <w:szCs w:val="32"/>
          <w:shd w:val="clear" w:color="auto" w:fill="auto"/>
          <w:lang w:val="en-US" w:eastAsia="zh-CN" w:bidi="ar"/>
        </w:rPr>
        <w:t>3.现场查勘：</w:t>
      </w:r>
      <w:r>
        <w:rPr>
          <w:rFonts w:hint="default" w:ascii="Times New Roman" w:hAnsi="Times New Roman" w:eastAsia="仿宋_GB2312" w:cs="Times New Roman"/>
          <w:kern w:val="0"/>
          <w:sz w:val="32"/>
          <w:szCs w:val="32"/>
          <w:shd w:val="clear" w:color="auto" w:fill="auto"/>
          <w:lang w:val="en-US" w:eastAsia="zh-CN" w:bidi="ar"/>
        </w:rPr>
        <w:t>电网企业受理报装申请后，3个工作日内会同公共停车场管理单位、充电运营商开展现场用电可行性勘察，公共停车场管理单位需积极配合。若现有配电设施确实无法满足公用充电桩用电负荷需求，产权属电网企业的，由供电企业制定解决方案；产权属用电用户的，由用电用户会同充电运营商制定解决方案，优先应用智能有序充电模式。</w:t>
      </w:r>
    </w:p>
    <w:p w14:paraId="118A34B3">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楷体_GB2312" w:cs="Times New Roman"/>
          <w:kern w:val="0"/>
          <w:sz w:val="32"/>
          <w:szCs w:val="32"/>
          <w:shd w:val="clear" w:color="auto" w:fill="auto"/>
          <w:lang w:val="en-US" w:eastAsia="zh-CN" w:bidi="ar"/>
        </w:rPr>
        <w:t>4.施工建设：</w:t>
      </w:r>
      <w:r>
        <w:rPr>
          <w:rFonts w:hint="default" w:ascii="Times New Roman" w:hAnsi="Times New Roman" w:eastAsia="仿宋_GB2312" w:cs="Times New Roman"/>
          <w:kern w:val="0"/>
          <w:sz w:val="32"/>
          <w:szCs w:val="32"/>
          <w:shd w:val="clear" w:color="auto" w:fill="auto"/>
          <w:lang w:val="en-US" w:eastAsia="zh-CN" w:bidi="ar"/>
        </w:rPr>
        <w:t>充电运营商委托具备充电设施安装资质的施工单位，严格按照相关施工规范、技术标准及安全管理规定，有序开展工程施工建设，确保施工质量和施工安全。​</w:t>
      </w:r>
    </w:p>
    <w:p w14:paraId="4EDF2EF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楷体_GB2312" w:cs="Times New Roman"/>
          <w:kern w:val="0"/>
          <w:sz w:val="32"/>
          <w:szCs w:val="32"/>
          <w:shd w:val="clear" w:color="auto" w:fill="auto"/>
          <w:lang w:val="en-US" w:eastAsia="zh-CN" w:bidi="ar"/>
        </w:rPr>
        <w:t>5.装表接电：</w:t>
      </w:r>
      <w:r>
        <w:rPr>
          <w:rFonts w:hint="default" w:ascii="Times New Roman" w:hAnsi="Times New Roman" w:eastAsia="仿宋_GB2312" w:cs="Times New Roman"/>
          <w:kern w:val="0"/>
          <w:sz w:val="32"/>
          <w:szCs w:val="32"/>
          <w:shd w:val="clear" w:color="auto" w:fill="auto"/>
          <w:lang w:val="en-US" w:eastAsia="zh-CN" w:bidi="ar"/>
        </w:rPr>
        <w:t>电力工程施工完成后，电网企业在3个工作日内完成装表接电工作，保障充电桩正常通电使用。​</w:t>
      </w:r>
    </w:p>
    <w:p w14:paraId="622AD763">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楷体_GB2312" w:cs="Times New Roman"/>
          <w:kern w:val="0"/>
          <w:sz w:val="32"/>
          <w:szCs w:val="32"/>
          <w:shd w:val="clear" w:color="auto" w:fill="auto"/>
          <w:lang w:val="en-US" w:eastAsia="zh-CN" w:bidi="ar"/>
        </w:rPr>
        <w:t>6.项目验收：</w:t>
      </w:r>
      <w:r>
        <w:rPr>
          <w:rFonts w:hint="default" w:ascii="Times New Roman" w:hAnsi="Times New Roman" w:eastAsia="仿宋_GB2312" w:cs="Times New Roman"/>
          <w:kern w:val="0"/>
          <w:sz w:val="32"/>
          <w:szCs w:val="32"/>
          <w:shd w:val="clear" w:color="auto" w:fill="auto"/>
          <w:lang w:val="en-US" w:eastAsia="zh-CN" w:bidi="ar"/>
        </w:rPr>
        <w:t>充电桩通电上线后，由充电运营商组织开展整体验收，验收合格后，将相关资料抄送</w:t>
      </w:r>
      <w:r>
        <w:rPr>
          <w:rFonts w:hint="eastAsia" w:ascii="Times New Roman" w:hAnsi="Times New Roman" w:eastAsia="仿宋_GB2312" w:cs="Times New Roman"/>
          <w:kern w:val="0"/>
          <w:sz w:val="32"/>
          <w:szCs w:val="32"/>
          <w:shd w:val="clear" w:color="auto" w:fill="auto"/>
          <w:lang w:val="en-US" w:eastAsia="zh-CN" w:bidi="ar"/>
        </w:rPr>
        <w:t>城（镇）建设管理部门</w:t>
      </w:r>
      <w:r>
        <w:rPr>
          <w:rFonts w:hint="default" w:ascii="Times New Roman" w:hAnsi="Times New Roman" w:eastAsia="仿宋_GB2312" w:cs="Times New Roman"/>
          <w:kern w:val="0"/>
          <w:sz w:val="32"/>
          <w:szCs w:val="32"/>
          <w:shd w:val="clear" w:color="auto" w:fill="auto"/>
          <w:lang w:val="en-US" w:eastAsia="zh-CN" w:bidi="ar"/>
        </w:rPr>
        <w:t>备案。​</w:t>
      </w:r>
    </w:p>
    <w:p w14:paraId="510D6A5B">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楷体_GB2312" w:cs="Times New Roman"/>
          <w:kern w:val="0"/>
          <w:sz w:val="32"/>
          <w:szCs w:val="32"/>
          <w:shd w:val="clear" w:color="auto" w:fill="auto"/>
          <w:lang w:val="en-US" w:eastAsia="zh-CN" w:bidi="ar"/>
        </w:rPr>
        <w:t>7.运营维护：</w:t>
      </w:r>
      <w:r>
        <w:rPr>
          <w:rFonts w:hint="default" w:ascii="Times New Roman" w:hAnsi="Times New Roman" w:eastAsia="仿宋_GB2312" w:cs="Times New Roman"/>
          <w:kern w:val="0"/>
          <w:sz w:val="32"/>
          <w:szCs w:val="32"/>
          <w:shd w:val="clear" w:color="auto" w:fill="auto"/>
          <w:lang w:val="en-US" w:eastAsia="zh-CN" w:bidi="ar"/>
        </w:rPr>
        <w:t>充电运营商作为充电桩投资建设主体，履行安全生产主体责任，负责充电设施的日常维护管理，承担相应安全管理责任。提供有偿充电服务的，需严格实行明码标价，接受社会监督。建设运营协议期满后</w:t>
      </w:r>
      <w:r>
        <w:rPr>
          <w:rFonts w:hint="eastAsia" w:ascii="Times New Roman" w:hAnsi="Times New Roman" w:eastAsia="仿宋_GB2312" w:cs="Times New Roman"/>
          <w:kern w:val="0"/>
          <w:sz w:val="32"/>
          <w:szCs w:val="32"/>
          <w:shd w:val="clear" w:color="auto" w:fill="auto"/>
          <w:lang w:val="en-US" w:eastAsia="zh-CN" w:bidi="ar"/>
        </w:rPr>
        <w:t>不再续约的</w:t>
      </w:r>
      <w:r>
        <w:rPr>
          <w:rFonts w:hint="default" w:ascii="Times New Roman" w:hAnsi="Times New Roman" w:eastAsia="仿宋_GB2312" w:cs="Times New Roman"/>
          <w:kern w:val="0"/>
          <w:sz w:val="32"/>
          <w:szCs w:val="32"/>
          <w:shd w:val="clear" w:color="auto" w:fill="auto"/>
          <w:lang w:val="en-US" w:eastAsia="zh-CN" w:bidi="ar"/>
        </w:rPr>
        <w:t>，</w:t>
      </w:r>
      <w:r>
        <w:rPr>
          <w:rFonts w:hint="eastAsia" w:ascii="Times New Roman" w:hAnsi="Times New Roman" w:eastAsia="仿宋_GB2312" w:cs="Times New Roman"/>
          <w:kern w:val="0"/>
          <w:sz w:val="32"/>
          <w:szCs w:val="32"/>
          <w:shd w:val="clear" w:color="auto" w:fill="auto"/>
          <w:lang w:val="en-US" w:eastAsia="zh-CN" w:bidi="ar"/>
        </w:rPr>
        <w:t>相关资产移交属地管理部门或按要求进行拆除，场地恢复原状</w:t>
      </w:r>
      <w:r>
        <w:rPr>
          <w:rFonts w:hint="default" w:ascii="Times New Roman" w:hAnsi="Times New Roman" w:eastAsia="仿宋_GB2312" w:cs="Times New Roman"/>
          <w:kern w:val="0"/>
          <w:sz w:val="32"/>
          <w:szCs w:val="32"/>
          <w:shd w:val="clear" w:color="auto" w:fill="auto"/>
          <w:lang w:val="en-US" w:eastAsia="zh-CN" w:bidi="ar"/>
        </w:rPr>
        <w:t>。</w:t>
      </w:r>
    </w:p>
    <w:p w14:paraId="7DB7112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7E0EBF7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0F3A8BA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18B2F44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231015B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0A9D1F0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5B25671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3837DED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312832C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4B0D071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5395C4D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631DE1B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0D13D2A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04B5091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0FBAF70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0737D21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43D2EFD0">
      <w:pPr>
        <w:wordWrap w:val="0"/>
        <w:autoSpaceDE w:val="0"/>
        <w:autoSpaceDN w:val="0"/>
        <w:spacing w:before="0" w:after="0" w:line="402" w:lineRule="auto"/>
        <w:jc w:val="center"/>
        <w:rPr>
          <w:rFonts w:hint="eastAsia" w:ascii="黑体" w:hAnsi="黑体" w:eastAsia="黑体" w:cs="黑体"/>
          <w:kern w:val="0"/>
          <w:sz w:val="32"/>
          <w:szCs w:val="32"/>
        </w:rPr>
      </w:pPr>
      <w:r>
        <w:rPr>
          <w:rFonts w:hint="eastAsia" w:ascii="黑体" w:hAnsi="黑体" w:eastAsia="黑体" w:cs="黑体"/>
          <w:b/>
          <w:color w:val="000000"/>
          <w:kern w:val="0"/>
          <w:sz w:val="32"/>
          <w:szCs w:val="32"/>
          <w:lang w:val="en-US" w:eastAsia="zh-CN"/>
        </w:rPr>
        <w:t>公共停车场</w:t>
      </w:r>
      <w:r>
        <w:rPr>
          <w:rFonts w:hint="eastAsia" w:ascii="黑体" w:hAnsi="黑体" w:eastAsia="黑体" w:cs="黑体"/>
          <w:b/>
          <w:color w:val="000000"/>
          <w:kern w:val="0"/>
          <w:sz w:val="32"/>
          <w:szCs w:val="32"/>
        </w:rPr>
        <w:t>公用充电桩建设管理流程图</w:t>
      </w:r>
    </w:p>
    <w:tbl>
      <w:tblPr>
        <w:tblStyle w:val="4"/>
        <w:tblW w:w="4999" w:type="pct"/>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919"/>
        <w:gridCol w:w="7395"/>
      </w:tblGrid>
      <w:tr w14:paraId="4EED040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60" w:hRule="atLeast"/>
        </w:trPr>
        <w:tc>
          <w:tcPr>
            <w:tcW w:w="553" w:type="pct"/>
            <w:tcBorders>
              <w:top w:val="single" w:color="000000" w:sz="4" w:space="0"/>
              <w:left w:val="single" w:color="000000" w:sz="4" w:space="0"/>
              <w:bottom w:val="single" w:color="000000" w:sz="4" w:space="0"/>
              <w:right w:val="single" w:color="000000" w:sz="4" w:space="0"/>
            </w:tcBorders>
            <w:vAlign w:val="top"/>
          </w:tcPr>
          <w:p w14:paraId="2B37B297">
            <w:pPr>
              <w:wordWrap w:val="0"/>
              <w:autoSpaceDE w:val="0"/>
              <w:autoSpaceDN w:val="0"/>
              <w:spacing w:before="0" w:after="0" w:line="239" w:lineRule="auto"/>
              <w:ind w:firstLine="0"/>
              <w:jc w:val="center"/>
              <w:rPr>
                <w:rFonts w:hint="eastAsia" w:ascii="仿宋_GB2312" w:hAnsi="仿宋_GB2312" w:eastAsia="仿宋_GB2312" w:cs="仿宋_GB2312"/>
                <w:color w:val="000000"/>
                <w:kern w:val="0"/>
                <w:sz w:val="24"/>
                <w:szCs w:val="24"/>
              </w:rPr>
            </w:pPr>
          </w:p>
          <w:p w14:paraId="060D2C19">
            <w:pPr>
              <w:wordWrap w:val="0"/>
              <w:autoSpaceDE w:val="0"/>
              <w:autoSpaceDN w:val="0"/>
              <w:spacing w:before="3" w:after="0" w:line="239"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签订</w:t>
            </w:r>
          </w:p>
          <w:p w14:paraId="272CE732">
            <w:pPr>
              <w:wordWrap w:val="0"/>
              <w:autoSpaceDE w:val="0"/>
              <w:autoSpaceDN w:val="0"/>
              <w:spacing w:before="101" w:after="0" w:line="239"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协议</w:t>
            </w:r>
          </w:p>
        </w:tc>
        <w:tc>
          <w:tcPr>
            <w:tcW w:w="4446" w:type="pct"/>
            <w:tcBorders>
              <w:top w:val="single" w:color="000000" w:sz="4" w:space="0"/>
              <w:left w:val="single" w:color="000000" w:sz="4" w:space="0"/>
              <w:bottom w:val="single" w:color="000000" w:sz="4" w:space="0"/>
              <w:right w:val="single" w:color="000000" w:sz="4" w:space="0"/>
            </w:tcBorders>
            <w:vAlign w:val="top"/>
          </w:tcPr>
          <w:p w14:paraId="0BC56993">
            <w:pPr>
              <w:wordWrap w:val="0"/>
              <w:autoSpaceDE w:val="0"/>
              <w:autoSpaceDN w:val="0"/>
              <w:spacing w:before="181" w:after="0" w:line="239" w:lineRule="auto"/>
              <w:ind w:right="60" w:firstLine="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eastAsia="zh-CN"/>
              </w:rPr>
              <w:t>1.</w:t>
            </w:r>
            <w:r>
              <w:rPr>
                <w:rFonts w:hint="eastAsia" w:ascii="仿宋_GB2312" w:hAnsi="仿宋_GB2312" w:eastAsia="仿宋_GB2312" w:cs="仿宋_GB2312"/>
                <w:color w:val="000000"/>
                <w:kern w:val="0"/>
                <w:sz w:val="24"/>
                <w:szCs w:val="24"/>
              </w:rPr>
              <w:t>充电运营商会同</w:t>
            </w:r>
            <w:r>
              <w:rPr>
                <w:rFonts w:hint="eastAsia" w:ascii="仿宋_GB2312" w:hAnsi="仿宋_GB2312" w:eastAsia="仿宋_GB2312" w:cs="仿宋_GB2312"/>
                <w:color w:val="000000"/>
                <w:kern w:val="0"/>
                <w:sz w:val="24"/>
                <w:szCs w:val="24"/>
                <w:lang w:val="en-US" w:eastAsia="zh-CN"/>
              </w:rPr>
              <w:t>公共停车场</w:t>
            </w:r>
            <w:r>
              <w:rPr>
                <w:rFonts w:hint="eastAsia" w:ascii="仿宋_GB2312" w:hAnsi="仿宋_GB2312" w:eastAsia="仿宋_GB2312" w:cs="仿宋_GB2312"/>
                <w:color w:val="000000"/>
                <w:kern w:val="0"/>
                <w:sz w:val="24"/>
                <w:szCs w:val="24"/>
              </w:rPr>
              <w:t>管理单位进行现场勘察，确认建设条件并将选址情况在</w:t>
            </w:r>
            <w:r>
              <w:rPr>
                <w:rFonts w:hint="eastAsia" w:ascii="仿宋_GB2312" w:hAnsi="仿宋_GB2312" w:eastAsia="仿宋_GB2312" w:cs="仿宋_GB2312"/>
                <w:color w:val="000000"/>
                <w:kern w:val="0"/>
                <w:sz w:val="24"/>
                <w:szCs w:val="24"/>
                <w:lang w:val="en-US" w:eastAsia="zh-CN"/>
              </w:rPr>
              <w:t>停车场</w:t>
            </w:r>
            <w:r>
              <w:rPr>
                <w:rFonts w:hint="eastAsia" w:ascii="仿宋_GB2312" w:hAnsi="仿宋_GB2312" w:eastAsia="仿宋_GB2312" w:cs="仿宋_GB2312"/>
                <w:color w:val="000000"/>
                <w:kern w:val="0"/>
                <w:sz w:val="24"/>
                <w:szCs w:val="24"/>
              </w:rPr>
              <w:t>进行公示，公示期不低于5天。</w:t>
            </w:r>
          </w:p>
          <w:p w14:paraId="15BBF0CA">
            <w:pPr>
              <w:wordWrap w:val="0"/>
              <w:autoSpaceDE w:val="0"/>
              <w:autoSpaceDN w:val="0"/>
              <w:spacing w:before="61" w:after="0" w:line="239" w:lineRule="auto"/>
              <w:ind w:firstLine="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eastAsia="zh-CN"/>
              </w:rPr>
              <w:t>2.</w:t>
            </w:r>
            <w:r>
              <w:rPr>
                <w:rFonts w:hint="eastAsia" w:ascii="仿宋_GB2312" w:hAnsi="仿宋_GB2312" w:eastAsia="仿宋_GB2312" w:cs="仿宋_GB2312"/>
                <w:color w:val="000000"/>
                <w:kern w:val="0"/>
                <w:sz w:val="24"/>
                <w:szCs w:val="24"/>
              </w:rPr>
              <w:t>充电运营商与</w:t>
            </w:r>
            <w:r>
              <w:rPr>
                <w:rFonts w:hint="eastAsia" w:ascii="仿宋_GB2312" w:hAnsi="仿宋_GB2312" w:eastAsia="仿宋_GB2312" w:cs="仿宋_GB2312"/>
                <w:color w:val="000000"/>
                <w:kern w:val="0"/>
                <w:sz w:val="24"/>
                <w:szCs w:val="24"/>
                <w:lang w:val="en-US" w:eastAsia="zh-CN"/>
              </w:rPr>
              <w:t>公共停车场</w:t>
            </w:r>
            <w:r>
              <w:rPr>
                <w:rFonts w:hint="eastAsia" w:ascii="仿宋_GB2312" w:hAnsi="仿宋_GB2312" w:eastAsia="仿宋_GB2312" w:cs="仿宋_GB2312"/>
                <w:color w:val="000000"/>
                <w:kern w:val="0"/>
                <w:sz w:val="24"/>
                <w:szCs w:val="24"/>
              </w:rPr>
              <w:t>管理单位签订建设运营协议，明确各方权责。</w:t>
            </w:r>
          </w:p>
        </w:tc>
      </w:tr>
      <w:tr w14:paraId="11FAF9CF">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280" w:hRule="atLeast"/>
        </w:trPr>
        <w:tc>
          <w:tcPr>
            <w:tcW w:w="553" w:type="pct"/>
            <w:tcBorders>
              <w:top w:val="single" w:color="000000" w:sz="4" w:space="0"/>
              <w:left w:val="single" w:color="000000" w:sz="4" w:space="0"/>
              <w:bottom w:val="single" w:color="000000" w:sz="4" w:space="0"/>
              <w:right w:val="single" w:color="000000" w:sz="4" w:space="0"/>
            </w:tcBorders>
            <w:vAlign w:val="top"/>
          </w:tcPr>
          <w:p w14:paraId="786C2F82">
            <w:pPr>
              <w:wordWrap w:val="0"/>
              <w:autoSpaceDE w:val="0"/>
              <w:autoSpaceDN w:val="0"/>
              <w:spacing w:before="0" w:after="0" w:line="239" w:lineRule="auto"/>
              <w:ind w:firstLine="0"/>
              <w:jc w:val="center"/>
              <w:rPr>
                <w:rFonts w:hint="eastAsia" w:ascii="仿宋_GB2312" w:hAnsi="仿宋_GB2312" w:eastAsia="仿宋_GB2312" w:cs="仿宋_GB2312"/>
                <w:color w:val="000000"/>
                <w:kern w:val="0"/>
                <w:sz w:val="24"/>
                <w:szCs w:val="24"/>
              </w:rPr>
            </w:pPr>
          </w:p>
          <w:p w14:paraId="00A1E42B">
            <w:pPr>
              <w:wordWrap w:val="0"/>
              <w:autoSpaceDE w:val="0"/>
              <w:autoSpaceDN w:val="0"/>
              <w:spacing w:before="0" w:after="0" w:line="239" w:lineRule="auto"/>
              <w:ind w:firstLine="0"/>
              <w:jc w:val="center"/>
              <w:rPr>
                <w:rFonts w:hint="eastAsia" w:ascii="仿宋_GB2312" w:hAnsi="仿宋_GB2312" w:eastAsia="仿宋_GB2312" w:cs="仿宋_GB2312"/>
                <w:color w:val="000000"/>
                <w:kern w:val="0"/>
                <w:sz w:val="24"/>
                <w:szCs w:val="24"/>
              </w:rPr>
            </w:pPr>
          </w:p>
          <w:p w14:paraId="759F2FA7">
            <w:pPr>
              <w:wordWrap w:val="0"/>
              <w:autoSpaceDE w:val="0"/>
              <w:autoSpaceDN w:val="0"/>
              <w:spacing w:before="225" w:after="0" w:line="239"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报装</w:t>
            </w:r>
          </w:p>
          <w:p w14:paraId="56D39A72">
            <w:pPr>
              <w:wordWrap w:val="0"/>
              <w:autoSpaceDE w:val="0"/>
              <w:autoSpaceDN w:val="0"/>
              <w:spacing w:before="101" w:after="0" w:line="239"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申请</w:t>
            </w:r>
          </w:p>
        </w:tc>
        <w:tc>
          <w:tcPr>
            <w:tcW w:w="4446" w:type="pct"/>
            <w:tcBorders>
              <w:top w:val="single" w:color="000000" w:sz="4" w:space="0"/>
              <w:left w:val="single" w:color="000000" w:sz="4" w:space="0"/>
              <w:bottom w:val="single" w:color="000000" w:sz="4" w:space="0"/>
              <w:right w:val="single" w:color="000000" w:sz="4" w:space="0"/>
            </w:tcBorders>
            <w:vAlign w:val="top"/>
          </w:tcPr>
          <w:p w14:paraId="61200291">
            <w:pPr>
              <w:wordWrap w:val="0"/>
              <w:autoSpaceDE w:val="0"/>
              <w:autoSpaceDN w:val="0"/>
              <w:spacing w:before="221" w:after="0" w:line="239" w:lineRule="auto"/>
              <w:ind w:firstLine="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充电运营商准备资料，提出报装申请：</w:t>
            </w:r>
          </w:p>
          <w:p w14:paraId="1D470188">
            <w:pPr>
              <w:wordWrap w:val="0"/>
              <w:autoSpaceDE w:val="0"/>
              <w:autoSpaceDN w:val="0"/>
              <w:spacing w:before="81" w:after="0" w:line="239" w:lineRule="auto"/>
              <w:ind w:firstLine="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eastAsia="zh-CN"/>
              </w:rPr>
              <w:t>1.</w:t>
            </w:r>
            <w:r>
              <w:rPr>
                <w:rFonts w:hint="eastAsia" w:ascii="仿宋_GB2312" w:hAnsi="仿宋_GB2312" w:eastAsia="仿宋_GB2312" w:cs="仿宋_GB2312"/>
                <w:color w:val="000000"/>
                <w:kern w:val="0"/>
                <w:sz w:val="24"/>
                <w:szCs w:val="24"/>
              </w:rPr>
              <w:t>运营商营业执照复印件（加盖运营商公章）；</w:t>
            </w:r>
          </w:p>
          <w:p w14:paraId="2C53067A">
            <w:pPr>
              <w:wordWrap w:val="0"/>
              <w:autoSpaceDE w:val="0"/>
              <w:autoSpaceDN w:val="0"/>
              <w:spacing w:before="81" w:after="0" w:line="239" w:lineRule="auto"/>
              <w:ind w:firstLine="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eastAsia="zh-CN"/>
              </w:rPr>
              <w:t>2.</w:t>
            </w:r>
            <w:r>
              <w:rPr>
                <w:rFonts w:hint="eastAsia" w:ascii="仿宋_GB2312" w:hAnsi="仿宋_GB2312" w:eastAsia="仿宋_GB2312" w:cs="仿宋_GB2312"/>
                <w:color w:val="000000"/>
                <w:kern w:val="0"/>
                <w:sz w:val="24"/>
                <w:szCs w:val="24"/>
              </w:rPr>
              <w:t>运营商法人代表身份证复印件（加盖运营商公章）；</w:t>
            </w:r>
          </w:p>
          <w:p w14:paraId="3D6DD67E">
            <w:pPr>
              <w:wordWrap w:val="0"/>
              <w:autoSpaceDE w:val="0"/>
              <w:autoSpaceDN w:val="0"/>
              <w:spacing w:before="81" w:after="0" w:line="239" w:lineRule="auto"/>
              <w:ind w:firstLine="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eastAsia="zh-CN"/>
              </w:rPr>
              <w:t>3.</w:t>
            </w:r>
            <w:r>
              <w:rPr>
                <w:rFonts w:hint="eastAsia" w:ascii="仿宋_GB2312" w:hAnsi="仿宋_GB2312" w:eastAsia="仿宋_GB2312" w:cs="仿宋_GB2312"/>
                <w:color w:val="000000"/>
                <w:kern w:val="0"/>
                <w:sz w:val="24"/>
                <w:szCs w:val="24"/>
              </w:rPr>
              <w:t>经办人员身份证复印件以及授权委托书原件（加盖运营商公章）；</w:t>
            </w:r>
          </w:p>
          <w:p w14:paraId="05166488">
            <w:pPr>
              <w:wordWrap w:val="0"/>
              <w:autoSpaceDE w:val="0"/>
              <w:autoSpaceDN w:val="0"/>
              <w:spacing w:before="81" w:after="0" w:line="239" w:lineRule="auto"/>
              <w:ind w:right="220" w:firstLine="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4</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 xml:space="preserve"> 公共停车场</w:t>
            </w:r>
            <w:r>
              <w:rPr>
                <w:rFonts w:hint="eastAsia" w:ascii="仿宋_GB2312" w:hAnsi="仿宋_GB2312" w:eastAsia="仿宋_GB2312" w:cs="仿宋_GB2312"/>
                <w:color w:val="000000"/>
                <w:kern w:val="0"/>
                <w:sz w:val="24"/>
                <w:szCs w:val="24"/>
              </w:rPr>
              <w:t>管理单位与运营商签订的同意报装接电的合作协议复印件（加盖运营商公章）或管理单位出具的《电力接入说明》并盖章。</w:t>
            </w:r>
          </w:p>
        </w:tc>
      </w:tr>
      <w:tr w14:paraId="03663FF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080" w:hRule="atLeast"/>
        </w:trPr>
        <w:tc>
          <w:tcPr>
            <w:tcW w:w="553" w:type="pct"/>
            <w:tcBorders>
              <w:top w:val="single" w:color="000000" w:sz="4" w:space="0"/>
              <w:left w:val="single" w:color="000000" w:sz="4" w:space="0"/>
              <w:bottom w:val="single" w:color="000000" w:sz="4" w:space="0"/>
              <w:right w:val="single" w:color="000000" w:sz="4" w:space="0"/>
            </w:tcBorders>
            <w:vAlign w:val="top"/>
          </w:tcPr>
          <w:p w14:paraId="37772205">
            <w:pPr>
              <w:wordWrap w:val="0"/>
              <w:autoSpaceDE w:val="0"/>
              <w:autoSpaceDN w:val="0"/>
              <w:spacing w:before="0" w:after="0" w:line="239" w:lineRule="auto"/>
              <w:ind w:firstLine="0"/>
              <w:jc w:val="center"/>
              <w:rPr>
                <w:rFonts w:hint="eastAsia" w:ascii="仿宋_GB2312" w:hAnsi="仿宋_GB2312" w:eastAsia="仿宋_GB2312" w:cs="仿宋_GB2312"/>
                <w:color w:val="000000"/>
                <w:kern w:val="0"/>
                <w:sz w:val="24"/>
                <w:szCs w:val="24"/>
              </w:rPr>
            </w:pPr>
          </w:p>
          <w:p w14:paraId="4F17E37B">
            <w:pPr>
              <w:wordWrap w:val="0"/>
              <w:autoSpaceDE w:val="0"/>
              <w:autoSpaceDN w:val="0"/>
              <w:spacing w:before="0" w:after="0" w:line="239" w:lineRule="auto"/>
              <w:ind w:firstLine="0"/>
              <w:jc w:val="center"/>
              <w:rPr>
                <w:rFonts w:hint="eastAsia" w:ascii="仿宋_GB2312" w:hAnsi="仿宋_GB2312" w:eastAsia="仿宋_GB2312" w:cs="仿宋_GB2312"/>
                <w:color w:val="000000"/>
                <w:kern w:val="0"/>
                <w:sz w:val="24"/>
                <w:szCs w:val="24"/>
              </w:rPr>
            </w:pPr>
          </w:p>
          <w:p w14:paraId="461395C4">
            <w:pPr>
              <w:wordWrap w:val="0"/>
              <w:autoSpaceDE w:val="0"/>
              <w:autoSpaceDN w:val="0"/>
              <w:spacing w:before="185" w:after="0" w:line="239"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现场</w:t>
            </w:r>
          </w:p>
          <w:p w14:paraId="6D9CBA62">
            <w:pPr>
              <w:wordWrap w:val="0"/>
              <w:autoSpaceDE w:val="0"/>
              <w:autoSpaceDN w:val="0"/>
              <w:spacing w:before="81" w:after="0" w:line="239"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查勘</w:t>
            </w:r>
          </w:p>
        </w:tc>
        <w:tc>
          <w:tcPr>
            <w:tcW w:w="4446" w:type="pct"/>
            <w:tcBorders>
              <w:top w:val="single" w:color="000000" w:sz="4" w:space="0"/>
              <w:left w:val="single" w:color="000000" w:sz="4" w:space="0"/>
              <w:bottom w:val="single" w:color="000000" w:sz="4" w:space="0"/>
              <w:right w:val="single" w:color="000000" w:sz="4" w:space="0"/>
            </w:tcBorders>
            <w:vAlign w:val="top"/>
          </w:tcPr>
          <w:p w14:paraId="0D2A2BD2">
            <w:pPr>
              <w:wordWrap w:val="0"/>
              <w:autoSpaceDE w:val="0"/>
              <w:autoSpaceDN w:val="0"/>
              <w:spacing w:before="161" w:after="0" w:line="239" w:lineRule="auto"/>
              <w:ind w:right="80" w:firstLine="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电网企业履行“一次告知”义务，受理、审核报装申请资料、受理申请资料后，3个工作</w:t>
            </w:r>
            <w:r>
              <w:rPr>
                <w:rFonts w:hint="eastAsia" w:ascii="仿宋_GB2312" w:hAnsi="仿宋_GB2312" w:eastAsia="仿宋_GB2312" w:cs="仿宋_GB2312"/>
                <w:color w:val="000000"/>
                <w:kern w:val="0"/>
                <w:sz w:val="24"/>
                <w:szCs w:val="24"/>
                <w:lang w:eastAsia="zh-CN"/>
              </w:rPr>
              <w:t>日内</w:t>
            </w:r>
            <w:r>
              <w:rPr>
                <w:rFonts w:hint="eastAsia" w:ascii="仿宋_GB2312" w:hAnsi="仿宋_GB2312" w:eastAsia="仿宋_GB2312" w:cs="仿宋_GB2312"/>
                <w:color w:val="000000"/>
                <w:kern w:val="0"/>
                <w:sz w:val="24"/>
                <w:szCs w:val="24"/>
              </w:rPr>
              <w:t>进行现场查勘，明确接入电源点及表计安装点位。</w:t>
            </w:r>
          </w:p>
          <w:p w14:paraId="5CFF66C6">
            <w:pPr>
              <w:wordWrap w:val="0"/>
              <w:autoSpaceDE w:val="0"/>
              <w:autoSpaceDN w:val="0"/>
              <w:spacing w:before="0" w:after="0" w:line="233" w:lineRule="auto"/>
              <w:ind w:right="20" w:firstLine="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现有配电设施确实无法满足自用桩用电负荷需求的，产权为电网企业的，由供电企业提出解决方案；产权为用电用户的，由用电用户提供解决方案（按照统建统管方式建设的，由用电用户会同充电运营商提供解决方案），支持应用智能充电技术。</w:t>
            </w:r>
          </w:p>
        </w:tc>
      </w:tr>
      <w:tr w14:paraId="19E8122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60" w:hRule="atLeast"/>
        </w:trPr>
        <w:tc>
          <w:tcPr>
            <w:tcW w:w="553" w:type="pct"/>
            <w:tcBorders>
              <w:top w:val="single" w:color="000000" w:sz="4" w:space="0"/>
              <w:left w:val="single" w:color="000000" w:sz="4" w:space="0"/>
              <w:bottom w:val="single" w:color="000000" w:sz="4" w:space="0"/>
              <w:right w:val="single" w:color="000000" w:sz="4" w:space="0"/>
            </w:tcBorders>
            <w:vAlign w:val="top"/>
          </w:tcPr>
          <w:p w14:paraId="2A82C633">
            <w:pPr>
              <w:wordWrap w:val="0"/>
              <w:autoSpaceDE w:val="0"/>
              <w:autoSpaceDN w:val="0"/>
              <w:spacing w:before="0" w:after="0" w:line="239" w:lineRule="auto"/>
              <w:ind w:firstLine="0"/>
              <w:jc w:val="center"/>
              <w:rPr>
                <w:rFonts w:hint="eastAsia" w:ascii="仿宋_GB2312" w:hAnsi="仿宋_GB2312" w:eastAsia="仿宋_GB2312" w:cs="仿宋_GB2312"/>
                <w:color w:val="000000"/>
                <w:kern w:val="0"/>
                <w:sz w:val="24"/>
                <w:szCs w:val="24"/>
              </w:rPr>
            </w:pPr>
          </w:p>
          <w:p w14:paraId="74F28134">
            <w:pPr>
              <w:wordWrap w:val="0"/>
              <w:autoSpaceDE w:val="0"/>
              <w:autoSpaceDN w:val="0"/>
              <w:spacing w:before="83" w:after="0" w:line="239"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施工</w:t>
            </w:r>
          </w:p>
          <w:p w14:paraId="483A2AF2">
            <w:pPr>
              <w:wordWrap w:val="0"/>
              <w:autoSpaceDE w:val="0"/>
              <w:autoSpaceDN w:val="0"/>
              <w:spacing w:before="81" w:after="0" w:line="239"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建设</w:t>
            </w:r>
          </w:p>
        </w:tc>
        <w:tc>
          <w:tcPr>
            <w:tcW w:w="4446" w:type="pct"/>
            <w:tcBorders>
              <w:top w:val="single" w:color="000000" w:sz="4" w:space="0"/>
              <w:left w:val="single" w:color="000000" w:sz="4" w:space="0"/>
              <w:bottom w:val="single" w:color="000000" w:sz="4" w:space="0"/>
              <w:right w:val="single" w:color="000000" w:sz="4" w:space="0"/>
            </w:tcBorders>
            <w:vAlign w:val="top"/>
          </w:tcPr>
          <w:p w14:paraId="47922124">
            <w:pPr>
              <w:wordWrap w:val="0"/>
              <w:autoSpaceDE w:val="0"/>
              <w:autoSpaceDN w:val="0"/>
              <w:spacing w:before="0" w:after="0" w:line="239" w:lineRule="auto"/>
              <w:ind w:firstLine="0"/>
              <w:jc w:val="both"/>
              <w:rPr>
                <w:rFonts w:hint="eastAsia" w:ascii="仿宋_GB2312" w:hAnsi="仿宋_GB2312" w:eastAsia="仿宋_GB2312" w:cs="仿宋_GB2312"/>
                <w:color w:val="000000"/>
                <w:kern w:val="0"/>
                <w:sz w:val="24"/>
                <w:szCs w:val="24"/>
              </w:rPr>
            </w:pPr>
          </w:p>
          <w:p w14:paraId="2E1A8F7B">
            <w:pPr>
              <w:wordWrap w:val="0"/>
              <w:autoSpaceDE w:val="0"/>
              <w:autoSpaceDN w:val="0"/>
              <w:spacing w:before="81" w:after="0" w:line="239" w:lineRule="auto"/>
              <w:ind w:firstLine="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充电运营商组织具有充电设施安装资质的施工单位，按照相应施工规范、技术标准以及安全管理规定，组织开展工程施工建设。</w:t>
            </w:r>
          </w:p>
        </w:tc>
      </w:tr>
      <w:tr w14:paraId="74AB16F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60" w:hRule="atLeast"/>
        </w:trPr>
        <w:tc>
          <w:tcPr>
            <w:tcW w:w="553" w:type="pct"/>
            <w:tcBorders>
              <w:top w:val="single" w:color="000000" w:sz="4" w:space="0"/>
              <w:left w:val="single" w:color="000000" w:sz="4" w:space="0"/>
              <w:bottom w:val="single" w:color="000000" w:sz="4" w:space="0"/>
              <w:right w:val="single" w:color="000000" w:sz="4" w:space="0"/>
            </w:tcBorders>
            <w:vAlign w:val="top"/>
          </w:tcPr>
          <w:p w14:paraId="039B8787">
            <w:pPr>
              <w:wordWrap w:val="0"/>
              <w:autoSpaceDE w:val="0"/>
              <w:autoSpaceDN w:val="0"/>
              <w:spacing w:before="63" w:after="0" w:line="239" w:lineRule="auto"/>
              <w:jc w:val="center"/>
              <w:rPr>
                <w:rFonts w:hint="eastAsia" w:ascii="仿宋_GB2312" w:hAnsi="仿宋_GB2312" w:eastAsia="仿宋_GB2312" w:cs="仿宋_GB2312"/>
                <w:color w:val="000000"/>
                <w:kern w:val="0"/>
                <w:sz w:val="24"/>
                <w:szCs w:val="24"/>
              </w:rPr>
            </w:pPr>
          </w:p>
          <w:p w14:paraId="4D74AA6F">
            <w:pPr>
              <w:wordWrap w:val="0"/>
              <w:autoSpaceDE w:val="0"/>
              <w:autoSpaceDN w:val="0"/>
              <w:spacing w:before="63" w:after="0" w:line="239"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装表</w:t>
            </w:r>
          </w:p>
          <w:p w14:paraId="45227E89">
            <w:pPr>
              <w:wordWrap w:val="0"/>
              <w:autoSpaceDE w:val="0"/>
              <w:autoSpaceDN w:val="0"/>
              <w:spacing w:before="61" w:after="0" w:line="239"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接电</w:t>
            </w:r>
          </w:p>
        </w:tc>
        <w:tc>
          <w:tcPr>
            <w:tcW w:w="4446" w:type="pct"/>
            <w:tcBorders>
              <w:top w:val="single" w:color="000000" w:sz="4" w:space="0"/>
              <w:left w:val="single" w:color="000000" w:sz="4" w:space="0"/>
              <w:bottom w:val="single" w:color="000000" w:sz="4" w:space="0"/>
              <w:right w:val="single" w:color="000000" w:sz="4" w:space="0"/>
            </w:tcBorders>
            <w:vAlign w:val="top"/>
          </w:tcPr>
          <w:p w14:paraId="02A29BA6">
            <w:pPr>
              <w:wordWrap w:val="0"/>
              <w:autoSpaceDE w:val="0"/>
              <w:autoSpaceDN w:val="0"/>
              <w:spacing w:before="0" w:after="0" w:line="239" w:lineRule="auto"/>
              <w:ind w:firstLine="0"/>
              <w:jc w:val="both"/>
              <w:rPr>
                <w:rFonts w:hint="eastAsia" w:ascii="仿宋_GB2312" w:hAnsi="仿宋_GB2312" w:eastAsia="仿宋_GB2312" w:cs="仿宋_GB2312"/>
                <w:color w:val="000000"/>
                <w:kern w:val="0"/>
                <w:sz w:val="24"/>
                <w:szCs w:val="24"/>
              </w:rPr>
            </w:pPr>
          </w:p>
          <w:p w14:paraId="1A56516D">
            <w:pPr>
              <w:wordWrap w:val="0"/>
              <w:autoSpaceDE w:val="0"/>
              <w:autoSpaceDN w:val="0"/>
              <w:spacing w:before="63" w:after="0" w:line="239" w:lineRule="auto"/>
              <w:ind w:firstLine="8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电力工程施工完成后，电网企业3个工作日内完成装表接电。</w:t>
            </w:r>
          </w:p>
        </w:tc>
      </w:tr>
      <w:tr w14:paraId="26136E4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20" w:hRule="atLeast"/>
        </w:trPr>
        <w:tc>
          <w:tcPr>
            <w:tcW w:w="553" w:type="pct"/>
            <w:tcBorders>
              <w:top w:val="single" w:color="000000" w:sz="4" w:space="0"/>
              <w:left w:val="single" w:color="000000" w:sz="4" w:space="0"/>
              <w:bottom w:val="single" w:color="000000" w:sz="4" w:space="0"/>
              <w:right w:val="single" w:color="000000" w:sz="4" w:space="0"/>
            </w:tcBorders>
            <w:vAlign w:val="top"/>
          </w:tcPr>
          <w:p w14:paraId="17951D45">
            <w:pPr>
              <w:wordWrap w:val="0"/>
              <w:autoSpaceDE w:val="0"/>
              <w:autoSpaceDN w:val="0"/>
              <w:spacing w:before="43" w:after="0" w:line="239"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项目</w:t>
            </w:r>
          </w:p>
          <w:p w14:paraId="29B8E20D">
            <w:pPr>
              <w:wordWrap w:val="0"/>
              <w:autoSpaceDE w:val="0"/>
              <w:autoSpaceDN w:val="0"/>
              <w:spacing w:before="61" w:after="0" w:line="239"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验收</w:t>
            </w:r>
          </w:p>
        </w:tc>
        <w:tc>
          <w:tcPr>
            <w:tcW w:w="4446" w:type="pct"/>
            <w:tcBorders>
              <w:top w:val="single" w:color="000000" w:sz="4" w:space="0"/>
              <w:left w:val="single" w:color="000000" w:sz="4" w:space="0"/>
              <w:bottom w:val="single" w:color="000000" w:sz="4" w:space="0"/>
              <w:right w:val="single" w:color="000000" w:sz="4" w:space="0"/>
            </w:tcBorders>
            <w:vAlign w:val="top"/>
          </w:tcPr>
          <w:p w14:paraId="211609D3">
            <w:pPr>
              <w:wordWrap w:val="0"/>
              <w:autoSpaceDE w:val="0"/>
              <w:autoSpaceDN w:val="0"/>
              <w:spacing w:before="0" w:after="0" w:line="239" w:lineRule="auto"/>
              <w:ind w:firstLine="0"/>
              <w:jc w:val="both"/>
              <w:rPr>
                <w:rFonts w:hint="eastAsia" w:ascii="仿宋_GB2312" w:hAnsi="仿宋_GB2312" w:eastAsia="仿宋_GB2312" w:cs="仿宋_GB2312"/>
                <w:color w:val="000000"/>
                <w:kern w:val="0"/>
                <w:sz w:val="24"/>
                <w:szCs w:val="24"/>
              </w:rPr>
            </w:pPr>
          </w:p>
          <w:p w14:paraId="12EF57B3">
            <w:pPr>
              <w:wordWrap w:val="0"/>
              <w:autoSpaceDE w:val="0"/>
              <w:autoSpaceDN w:val="0"/>
              <w:spacing w:before="23" w:after="0" w:line="239" w:lineRule="auto"/>
              <w:ind w:firstLine="4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项目通电上线后，运营商组织整体验收，相关资料留存备查。</w:t>
            </w:r>
          </w:p>
        </w:tc>
      </w:tr>
      <w:tr w14:paraId="054DC24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80" w:hRule="atLeast"/>
        </w:trPr>
        <w:tc>
          <w:tcPr>
            <w:tcW w:w="553" w:type="pct"/>
            <w:tcBorders>
              <w:top w:val="single" w:color="000000" w:sz="4" w:space="0"/>
              <w:left w:val="single" w:color="000000" w:sz="4" w:space="0"/>
              <w:bottom w:val="single" w:color="000000" w:sz="4" w:space="0"/>
              <w:right w:val="single" w:color="000000" w:sz="4" w:space="0"/>
            </w:tcBorders>
            <w:vAlign w:val="top"/>
          </w:tcPr>
          <w:p w14:paraId="734DE611">
            <w:pPr>
              <w:wordWrap w:val="0"/>
              <w:autoSpaceDE w:val="0"/>
              <w:autoSpaceDN w:val="0"/>
              <w:spacing w:before="0" w:after="0" w:line="239" w:lineRule="auto"/>
              <w:ind w:firstLine="0"/>
              <w:jc w:val="center"/>
              <w:rPr>
                <w:rFonts w:hint="eastAsia" w:ascii="仿宋_GB2312" w:hAnsi="仿宋_GB2312" w:eastAsia="仿宋_GB2312" w:cs="仿宋_GB2312"/>
                <w:color w:val="000000"/>
                <w:kern w:val="0"/>
                <w:sz w:val="24"/>
                <w:szCs w:val="24"/>
              </w:rPr>
            </w:pPr>
          </w:p>
          <w:p w14:paraId="673F626F">
            <w:pPr>
              <w:wordWrap w:val="0"/>
              <w:autoSpaceDE w:val="0"/>
              <w:autoSpaceDN w:val="0"/>
              <w:spacing w:before="43" w:after="0" w:line="239"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运营</w:t>
            </w:r>
          </w:p>
          <w:p w14:paraId="43C81781">
            <w:pPr>
              <w:wordWrap w:val="0"/>
              <w:autoSpaceDE w:val="0"/>
              <w:autoSpaceDN w:val="0"/>
              <w:spacing w:before="81" w:after="0" w:line="239" w:lineRule="auto"/>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维护</w:t>
            </w:r>
          </w:p>
        </w:tc>
        <w:tc>
          <w:tcPr>
            <w:tcW w:w="4446" w:type="pct"/>
            <w:tcBorders>
              <w:top w:val="single" w:color="000000" w:sz="4" w:space="0"/>
              <w:left w:val="single" w:color="000000" w:sz="4" w:space="0"/>
              <w:bottom w:val="single" w:color="000000" w:sz="4" w:space="0"/>
              <w:right w:val="single" w:color="000000" w:sz="4" w:space="0"/>
            </w:tcBorders>
            <w:vAlign w:val="top"/>
          </w:tcPr>
          <w:p w14:paraId="5E4B8D50">
            <w:pPr>
              <w:wordWrap w:val="0"/>
              <w:autoSpaceDE w:val="0"/>
              <w:autoSpaceDN w:val="0"/>
              <w:spacing w:before="0" w:after="0" w:line="233" w:lineRule="auto"/>
              <w:ind w:right="20" w:firstLine="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充电运营商作为充电设施投资建设主体，履行安全生产主体责任，负责充电设施日常维护管理，承担相应安全管理责任。提供有偿服务的，实行明码标价。</w:t>
            </w:r>
            <w:r>
              <w:rPr>
                <w:rFonts w:hint="default" w:ascii="仿宋_GB2312" w:hAnsi="仿宋_GB2312" w:eastAsia="仿宋_GB2312" w:cs="仿宋_GB2312"/>
                <w:color w:val="000000"/>
                <w:kern w:val="0"/>
                <w:sz w:val="24"/>
                <w:szCs w:val="24"/>
                <w:lang w:val="en-US" w:eastAsia="zh-CN"/>
              </w:rPr>
              <w:t>建设运营协议期满后</w:t>
            </w:r>
            <w:r>
              <w:rPr>
                <w:rFonts w:hint="eastAsia" w:ascii="仿宋_GB2312" w:hAnsi="仿宋_GB2312" w:eastAsia="仿宋_GB2312" w:cs="仿宋_GB2312"/>
                <w:color w:val="000000"/>
                <w:kern w:val="0"/>
                <w:sz w:val="24"/>
                <w:szCs w:val="24"/>
                <w:lang w:val="en-US" w:eastAsia="zh-CN"/>
              </w:rPr>
              <w:t>不再续约的</w:t>
            </w:r>
            <w:r>
              <w:rPr>
                <w:rFonts w:hint="default"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kern w:val="0"/>
                <w:sz w:val="24"/>
                <w:szCs w:val="24"/>
                <w:lang w:val="en-US" w:eastAsia="zh-CN"/>
              </w:rPr>
              <w:t>相关资产移交属地管理部门或按要求进行拆除，场地恢复原状</w:t>
            </w:r>
            <w:r>
              <w:rPr>
                <w:rFonts w:hint="default" w:ascii="仿宋_GB2312" w:hAnsi="仿宋_GB2312" w:eastAsia="仿宋_GB2312" w:cs="仿宋_GB2312"/>
                <w:color w:val="000000"/>
                <w:kern w:val="0"/>
                <w:sz w:val="24"/>
                <w:szCs w:val="24"/>
                <w:lang w:val="en-US" w:eastAsia="zh-CN"/>
              </w:rPr>
              <w:t>。</w:t>
            </w:r>
          </w:p>
        </w:tc>
      </w:tr>
    </w:tbl>
    <w:p w14:paraId="179D401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both"/>
        <w:textAlignment w:val="auto"/>
        <w:rPr>
          <w:rFonts w:hint="eastAsia" w:ascii="仿宋_GB2312" w:hAnsi="仿宋_GB2312" w:eastAsia="仿宋_GB2312" w:cs="仿宋_GB2312"/>
          <w:kern w:val="0"/>
          <w:sz w:val="32"/>
          <w:szCs w:val="32"/>
          <w:shd w:val="clear" w:color="auto" w:fill="auto"/>
          <w:lang w:val="en-US" w:eastAsia="zh-CN" w:bidi="ar"/>
        </w:rPr>
      </w:pPr>
    </w:p>
    <w:p w14:paraId="2EBAC5E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both"/>
        <w:textAlignment w:val="auto"/>
        <w:rPr>
          <w:rFonts w:hint="eastAsia" w:ascii="仿宋_GB2312" w:hAnsi="仿宋_GB2312" w:eastAsia="仿宋_GB2312" w:cs="仿宋_GB2312"/>
          <w:kern w:val="0"/>
          <w:sz w:val="32"/>
          <w:szCs w:val="32"/>
          <w:shd w:val="clear" w:color="auto" w:fill="auto"/>
          <w:lang w:val="en-US" w:eastAsia="zh-CN" w:bidi="ar"/>
        </w:rPr>
      </w:pPr>
    </w:p>
    <w:p w14:paraId="487BC9E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方正小标宋简体" w:hAnsi="方正小标宋简体" w:eastAsia="方正小标宋简体" w:cs="方正小标宋简体"/>
          <w:kern w:val="0"/>
          <w:sz w:val="44"/>
          <w:szCs w:val="44"/>
          <w:shd w:val="clear" w:color="auto" w:fill="auto"/>
          <w:lang w:val="en-US" w:eastAsia="zh-CN" w:bidi="ar"/>
        </w:rPr>
      </w:pPr>
    </w:p>
    <w:p w14:paraId="0D141380">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eastAsia="黑体" w:cs="Times New Roman"/>
          <w:kern w:val="0"/>
          <w:sz w:val="28"/>
          <w:szCs w:val="28"/>
          <w:shd w:val="clear" w:color="auto" w:fill="auto"/>
          <w:lang w:val="en-US" w:eastAsia="zh-CN" w:bidi="ar"/>
        </w:rPr>
      </w:pPr>
      <w:r>
        <w:rPr>
          <w:rFonts w:hint="eastAsia" w:ascii="黑体" w:hAnsi="黑体" w:eastAsia="黑体" w:cs="黑体"/>
          <w:kern w:val="0"/>
          <w:sz w:val="28"/>
          <w:szCs w:val="28"/>
          <w:shd w:val="clear" w:color="auto" w:fill="auto"/>
          <w:lang w:val="en-US" w:eastAsia="zh-CN" w:bidi="ar"/>
        </w:rPr>
        <w:t>附件</w:t>
      </w:r>
      <w:r>
        <w:rPr>
          <w:rFonts w:hint="default" w:ascii="Times New Roman" w:hAnsi="Times New Roman" w:eastAsia="黑体" w:cs="Times New Roman"/>
          <w:kern w:val="0"/>
          <w:sz w:val="28"/>
          <w:szCs w:val="28"/>
          <w:shd w:val="clear" w:color="auto" w:fill="auto"/>
          <w:lang w:val="en-US" w:eastAsia="zh-CN" w:bidi="ar"/>
        </w:rPr>
        <w:t>2</w:t>
      </w:r>
    </w:p>
    <w:p w14:paraId="1844961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eastAsia="黑体" w:cs="Times New Roman"/>
          <w:kern w:val="0"/>
          <w:sz w:val="28"/>
          <w:szCs w:val="28"/>
          <w:shd w:val="clear" w:color="auto" w:fill="auto"/>
          <w:lang w:val="en-US" w:eastAsia="zh-CN" w:bidi="ar"/>
        </w:rPr>
      </w:pPr>
    </w:p>
    <w:p w14:paraId="0FA1C9D0">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kern w:val="0"/>
          <w:sz w:val="44"/>
          <w:szCs w:val="44"/>
          <w:shd w:val="clear" w:color="auto" w:fill="auto"/>
          <w:lang w:val="en-US" w:eastAsia="zh-CN" w:bidi="ar"/>
        </w:rPr>
      </w:pPr>
      <w:r>
        <w:rPr>
          <w:rFonts w:hint="eastAsia" w:ascii="方正小标宋简体" w:hAnsi="方正小标宋简体" w:eastAsia="方正小标宋简体" w:cs="方正小标宋简体"/>
          <w:kern w:val="0"/>
          <w:sz w:val="44"/>
          <w:szCs w:val="44"/>
          <w:shd w:val="clear" w:color="auto" w:fill="auto"/>
          <w:lang w:val="en-US" w:eastAsia="zh-CN" w:bidi="ar"/>
        </w:rPr>
        <w:t>既有小区公用充电桩建设管理流程</w:t>
      </w:r>
    </w:p>
    <w:p w14:paraId="714C3F6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kern w:val="0"/>
          <w:sz w:val="32"/>
          <w:szCs w:val="32"/>
          <w:shd w:val="clear" w:color="auto" w:fill="auto"/>
          <w:lang w:val="en-US" w:eastAsia="zh-CN" w:bidi="ar"/>
        </w:rPr>
      </w:pPr>
    </w:p>
    <w:p w14:paraId="2CF64D9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kern w:val="0"/>
          <w:sz w:val="32"/>
          <w:szCs w:val="32"/>
          <w:shd w:val="clear" w:color="auto" w:fill="auto"/>
          <w:lang w:val="en-US" w:eastAsia="zh-CN" w:bidi="ar"/>
        </w:rPr>
      </w:pPr>
      <w:r>
        <w:rPr>
          <w:rFonts w:hint="eastAsia" w:ascii="黑体" w:hAnsi="黑体" w:eastAsia="黑体" w:cs="黑体"/>
          <w:kern w:val="0"/>
          <w:sz w:val="32"/>
          <w:szCs w:val="32"/>
          <w:shd w:val="clear" w:color="auto" w:fill="auto"/>
          <w:lang w:val="en-US" w:eastAsia="zh-CN" w:bidi="ar"/>
        </w:rPr>
        <w:t>一、既有小区建设公用充电桩须符合以下条件</w:t>
      </w:r>
    </w:p>
    <w:p w14:paraId="152ED61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16"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spacing w:val="-6"/>
          <w:kern w:val="0"/>
          <w:sz w:val="32"/>
          <w:szCs w:val="32"/>
          <w:shd w:val="clear" w:color="auto" w:fill="auto"/>
          <w:lang w:val="en-US" w:eastAsia="zh-CN" w:bidi="ar"/>
        </w:rPr>
        <w:t>1.</w:t>
      </w:r>
      <w:r>
        <w:rPr>
          <w:rFonts w:hint="default" w:ascii="Times New Roman" w:hAnsi="Times New Roman" w:eastAsia="楷体_GB2312" w:cs="Times New Roman"/>
          <w:spacing w:val="-6"/>
          <w:kern w:val="0"/>
          <w:sz w:val="32"/>
          <w:szCs w:val="32"/>
          <w:shd w:val="clear" w:color="auto" w:fill="auto"/>
          <w:lang w:val="en-US" w:eastAsia="zh-CN" w:bidi="ar"/>
        </w:rPr>
        <w:t>车位条件。</w:t>
      </w:r>
      <w:r>
        <w:rPr>
          <w:rFonts w:hint="default" w:ascii="Times New Roman" w:hAnsi="Times New Roman" w:eastAsia="仿宋_GB2312" w:cs="Times New Roman"/>
          <w:spacing w:val="-6"/>
          <w:kern w:val="0"/>
          <w:sz w:val="32"/>
          <w:szCs w:val="32"/>
          <w:shd w:val="clear" w:color="auto" w:fill="auto"/>
          <w:lang w:val="en-US" w:eastAsia="zh-CN" w:bidi="ar"/>
        </w:rPr>
        <w:t>小区具备建设公用充电桩所需的公共车位（包括人防车位、业主共有车位、其他可建设公用桩的车位</w:t>
      </w:r>
      <w:r>
        <w:rPr>
          <w:rFonts w:hint="default" w:ascii="Times New Roman" w:hAnsi="Times New Roman" w:eastAsia="仿宋_GB2312" w:cs="Times New Roman"/>
          <w:kern w:val="0"/>
          <w:sz w:val="32"/>
          <w:szCs w:val="32"/>
          <w:shd w:val="clear" w:color="auto" w:fill="auto"/>
          <w:lang w:val="en-US" w:eastAsia="zh-CN" w:bidi="ar"/>
        </w:rPr>
        <w:t>等）。</w:t>
      </w:r>
    </w:p>
    <w:p w14:paraId="5118472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2.</w:t>
      </w:r>
      <w:r>
        <w:rPr>
          <w:rFonts w:hint="default" w:ascii="Times New Roman" w:hAnsi="Times New Roman" w:eastAsia="楷体_GB2312" w:cs="Times New Roman"/>
          <w:kern w:val="0"/>
          <w:sz w:val="32"/>
          <w:szCs w:val="32"/>
          <w:shd w:val="clear" w:color="auto" w:fill="auto"/>
          <w:lang w:val="en-US" w:eastAsia="zh-CN" w:bidi="ar"/>
        </w:rPr>
        <w:t>电力容量。</w:t>
      </w:r>
      <w:r>
        <w:rPr>
          <w:rFonts w:hint="default" w:ascii="Times New Roman" w:hAnsi="Times New Roman" w:eastAsia="仿宋_GB2312" w:cs="Times New Roman"/>
          <w:kern w:val="0"/>
          <w:sz w:val="32"/>
          <w:szCs w:val="32"/>
          <w:shd w:val="clear" w:color="auto" w:fill="auto"/>
          <w:lang w:val="en-US" w:eastAsia="zh-CN" w:bidi="ar"/>
        </w:rPr>
        <w:t>小区剩余电力变配电容量能够满足充电桩用电负荷需求；按本工作实施方案要求报装接入，不满足的，须采用智能有序充电方式建设或开展小区变压器增容，待改造完成满足接入条件后再进行充电桩报装接电，合计新增容量超过160kW后应由充电运营投资方建设配电设施，支持优先应用智能有序充电。</w:t>
      </w:r>
    </w:p>
    <w:p w14:paraId="1037CEC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3.</w:t>
      </w:r>
      <w:r>
        <w:rPr>
          <w:rFonts w:hint="default" w:ascii="Times New Roman" w:hAnsi="Times New Roman" w:eastAsia="楷体_GB2312" w:cs="Times New Roman"/>
          <w:kern w:val="0"/>
          <w:sz w:val="32"/>
          <w:szCs w:val="32"/>
          <w:shd w:val="clear" w:color="auto" w:fill="auto"/>
          <w:lang w:val="en-US" w:eastAsia="zh-CN" w:bidi="ar"/>
        </w:rPr>
        <w:t>消防设施。</w:t>
      </w:r>
      <w:r>
        <w:rPr>
          <w:rFonts w:hint="default" w:ascii="Times New Roman" w:hAnsi="Times New Roman" w:eastAsia="仿宋_GB2312" w:cs="Times New Roman"/>
          <w:kern w:val="0"/>
          <w:sz w:val="32"/>
          <w:szCs w:val="32"/>
          <w:shd w:val="clear" w:color="auto" w:fill="auto"/>
          <w:lang w:val="en-US" w:eastAsia="zh-CN" w:bidi="ar"/>
        </w:rPr>
        <w:t>小区地下、半地下车库和高层车库具备火灾自动报警系统、排烟设施、自动喷水灭火系统、消防应急照明和疏散指示标志。</w:t>
      </w:r>
    </w:p>
    <w:p w14:paraId="05D486B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kern w:val="0"/>
          <w:sz w:val="32"/>
          <w:szCs w:val="32"/>
          <w:shd w:val="clear" w:color="auto" w:fill="auto"/>
          <w:lang w:val="en-US" w:eastAsia="zh-CN" w:bidi="ar"/>
        </w:rPr>
      </w:pPr>
      <w:r>
        <w:rPr>
          <w:rFonts w:hint="eastAsia" w:ascii="黑体" w:hAnsi="黑体" w:eastAsia="黑体" w:cs="黑体"/>
          <w:kern w:val="0"/>
          <w:sz w:val="32"/>
          <w:szCs w:val="32"/>
          <w:shd w:val="clear" w:color="auto" w:fill="auto"/>
          <w:lang w:val="en-US" w:eastAsia="zh-CN" w:bidi="ar"/>
        </w:rPr>
        <w:t>二、既有小区公用充电桩建设管理流程如下</w:t>
      </w:r>
    </w:p>
    <w:p w14:paraId="09E9A01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1.</w:t>
      </w:r>
      <w:r>
        <w:rPr>
          <w:rFonts w:hint="default" w:ascii="Times New Roman" w:hAnsi="Times New Roman" w:eastAsia="楷体_GB2312" w:cs="Times New Roman"/>
          <w:kern w:val="0"/>
          <w:sz w:val="32"/>
          <w:szCs w:val="32"/>
          <w:shd w:val="clear" w:color="auto" w:fill="auto"/>
          <w:lang w:val="en-US" w:eastAsia="zh-CN" w:bidi="ar"/>
        </w:rPr>
        <w:t>签订协议。</w:t>
      </w:r>
      <w:r>
        <w:rPr>
          <w:rFonts w:hint="default" w:ascii="Times New Roman" w:hAnsi="Times New Roman" w:eastAsia="仿宋_GB2312" w:cs="Times New Roman"/>
          <w:kern w:val="0"/>
          <w:sz w:val="32"/>
          <w:szCs w:val="32"/>
          <w:shd w:val="clear" w:color="auto" w:fill="auto"/>
          <w:lang w:val="en-US" w:eastAsia="zh-CN" w:bidi="ar"/>
        </w:rPr>
        <w:t>充电运营商会同小区管理单位进行现场查勘，确认小区满足建设公用桩的基本条件，并将选址情况在小区进行公示（不低于5天），公示期满后充电运营商与小区管理单位签订建设运营协议，约定各方权责义务、建设运营方式等。</w:t>
      </w:r>
    </w:p>
    <w:p w14:paraId="0973116F">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2.</w:t>
      </w:r>
      <w:r>
        <w:rPr>
          <w:rFonts w:hint="default" w:ascii="Times New Roman" w:hAnsi="Times New Roman" w:eastAsia="楷体_GB2312" w:cs="Times New Roman"/>
          <w:kern w:val="0"/>
          <w:sz w:val="32"/>
          <w:szCs w:val="32"/>
          <w:shd w:val="clear" w:color="auto" w:fill="auto"/>
          <w:lang w:val="en-US" w:eastAsia="zh-CN" w:bidi="ar"/>
        </w:rPr>
        <w:t>报装申请。</w:t>
      </w:r>
      <w:r>
        <w:rPr>
          <w:rFonts w:hint="default" w:ascii="Times New Roman" w:hAnsi="Times New Roman" w:eastAsia="仿宋_GB2312" w:cs="Times New Roman"/>
          <w:kern w:val="0"/>
          <w:sz w:val="32"/>
          <w:szCs w:val="32"/>
          <w:shd w:val="clear" w:color="auto" w:fill="auto"/>
          <w:lang w:val="en-US" w:eastAsia="zh-CN" w:bidi="ar"/>
        </w:rPr>
        <w:t>向供电部门直接报装接电的，由充电运营商按需向属地供电部门提出申请，供电企业履行一次性告知义务，接收、查验、审核接电申请资料。申请资料包括：</w:t>
      </w:r>
    </w:p>
    <w:p w14:paraId="6A00808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仿宋_GB2312" w:cs="Times New Roman"/>
          <w:kern w:val="0"/>
          <w:sz w:val="32"/>
          <w:szCs w:val="32"/>
          <w:shd w:val="clear" w:color="auto" w:fill="auto"/>
          <w:lang w:val="en-US" w:eastAsia="zh-CN" w:bidi="ar"/>
        </w:rPr>
        <w:t>（1）充电运营商营业执照复印件（加盖运营商公章）。</w:t>
      </w:r>
    </w:p>
    <w:p w14:paraId="59E8DC7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仿宋_GB2312" w:cs="Times New Roman"/>
          <w:kern w:val="0"/>
          <w:sz w:val="32"/>
          <w:szCs w:val="32"/>
          <w:shd w:val="clear" w:color="auto" w:fill="auto"/>
          <w:lang w:val="en-US" w:eastAsia="zh-CN" w:bidi="ar"/>
        </w:rPr>
        <w:t>（2）充电运营商法人代表身份证复印件、经办人员身份证复印件以及授权委托书原件（均须加盖公章）。</w:t>
      </w:r>
    </w:p>
    <w:p w14:paraId="41C0233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仿宋_GB2312" w:cs="Times New Roman"/>
          <w:kern w:val="0"/>
          <w:sz w:val="32"/>
          <w:szCs w:val="32"/>
          <w:shd w:val="clear" w:color="auto" w:fill="auto"/>
          <w:lang w:val="en-US" w:eastAsia="zh-CN" w:bidi="ar"/>
        </w:rPr>
        <w:t>（3）小区管理单位与充电运营商签订的同意充电运营商报装接电的合作协议复印件（加盖公章）；无相关协议的，由小区管理单位出具《电力接入说明》并盖章。</w:t>
      </w:r>
    </w:p>
    <w:p w14:paraId="3A67889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3.</w:t>
      </w:r>
      <w:r>
        <w:rPr>
          <w:rFonts w:hint="default" w:ascii="Times New Roman" w:hAnsi="Times New Roman" w:eastAsia="楷体_GB2312" w:cs="Times New Roman"/>
          <w:kern w:val="0"/>
          <w:sz w:val="32"/>
          <w:szCs w:val="32"/>
          <w:shd w:val="clear" w:color="auto" w:fill="auto"/>
          <w:lang w:val="en-US" w:eastAsia="zh-CN" w:bidi="ar"/>
        </w:rPr>
        <w:t>现场查勘。</w:t>
      </w:r>
      <w:r>
        <w:rPr>
          <w:rFonts w:hint="default" w:ascii="Times New Roman" w:hAnsi="Times New Roman" w:eastAsia="仿宋_GB2312" w:cs="Times New Roman"/>
          <w:kern w:val="0"/>
          <w:sz w:val="32"/>
          <w:szCs w:val="32"/>
          <w:shd w:val="clear" w:color="auto" w:fill="auto"/>
          <w:lang w:val="en-US" w:eastAsia="zh-CN" w:bidi="ar"/>
        </w:rPr>
        <w:t>电网企业受理报装申请后3个工作日内，会同小区管理单位和充电运营商到现场进行用电可行性勘察，小区管理单位应积极配合勘察。现有配电设施确实无法满足公用桩用电负荷需求的，产权为电网企业的，由供电企业提出解决方案；产权为用电用户的，由用电用户会同充电运营商提供解决方案，支持优先应用智能有序充电。</w:t>
      </w:r>
    </w:p>
    <w:p w14:paraId="7F1743E0">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4.</w:t>
      </w:r>
      <w:r>
        <w:rPr>
          <w:rFonts w:hint="default" w:ascii="Times New Roman" w:hAnsi="Times New Roman" w:eastAsia="楷体_GB2312" w:cs="Times New Roman"/>
          <w:kern w:val="0"/>
          <w:sz w:val="32"/>
          <w:szCs w:val="32"/>
          <w:shd w:val="clear" w:color="auto" w:fill="auto"/>
          <w:lang w:val="en-US" w:eastAsia="zh-CN" w:bidi="ar"/>
        </w:rPr>
        <w:t>施工建设。</w:t>
      </w:r>
      <w:r>
        <w:rPr>
          <w:rFonts w:hint="default" w:ascii="Times New Roman" w:hAnsi="Times New Roman" w:eastAsia="仿宋_GB2312" w:cs="Times New Roman"/>
          <w:kern w:val="0"/>
          <w:sz w:val="32"/>
          <w:szCs w:val="32"/>
          <w:shd w:val="clear" w:color="auto" w:fill="auto"/>
          <w:lang w:val="en-US" w:eastAsia="zh-CN" w:bidi="ar"/>
        </w:rPr>
        <w:t>充电运营商组织具有充电设施安装资质的施工单位，按照相应施工规范、技术标准以及安全管理规定，组织开展工程施工建设。</w:t>
      </w:r>
    </w:p>
    <w:p w14:paraId="1F16AACF">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5.</w:t>
      </w:r>
      <w:r>
        <w:rPr>
          <w:rFonts w:hint="default" w:ascii="Times New Roman" w:hAnsi="Times New Roman" w:eastAsia="楷体_GB2312" w:cs="Times New Roman"/>
          <w:kern w:val="0"/>
          <w:sz w:val="32"/>
          <w:szCs w:val="32"/>
          <w:shd w:val="clear" w:color="auto" w:fill="auto"/>
          <w:lang w:val="en-US" w:eastAsia="zh-CN" w:bidi="ar"/>
        </w:rPr>
        <w:t>装表接电。</w:t>
      </w:r>
      <w:r>
        <w:rPr>
          <w:rFonts w:hint="default" w:ascii="Times New Roman" w:hAnsi="Times New Roman" w:eastAsia="仿宋_GB2312" w:cs="Times New Roman"/>
          <w:kern w:val="0"/>
          <w:sz w:val="32"/>
          <w:szCs w:val="32"/>
          <w:shd w:val="clear" w:color="auto" w:fill="auto"/>
          <w:lang w:val="en-US" w:eastAsia="zh-CN" w:bidi="ar"/>
        </w:rPr>
        <w:t>电力工程施工完成后，电网企业在三个工作日内完成装表接电。</w:t>
      </w:r>
    </w:p>
    <w:p w14:paraId="0971E27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6.</w:t>
      </w:r>
      <w:r>
        <w:rPr>
          <w:rFonts w:hint="default" w:ascii="Times New Roman" w:hAnsi="Times New Roman" w:eastAsia="楷体_GB2312" w:cs="Times New Roman"/>
          <w:kern w:val="0"/>
          <w:sz w:val="32"/>
          <w:szCs w:val="32"/>
          <w:shd w:val="clear" w:color="auto" w:fill="auto"/>
          <w:lang w:val="en-US" w:eastAsia="zh-CN" w:bidi="ar"/>
        </w:rPr>
        <w:t>项目验收。</w:t>
      </w:r>
      <w:r>
        <w:rPr>
          <w:rFonts w:hint="default" w:ascii="Times New Roman" w:hAnsi="Times New Roman" w:eastAsia="仿宋_GB2312" w:cs="Times New Roman"/>
          <w:kern w:val="0"/>
          <w:sz w:val="32"/>
          <w:szCs w:val="32"/>
          <w:shd w:val="clear" w:color="auto" w:fill="auto"/>
          <w:lang w:val="en-US" w:eastAsia="zh-CN" w:bidi="ar"/>
        </w:rPr>
        <w:t>项目通电上线后，充电运营商组织整体验收，相关资料留存</w:t>
      </w:r>
      <w:r>
        <w:rPr>
          <w:rFonts w:hint="eastAsia" w:ascii="Times New Roman" w:hAnsi="Times New Roman" w:eastAsia="仿宋_GB2312" w:cs="Times New Roman"/>
          <w:kern w:val="0"/>
          <w:sz w:val="32"/>
          <w:szCs w:val="32"/>
          <w:shd w:val="clear" w:color="auto" w:fill="auto"/>
          <w:lang w:val="en-US" w:eastAsia="zh-CN" w:bidi="ar"/>
        </w:rPr>
        <w:t>至业主委员会进行备查</w:t>
      </w:r>
      <w:r>
        <w:rPr>
          <w:rFonts w:hint="default" w:ascii="Times New Roman" w:hAnsi="Times New Roman" w:eastAsia="仿宋_GB2312" w:cs="Times New Roman"/>
          <w:kern w:val="0"/>
          <w:sz w:val="32"/>
          <w:szCs w:val="32"/>
          <w:shd w:val="clear" w:color="auto" w:fill="auto"/>
          <w:lang w:val="en-US" w:eastAsia="zh-CN" w:bidi="ar"/>
        </w:rPr>
        <w:t>。</w:t>
      </w:r>
    </w:p>
    <w:p w14:paraId="188BDF6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7.</w:t>
      </w:r>
      <w:r>
        <w:rPr>
          <w:rFonts w:hint="default" w:ascii="Times New Roman" w:hAnsi="Times New Roman" w:eastAsia="楷体_GB2312" w:cs="Times New Roman"/>
          <w:kern w:val="0"/>
          <w:sz w:val="32"/>
          <w:szCs w:val="32"/>
          <w:shd w:val="clear" w:color="auto" w:fill="auto"/>
          <w:lang w:val="en-US" w:eastAsia="zh-CN" w:bidi="ar"/>
        </w:rPr>
        <w:t>运营维护。</w:t>
      </w:r>
      <w:r>
        <w:rPr>
          <w:rFonts w:hint="default" w:ascii="Times New Roman" w:hAnsi="Times New Roman" w:eastAsia="仿宋_GB2312" w:cs="Times New Roman"/>
          <w:kern w:val="0"/>
          <w:sz w:val="32"/>
          <w:szCs w:val="32"/>
          <w:shd w:val="clear" w:color="auto" w:fill="auto"/>
          <w:lang w:val="en-US" w:eastAsia="zh-CN" w:bidi="ar"/>
        </w:rPr>
        <w:t>充电运营商作为充电设施投资建设主体，履行安全生产主体责任，负责充电设施日常维护管理，承担相应安全管理责任。提供有偿服务的，实行明码标价。协议期满不再运营的，充电运营商应拆除相关设施设备，并恢复原状。</w:t>
      </w:r>
    </w:p>
    <w:p w14:paraId="637DC680">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5745883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604BC2E6">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6179DC9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13ED999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417D150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33C2B093">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3CB96B6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5BEFB70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68EA757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66DF847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28F4A04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12AAB53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17D489CB">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7B54742A">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3F45FE1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2D03E35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657F4299">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664127D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34B52E2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3F993C0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3AA31491">
      <w:pPr>
        <w:wordWrap w:val="0"/>
        <w:autoSpaceDE w:val="0"/>
        <w:autoSpaceDN w:val="0"/>
        <w:spacing w:before="0" w:after="0" w:line="402" w:lineRule="auto"/>
        <w:jc w:val="center"/>
        <w:rPr>
          <w:rFonts w:hint="eastAsia" w:ascii="方正小标宋简体" w:hAnsi="方正小标宋简体" w:eastAsia="方正小标宋简体" w:cs="方正小标宋简体"/>
          <w:b w:val="0"/>
          <w:bCs/>
          <w:kern w:val="0"/>
          <w:sz w:val="30"/>
          <w:szCs w:val="30"/>
        </w:rPr>
      </w:pPr>
      <w:r>
        <w:rPr>
          <w:rFonts w:hint="eastAsia" w:ascii="方正小标宋简体" w:hAnsi="方正小标宋简体" w:eastAsia="方正小标宋简体" w:cs="方正小标宋简体"/>
          <w:b w:val="0"/>
          <w:bCs/>
          <w:color w:val="000000"/>
          <w:kern w:val="0"/>
          <w:sz w:val="30"/>
          <w:szCs w:val="30"/>
        </w:rPr>
        <w:t>既有小区公用充电桩建设管理流程图</w:t>
      </w:r>
    </w:p>
    <w:tbl>
      <w:tblPr>
        <w:tblStyle w:val="4"/>
        <w:tblW w:w="0" w:type="auto"/>
        <w:tblInd w:w="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920"/>
        <w:gridCol w:w="7371"/>
      </w:tblGrid>
      <w:tr w14:paraId="35E886D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60" w:hRule="atLeast"/>
        </w:trPr>
        <w:tc>
          <w:tcPr>
            <w:tcW w:w="1000" w:type="dxa"/>
            <w:tcBorders>
              <w:top w:val="single" w:color="000000" w:sz="4" w:space="0"/>
              <w:left w:val="single" w:color="000000" w:sz="4" w:space="0"/>
              <w:bottom w:val="single" w:color="000000" w:sz="4" w:space="0"/>
              <w:right w:val="single" w:color="000000" w:sz="4" w:space="0"/>
            </w:tcBorders>
            <w:vAlign w:val="top"/>
          </w:tcPr>
          <w:p w14:paraId="4BD19F9A">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center"/>
              <w:textAlignment w:val="auto"/>
              <w:rPr>
                <w:rFonts w:hint="eastAsia" w:ascii="仿宋_GB2312" w:hAnsi="仿宋_GB2312" w:eastAsia="仿宋_GB2312" w:cs="仿宋_GB2312"/>
                <w:color w:val="000000"/>
                <w:kern w:val="0"/>
                <w:sz w:val="24"/>
                <w:szCs w:val="24"/>
              </w:rPr>
            </w:pPr>
          </w:p>
          <w:p w14:paraId="0541226B">
            <w:pPr>
              <w:keepNext w:val="0"/>
              <w:keepLines w:val="0"/>
              <w:pageBreakBefore w:val="0"/>
              <w:widowControl w:val="0"/>
              <w:kinsoku/>
              <w:wordWrap w:val="0"/>
              <w:overflowPunct/>
              <w:topLinePunct w:val="0"/>
              <w:autoSpaceDE w:val="0"/>
              <w:autoSpaceDN w:val="0"/>
              <w:bidi w:val="0"/>
              <w:adjustRightInd/>
              <w:snapToGrid/>
              <w:spacing w:after="0"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签订</w:t>
            </w:r>
          </w:p>
          <w:p w14:paraId="3A960AA9">
            <w:pPr>
              <w:keepNext w:val="0"/>
              <w:keepLines w:val="0"/>
              <w:pageBreakBefore w:val="0"/>
              <w:widowControl w:val="0"/>
              <w:kinsoku/>
              <w:wordWrap w:val="0"/>
              <w:overflowPunct/>
              <w:topLinePunct w:val="0"/>
              <w:autoSpaceDE w:val="0"/>
              <w:autoSpaceDN w:val="0"/>
              <w:bidi w:val="0"/>
              <w:adjustRightInd/>
              <w:snapToGrid/>
              <w:spacing w:after="0"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协议</w:t>
            </w:r>
          </w:p>
        </w:tc>
        <w:tc>
          <w:tcPr>
            <w:tcW w:w="8160" w:type="dxa"/>
            <w:tcBorders>
              <w:top w:val="single" w:color="000000" w:sz="4" w:space="0"/>
              <w:left w:val="single" w:color="000000" w:sz="4" w:space="0"/>
              <w:bottom w:val="single" w:color="000000" w:sz="4" w:space="0"/>
              <w:right w:val="single" w:color="000000" w:sz="4" w:space="0"/>
            </w:tcBorders>
            <w:vAlign w:val="top"/>
          </w:tcPr>
          <w:p w14:paraId="781FED05">
            <w:pPr>
              <w:keepNext w:val="0"/>
              <w:keepLines w:val="0"/>
              <w:pageBreakBefore w:val="0"/>
              <w:widowControl w:val="0"/>
              <w:kinsoku/>
              <w:wordWrap w:val="0"/>
              <w:overflowPunct/>
              <w:topLinePunct w:val="0"/>
              <w:autoSpaceDE w:val="0"/>
              <w:autoSpaceDN w:val="0"/>
              <w:bidi w:val="0"/>
              <w:adjustRightInd/>
              <w:snapToGrid/>
              <w:spacing w:after="0" w:line="360" w:lineRule="exact"/>
              <w:ind w:right="60" w:firstLine="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eastAsia="zh-CN"/>
              </w:rPr>
              <w:t>1.</w:t>
            </w:r>
            <w:r>
              <w:rPr>
                <w:rFonts w:hint="eastAsia" w:ascii="仿宋_GB2312" w:hAnsi="仿宋_GB2312" w:eastAsia="仿宋_GB2312" w:cs="仿宋_GB2312"/>
                <w:color w:val="000000"/>
                <w:kern w:val="0"/>
                <w:sz w:val="24"/>
                <w:szCs w:val="24"/>
              </w:rPr>
              <w:t>充电运营商会同小区管理单位进行现场勘察，确认建设条件并将选址情况在小区进行公示，公示期不低于5天。</w:t>
            </w:r>
          </w:p>
          <w:p w14:paraId="0560F852">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eastAsia="zh-CN"/>
              </w:rPr>
              <w:t>2.</w:t>
            </w:r>
            <w:r>
              <w:rPr>
                <w:rFonts w:hint="eastAsia" w:ascii="仿宋_GB2312" w:hAnsi="仿宋_GB2312" w:eastAsia="仿宋_GB2312" w:cs="仿宋_GB2312"/>
                <w:color w:val="000000"/>
                <w:kern w:val="0"/>
                <w:sz w:val="24"/>
                <w:szCs w:val="24"/>
              </w:rPr>
              <w:t>充电运营商与小区管理单位签订建设运营协议，明确各方权责。</w:t>
            </w:r>
          </w:p>
        </w:tc>
      </w:tr>
      <w:tr w14:paraId="7318AA0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280" w:hRule="atLeast"/>
        </w:trPr>
        <w:tc>
          <w:tcPr>
            <w:tcW w:w="1000" w:type="dxa"/>
            <w:tcBorders>
              <w:top w:val="single" w:color="000000" w:sz="4" w:space="0"/>
              <w:left w:val="single" w:color="000000" w:sz="4" w:space="0"/>
              <w:bottom w:val="single" w:color="000000" w:sz="4" w:space="0"/>
              <w:right w:val="single" w:color="000000" w:sz="4" w:space="0"/>
            </w:tcBorders>
            <w:vAlign w:val="top"/>
          </w:tcPr>
          <w:p w14:paraId="67465966">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center"/>
              <w:textAlignment w:val="auto"/>
              <w:rPr>
                <w:rFonts w:hint="eastAsia" w:ascii="仿宋_GB2312" w:hAnsi="仿宋_GB2312" w:eastAsia="仿宋_GB2312" w:cs="仿宋_GB2312"/>
                <w:color w:val="000000"/>
                <w:kern w:val="0"/>
                <w:sz w:val="24"/>
                <w:szCs w:val="24"/>
              </w:rPr>
            </w:pPr>
          </w:p>
          <w:p w14:paraId="7BAC2473">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center"/>
              <w:textAlignment w:val="auto"/>
              <w:rPr>
                <w:rFonts w:hint="eastAsia" w:ascii="仿宋_GB2312" w:hAnsi="仿宋_GB2312" w:eastAsia="仿宋_GB2312" w:cs="仿宋_GB2312"/>
                <w:color w:val="000000"/>
                <w:kern w:val="0"/>
                <w:sz w:val="24"/>
                <w:szCs w:val="24"/>
              </w:rPr>
            </w:pPr>
          </w:p>
          <w:p w14:paraId="4A19605F">
            <w:pPr>
              <w:keepNext w:val="0"/>
              <w:keepLines w:val="0"/>
              <w:pageBreakBefore w:val="0"/>
              <w:widowControl w:val="0"/>
              <w:kinsoku/>
              <w:wordWrap w:val="0"/>
              <w:overflowPunct/>
              <w:topLinePunct w:val="0"/>
              <w:autoSpaceDE w:val="0"/>
              <w:autoSpaceDN w:val="0"/>
              <w:bidi w:val="0"/>
              <w:adjustRightInd/>
              <w:snapToGrid/>
              <w:spacing w:after="0"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报装</w:t>
            </w:r>
          </w:p>
          <w:p w14:paraId="5BB635F0">
            <w:pPr>
              <w:keepNext w:val="0"/>
              <w:keepLines w:val="0"/>
              <w:pageBreakBefore w:val="0"/>
              <w:widowControl w:val="0"/>
              <w:kinsoku/>
              <w:wordWrap w:val="0"/>
              <w:overflowPunct/>
              <w:topLinePunct w:val="0"/>
              <w:autoSpaceDE w:val="0"/>
              <w:autoSpaceDN w:val="0"/>
              <w:bidi w:val="0"/>
              <w:adjustRightInd/>
              <w:snapToGrid/>
              <w:spacing w:after="0"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申请</w:t>
            </w:r>
          </w:p>
        </w:tc>
        <w:tc>
          <w:tcPr>
            <w:tcW w:w="8160" w:type="dxa"/>
            <w:tcBorders>
              <w:top w:val="single" w:color="000000" w:sz="4" w:space="0"/>
              <w:left w:val="single" w:color="000000" w:sz="4" w:space="0"/>
              <w:bottom w:val="single" w:color="000000" w:sz="4" w:space="0"/>
              <w:right w:val="single" w:color="000000" w:sz="4" w:space="0"/>
            </w:tcBorders>
            <w:vAlign w:val="top"/>
          </w:tcPr>
          <w:p w14:paraId="0BEEC9A8">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充电运营商准备资料，提出报装申请：</w:t>
            </w:r>
          </w:p>
          <w:p w14:paraId="3F40EF1A">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eastAsia="zh-CN"/>
              </w:rPr>
              <w:t>1.</w:t>
            </w:r>
            <w:r>
              <w:rPr>
                <w:rFonts w:hint="eastAsia" w:ascii="仿宋_GB2312" w:hAnsi="仿宋_GB2312" w:eastAsia="仿宋_GB2312" w:cs="仿宋_GB2312"/>
                <w:color w:val="000000"/>
                <w:kern w:val="0"/>
                <w:sz w:val="24"/>
                <w:szCs w:val="24"/>
              </w:rPr>
              <w:t>运营商营业执照复印件（加盖运营商公章）；</w:t>
            </w:r>
          </w:p>
          <w:p w14:paraId="77B0C91C">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eastAsia="zh-CN"/>
              </w:rPr>
              <w:t>2.</w:t>
            </w:r>
            <w:r>
              <w:rPr>
                <w:rFonts w:hint="eastAsia" w:ascii="仿宋_GB2312" w:hAnsi="仿宋_GB2312" w:eastAsia="仿宋_GB2312" w:cs="仿宋_GB2312"/>
                <w:color w:val="000000"/>
                <w:kern w:val="0"/>
                <w:sz w:val="24"/>
                <w:szCs w:val="24"/>
              </w:rPr>
              <w:t>运营商法人代表身份证复印件（加盖运营商公章）；</w:t>
            </w:r>
          </w:p>
          <w:p w14:paraId="5B84A79F">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eastAsia="zh-CN"/>
              </w:rPr>
              <w:t>3.</w:t>
            </w:r>
            <w:r>
              <w:rPr>
                <w:rFonts w:hint="eastAsia" w:ascii="仿宋_GB2312" w:hAnsi="仿宋_GB2312" w:eastAsia="仿宋_GB2312" w:cs="仿宋_GB2312"/>
                <w:color w:val="000000"/>
                <w:kern w:val="0"/>
                <w:sz w:val="24"/>
                <w:szCs w:val="24"/>
              </w:rPr>
              <w:t>经办人员身份证复印件以及授权委托书原件（加盖运营商公章）；</w:t>
            </w:r>
          </w:p>
          <w:p w14:paraId="494147ED">
            <w:pPr>
              <w:keepNext w:val="0"/>
              <w:keepLines w:val="0"/>
              <w:pageBreakBefore w:val="0"/>
              <w:widowControl w:val="0"/>
              <w:kinsoku/>
              <w:wordWrap w:val="0"/>
              <w:overflowPunct/>
              <w:topLinePunct w:val="0"/>
              <w:autoSpaceDE w:val="0"/>
              <w:autoSpaceDN w:val="0"/>
              <w:bidi w:val="0"/>
              <w:adjustRightInd/>
              <w:snapToGrid/>
              <w:spacing w:after="0" w:line="360" w:lineRule="exact"/>
              <w:ind w:right="220" w:firstLine="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eastAsia="zh-CN"/>
              </w:rPr>
              <w:t>4.</w:t>
            </w:r>
            <w:r>
              <w:rPr>
                <w:rFonts w:hint="eastAsia" w:ascii="仿宋_GB2312" w:hAnsi="仿宋_GB2312" w:eastAsia="仿宋_GB2312" w:cs="仿宋_GB2312"/>
                <w:color w:val="000000"/>
                <w:kern w:val="0"/>
                <w:sz w:val="24"/>
                <w:szCs w:val="24"/>
              </w:rPr>
              <w:t>小区管理单位与运营商签订的同意报装接电的合作协议复印件（加盖运营商公章）或小区管理单位出具的《电力接入说明》并盖章。</w:t>
            </w:r>
          </w:p>
        </w:tc>
      </w:tr>
      <w:tr w14:paraId="5E67615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080" w:hRule="atLeast"/>
        </w:trPr>
        <w:tc>
          <w:tcPr>
            <w:tcW w:w="1000" w:type="dxa"/>
            <w:tcBorders>
              <w:top w:val="single" w:color="000000" w:sz="4" w:space="0"/>
              <w:left w:val="single" w:color="000000" w:sz="4" w:space="0"/>
              <w:bottom w:val="single" w:color="000000" w:sz="4" w:space="0"/>
              <w:right w:val="single" w:color="000000" w:sz="4" w:space="0"/>
            </w:tcBorders>
            <w:vAlign w:val="top"/>
          </w:tcPr>
          <w:p w14:paraId="0003028A">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center"/>
              <w:textAlignment w:val="auto"/>
              <w:rPr>
                <w:rFonts w:hint="eastAsia" w:ascii="仿宋_GB2312" w:hAnsi="仿宋_GB2312" w:eastAsia="仿宋_GB2312" w:cs="仿宋_GB2312"/>
                <w:color w:val="000000"/>
                <w:kern w:val="0"/>
                <w:sz w:val="24"/>
                <w:szCs w:val="24"/>
              </w:rPr>
            </w:pPr>
          </w:p>
          <w:p w14:paraId="04DA04D2">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center"/>
              <w:textAlignment w:val="auto"/>
              <w:rPr>
                <w:rFonts w:hint="eastAsia" w:ascii="仿宋_GB2312" w:hAnsi="仿宋_GB2312" w:eastAsia="仿宋_GB2312" w:cs="仿宋_GB2312"/>
                <w:color w:val="000000"/>
                <w:kern w:val="0"/>
                <w:sz w:val="24"/>
                <w:szCs w:val="24"/>
              </w:rPr>
            </w:pPr>
          </w:p>
          <w:p w14:paraId="1638E56B">
            <w:pPr>
              <w:keepNext w:val="0"/>
              <w:keepLines w:val="0"/>
              <w:pageBreakBefore w:val="0"/>
              <w:widowControl w:val="0"/>
              <w:kinsoku/>
              <w:wordWrap w:val="0"/>
              <w:overflowPunct/>
              <w:topLinePunct w:val="0"/>
              <w:autoSpaceDE w:val="0"/>
              <w:autoSpaceDN w:val="0"/>
              <w:bidi w:val="0"/>
              <w:adjustRightInd/>
              <w:snapToGrid/>
              <w:spacing w:after="0"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现场</w:t>
            </w:r>
          </w:p>
          <w:p w14:paraId="51795DDA">
            <w:pPr>
              <w:keepNext w:val="0"/>
              <w:keepLines w:val="0"/>
              <w:pageBreakBefore w:val="0"/>
              <w:widowControl w:val="0"/>
              <w:kinsoku/>
              <w:wordWrap w:val="0"/>
              <w:overflowPunct/>
              <w:topLinePunct w:val="0"/>
              <w:autoSpaceDE w:val="0"/>
              <w:autoSpaceDN w:val="0"/>
              <w:bidi w:val="0"/>
              <w:adjustRightInd/>
              <w:snapToGrid/>
              <w:spacing w:after="0"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查勘</w:t>
            </w:r>
          </w:p>
        </w:tc>
        <w:tc>
          <w:tcPr>
            <w:tcW w:w="8160" w:type="dxa"/>
            <w:tcBorders>
              <w:top w:val="single" w:color="000000" w:sz="4" w:space="0"/>
              <w:left w:val="single" w:color="000000" w:sz="4" w:space="0"/>
              <w:bottom w:val="single" w:color="000000" w:sz="4" w:space="0"/>
              <w:right w:val="single" w:color="000000" w:sz="4" w:space="0"/>
            </w:tcBorders>
            <w:vAlign w:val="top"/>
          </w:tcPr>
          <w:p w14:paraId="5D6A806D">
            <w:pPr>
              <w:keepNext w:val="0"/>
              <w:keepLines w:val="0"/>
              <w:pageBreakBefore w:val="0"/>
              <w:widowControl w:val="0"/>
              <w:kinsoku/>
              <w:wordWrap w:val="0"/>
              <w:overflowPunct/>
              <w:topLinePunct w:val="0"/>
              <w:autoSpaceDE w:val="0"/>
              <w:autoSpaceDN w:val="0"/>
              <w:bidi w:val="0"/>
              <w:adjustRightInd/>
              <w:snapToGrid/>
              <w:spacing w:after="0" w:line="360" w:lineRule="exact"/>
              <w:ind w:right="80" w:firstLine="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电网企业履行“一次告知”义务，受理、审核报装申请资料、受理申请资料后，3个工作</w:t>
            </w:r>
            <w:r>
              <w:rPr>
                <w:rFonts w:hint="eastAsia" w:ascii="仿宋_GB2312" w:hAnsi="仿宋_GB2312" w:eastAsia="仿宋_GB2312" w:cs="仿宋_GB2312"/>
                <w:color w:val="000000"/>
                <w:kern w:val="0"/>
                <w:sz w:val="24"/>
                <w:szCs w:val="24"/>
                <w:lang w:eastAsia="zh-CN"/>
              </w:rPr>
              <w:t>日内</w:t>
            </w:r>
            <w:r>
              <w:rPr>
                <w:rFonts w:hint="eastAsia" w:ascii="仿宋_GB2312" w:hAnsi="仿宋_GB2312" w:eastAsia="仿宋_GB2312" w:cs="仿宋_GB2312"/>
                <w:color w:val="000000"/>
                <w:kern w:val="0"/>
                <w:sz w:val="24"/>
                <w:szCs w:val="24"/>
              </w:rPr>
              <w:t>进行现场查勘，明确接入电源点及表计安装点位。</w:t>
            </w:r>
          </w:p>
          <w:p w14:paraId="4DDF20E7">
            <w:pPr>
              <w:keepNext w:val="0"/>
              <w:keepLines w:val="0"/>
              <w:pageBreakBefore w:val="0"/>
              <w:widowControl w:val="0"/>
              <w:kinsoku/>
              <w:wordWrap w:val="0"/>
              <w:overflowPunct/>
              <w:topLinePunct w:val="0"/>
              <w:autoSpaceDE w:val="0"/>
              <w:autoSpaceDN w:val="0"/>
              <w:bidi w:val="0"/>
              <w:adjustRightInd/>
              <w:snapToGrid/>
              <w:spacing w:after="0" w:line="360" w:lineRule="exact"/>
              <w:ind w:right="20" w:firstLine="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现有配电设施确实无法满足自用桩用电负荷需求的，产权为电网企业的，由供电企业提出解决方案；产权为用电用户的，由用电用户提供解决方案（按照统建统管方式建设的，由用电用户会同充电运营商提供解决方案），支持应用智能充电技术。</w:t>
            </w:r>
          </w:p>
        </w:tc>
      </w:tr>
      <w:tr w14:paraId="509446D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60" w:hRule="atLeast"/>
        </w:trPr>
        <w:tc>
          <w:tcPr>
            <w:tcW w:w="1000" w:type="dxa"/>
            <w:tcBorders>
              <w:top w:val="single" w:color="000000" w:sz="4" w:space="0"/>
              <w:left w:val="single" w:color="000000" w:sz="4" w:space="0"/>
              <w:bottom w:val="single" w:color="000000" w:sz="4" w:space="0"/>
              <w:right w:val="single" w:color="000000" w:sz="4" w:space="0"/>
            </w:tcBorders>
            <w:vAlign w:val="top"/>
          </w:tcPr>
          <w:p w14:paraId="5976A710">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center"/>
              <w:textAlignment w:val="auto"/>
              <w:rPr>
                <w:rFonts w:hint="eastAsia" w:ascii="仿宋_GB2312" w:hAnsi="仿宋_GB2312" w:eastAsia="仿宋_GB2312" w:cs="仿宋_GB2312"/>
                <w:color w:val="000000"/>
                <w:kern w:val="0"/>
                <w:sz w:val="24"/>
                <w:szCs w:val="24"/>
              </w:rPr>
            </w:pPr>
          </w:p>
          <w:p w14:paraId="55A96EE0">
            <w:pPr>
              <w:keepNext w:val="0"/>
              <w:keepLines w:val="0"/>
              <w:pageBreakBefore w:val="0"/>
              <w:widowControl w:val="0"/>
              <w:kinsoku/>
              <w:wordWrap w:val="0"/>
              <w:overflowPunct/>
              <w:topLinePunct w:val="0"/>
              <w:autoSpaceDE w:val="0"/>
              <w:autoSpaceDN w:val="0"/>
              <w:bidi w:val="0"/>
              <w:adjustRightInd/>
              <w:snapToGrid/>
              <w:spacing w:after="0"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施工</w:t>
            </w:r>
          </w:p>
          <w:p w14:paraId="36B1DA5C">
            <w:pPr>
              <w:keepNext w:val="0"/>
              <w:keepLines w:val="0"/>
              <w:pageBreakBefore w:val="0"/>
              <w:widowControl w:val="0"/>
              <w:kinsoku/>
              <w:wordWrap w:val="0"/>
              <w:overflowPunct/>
              <w:topLinePunct w:val="0"/>
              <w:autoSpaceDE w:val="0"/>
              <w:autoSpaceDN w:val="0"/>
              <w:bidi w:val="0"/>
              <w:adjustRightInd/>
              <w:snapToGrid/>
              <w:spacing w:after="0"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建设</w:t>
            </w:r>
          </w:p>
        </w:tc>
        <w:tc>
          <w:tcPr>
            <w:tcW w:w="8160" w:type="dxa"/>
            <w:tcBorders>
              <w:top w:val="single" w:color="000000" w:sz="4" w:space="0"/>
              <w:left w:val="single" w:color="000000" w:sz="4" w:space="0"/>
              <w:bottom w:val="single" w:color="000000" w:sz="4" w:space="0"/>
              <w:right w:val="single" w:color="000000" w:sz="4" w:space="0"/>
            </w:tcBorders>
            <w:vAlign w:val="top"/>
          </w:tcPr>
          <w:p w14:paraId="4A4EE410">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both"/>
              <w:textAlignment w:val="auto"/>
              <w:rPr>
                <w:rFonts w:hint="eastAsia" w:ascii="仿宋_GB2312" w:hAnsi="仿宋_GB2312" w:eastAsia="仿宋_GB2312" w:cs="仿宋_GB2312"/>
                <w:color w:val="000000"/>
                <w:kern w:val="0"/>
                <w:sz w:val="24"/>
                <w:szCs w:val="24"/>
              </w:rPr>
            </w:pPr>
          </w:p>
          <w:p w14:paraId="0CD60F20">
            <w:pPr>
              <w:keepNext w:val="0"/>
              <w:keepLines w:val="0"/>
              <w:pageBreakBefore w:val="0"/>
              <w:widowControl w:val="0"/>
              <w:kinsoku/>
              <w:wordWrap w:val="0"/>
              <w:overflowPunct/>
              <w:topLinePunct w:val="0"/>
              <w:autoSpaceDE w:val="0"/>
              <w:autoSpaceDN w:val="0"/>
              <w:bidi w:val="0"/>
              <w:adjustRightInd/>
              <w:snapToGrid/>
              <w:spacing w:after="0" w:line="360" w:lineRule="exact"/>
              <w:ind w:left="80" w:right="20" w:firstLine="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充电运营商组织具有充电设施安装资质的施工单位，按照相应施工规范、技术标准以及安全管理规定，组织开展工程施工建设。</w:t>
            </w:r>
          </w:p>
        </w:tc>
      </w:tr>
      <w:tr w14:paraId="068F614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373" w:hRule="atLeast"/>
        </w:trPr>
        <w:tc>
          <w:tcPr>
            <w:tcW w:w="1000" w:type="dxa"/>
            <w:tcBorders>
              <w:top w:val="single" w:color="000000" w:sz="4" w:space="0"/>
              <w:left w:val="single" w:color="000000" w:sz="4" w:space="0"/>
              <w:bottom w:val="single" w:color="000000" w:sz="4" w:space="0"/>
              <w:right w:val="single" w:color="000000" w:sz="4" w:space="0"/>
            </w:tcBorders>
            <w:vAlign w:val="top"/>
          </w:tcPr>
          <w:p w14:paraId="1F5057DA">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center"/>
              <w:textAlignment w:val="auto"/>
              <w:rPr>
                <w:rFonts w:hint="eastAsia" w:ascii="仿宋_GB2312" w:hAnsi="仿宋_GB2312" w:eastAsia="仿宋_GB2312" w:cs="仿宋_GB2312"/>
                <w:color w:val="000000"/>
                <w:kern w:val="0"/>
                <w:sz w:val="24"/>
                <w:szCs w:val="24"/>
              </w:rPr>
            </w:pPr>
          </w:p>
          <w:p w14:paraId="61C11E14">
            <w:pPr>
              <w:keepNext w:val="0"/>
              <w:keepLines w:val="0"/>
              <w:pageBreakBefore w:val="0"/>
              <w:widowControl w:val="0"/>
              <w:kinsoku/>
              <w:wordWrap w:val="0"/>
              <w:overflowPunct/>
              <w:topLinePunct w:val="0"/>
              <w:autoSpaceDE w:val="0"/>
              <w:autoSpaceDN w:val="0"/>
              <w:bidi w:val="0"/>
              <w:adjustRightInd/>
              <w:snapToGrid/>
              <w:spacing w:after="0"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装表</w:t>
            </w:r>
          </w:p>
          <w:p w14:paraId="0E9971B1">
            <w:pPr>
              <w:keepNext w:val="0"/>
              <w:keepLines w:val="0"/>
              <w:pageBreakBefore w:val="0"/>
              <w:widowControl w:val="0"/>
              <w:kinsoku/>
              <w:wordWrap w:val="0"/>
              <w:overflowPunct/>
              <w:topLinePunct w:val="0"/>
              <w:autoSpaceDE w:val="0"/>
              <w:autoSpaceDN w:val="0"/>
              <w:bidi w:val="0"/>
              <w:adjustRightInd/>
              <w:snapToGrid/>
              <w:spacing w:after="0"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接电</w:t>
            </w:r>
          </w:p>
        </w:tc>
        <w:tc>
          <w:tcPr>
            <w:tcW w:w="8160" w:type="dxa"/>
            <w:tcBorders>
              <w:top w:val="single" w:color="000000" w:sz="4" w:space="0"/>
              <w:left w:val="single" w:color="000000" w:sz="4" w:space="0"/>
              <w:bottom w:val="single" w:color="000000" w:sz="4" w:space="0"/>
              <w:right w:val="single" w:color="000000" w:sz="4" w:space="0"/>
            </w:tcBorders>
            <w:vAlign w:val="top"/>
          </w:tcPr>
          <w:p w14:paraId="19DFB1EC">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both"/>
              <w:textAlignment w:val="auto"/>
              <w:rPr>
                <w:rFonts w:hint="eastAsia" w:ascii="仿宋_GB2312" w:hAnsi="仿宋_GB2312" w:eastAsia="仿宋_GB2312" w:cs="仿宋_GB2312"/>
                <w:color w:val="000000"/>
                <w:kern w:val="0"/>
                <w:sz w:val="24"/>
                <w:szCs w:val="24"/>
              </w:rPr>
            </w:pPr>
          </w:p>
          <w:p w14:paraId="1ED0E707">
            <w:pPr>
              <w:keepNext w:val="0"/>
              <w:keepLines w:val="0"/>
              <w:pageBreakBefore w:val="0"/>
              <w:widowControl w:val="0"/>
              <w:kinsoku/>
              <w:wordWrap w:val="0"/>
              <w:overflowPunct/>
              <w:topLinePunct w:val="0"/>
              <w:autoSpaceDE w:val="0"/>
              <w:autoSpaceDN w:val="0"/>
              <w:bidi w:val="0"/>
              <w:adjustRightInd/>
              <w:snapToGrid/>
              <w:spacing w:after="0" w:line="360" w:lineRule="exact"/>
              <w:ind w:firstLine="8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电力工程施工完成后，电网企业3个工作日内完成装表接电。</w:t>
            </w:r>
          </w:p>
        </w:tc>
      </w:tr>
      <w:tr w14:paraId="33DE581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360" w:hRule="atLeast"/>
        </w:trPr>
        <w:tc>
          <w:tcPr>
            <w:tcW w:w="1000" w:type="dxa"/>
            <w:tcBorders>
              <w:top w:val="single" w:color="000000" w:sz="4" w:space="0"/>
              <w:left w:val="single" w:color="000000" w:sz="4" w:space="0"/>
              <w:bottom w:val="single" w:color="000000" w:sz="4" w:space="0"/>
              <w:right w:val="single" w:color="000000" w:sz="4" w:space="0"/>
            </w:tcBorders>
            <w:vAlign w:val="top"/>
          </w:tcPr>
          <w:p w14:paraId="36B40C8C">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center"/>
              <w:textAlignment w:val="auto"/>
              <w:rPr>
                <w:rFonts w:hint="eastAsia" w:ascii="仿宋_GB2312" w:hAnsi="仿宋_GB2312" w:eastAsia="仿宋_GB2312" w:cs="仿宋_GB2312"/>
                <w:color w:val="000000"/>
                <w:kern w:val="0"/>
                <w:sz w:val="24"/>
                <w:szCs w:val="24"/>
              </w:rPr>
            </w:pPr>
          </w:p>
          <w:p w14:paraId="0DED574A">
            <w:pPr>
              <w:keepNext w:val="0"/>
              <w:keepLines w:val="0"/>
              <w:pageBreakBefore w:val="0"/>
              <w:widowControl w:val="0"/>
              <w:kinsoku/>
              <w:wordWrap w:val="0"/>
              <w:overflowPunct/>
              <w:topLinePunct w:val="0"/>
              <w:autoSpaceDE w:val="0"/>
              <w:autoSpaceDN w:val="0"/>
              <w:bidi w:val="0"/>
              <w:adjustRightInd/>
              <w:snapToGrid/>
              <w:spacing w:after="0"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项目</w:t>
            </w:r>
          </w:p>
          <w:p w14:paraId="0D272245">
            <w:pPr>
              <w:keepNext w:val="0"/>
              <w:keepLines w:val="0"/>
              <w:pageBreakBefore w:val="0"/>
              <w:widowControl w:val="0"/>
              <w:kinsoku/>
              <w:wordWrap w:val="0"/>
              <w:overflowPunct/>
              <w:topLinePunct w:val="0"/>
              <w:autoSpaceDE w:val="0"/>
              <w:autoSpaceDN w:val="0"/>
              <w:bidi w:val="0"/>
              <w:adjustRightInd/>
              <w:snapToGrid/>
              <w:spacing w:after="0"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验收</w:t>
            </w:r>
          </w:p>
        </w:tc>
        <w:tc>
          <w:tcPr>
            <w:tcW w:w="8160" w:type="dxa"/>
            <w:tcBorders>
              <w:top w:val="single" w:color="000000" w:sz="4" w:space="0"/>
              <w:left w:val="single" w:color="000000" w:sz="4" w:space="0"/>
              <w:bottom w:val="single" w:color="000000" w:sz="4" w:space="0"/>
              <w:right w:val="single" w:color="000000" w:sz="4" w:space="0"/>
            </w:tcBorders>
            <w:vAlign w:val="top"/>
          </w:tcPr>
          <w:p w14:paraId="75353D9A">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both"/>
              <w:textAlignment w:val="auto"/>
              <w:rPr>
                <w:rFonts w:hint="eastAsia" w:ascii="仿宋_GB2312" w:hAnsi="仿宋_GB2312" w:eastAsia="仿宋_GB2312" w:cs="仿宋_GB2312"/>
                <w:color w:val="000000"/>
                <w:kern w:val="0"/>
                <w:sz w:val="24"/>
                <w:szCs w:val="24"/>
              </w:rPr>
            </w:pPr>
          </w:p>
          <w:p w14:paraId="5D1121BA">
            <w:pPr>
              <w:keepNext w:val="0"/>
              <w:keepLines w:val="0"/>
              <w:pageBreakBefore w:val="0"/>
              <w:widowControl w:val="0"/>
              <w:kinsoku/>
              <w:wordWrap w:val="0"/>
              <w:overflowPunct/>
              <w:topLinePunct w:val="0"/>
              <w:autoSpaceDE w:val="0"/>
              <w:autoSpaceDN w:val="0"/>
              <w:bidi w:val="0"/>
              <w:adjustRightInd/>
              <w:snapToGrid/>
              <w:spacing w:after="0" w:line="360" w:lineRule="exact"/>
              <w:ind w:firstLine="4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项目通电上线后，运营商组织整体验收，相关资料留存备查。</w:t>
            </w:r>
          </w:p>
        </w:tc>
      </w:tr>
      <w:tr w14:paraId="3438DF0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80" w:hRule="atLeast"/>
        </w:trPr>
        <w:tc>
          <w:tcPr>
            <w:tcW w:w="1000" w:type="dxa"/>
            <w:tcBorders>
              <w:top w:val="single" w:color="000000" w:sz="4" w:space="0"/>
              <w:left w:val="single" w:color="000000" w:sz="4" w:space="0"/>
              <w:bottom w:val="single" w:color="000000" w:sz="4" w:space="0"/>
              <w:right w:val="single" w:color="000000" w:sz="4" w:space="0"/>
            </w:tcBorders>
            <w:vAlign w:val="top"/>
          </w:tcPr>
          <w:p w14:paraId="023955A3">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center"/>
              <w:textAlignment w:val="auto"/>
              <w:rPr>
                <w:rFonts w:hint="eastAsia" w:ascii="仿宋_GB2312" w:hAnsi="仿宋_GB2312" w:eastAsia="仿宋_GB2312" w:cs="仿宋_GB2312"/>
                <w:color w:val="000000"/>
                <w:kern w:val="0"/>
                <w:sz w:val="24"/>
                <w:szCs w:val="24"/>
              </w:rPr>
            </w:pPr>
          </w:p>
          <w:p w14:paraId="6A10C3DF">
            <w:pPr>
              <w:keepNext w:val="0"/>
              <w:keepLines w:val="0"/>
              <w:pageBreakBefore w:val="0"/>
              <w:widowControl w:val="0"/>
              <w:kinsoku/>
              <w:wordWrap w:val="0"/>
              <w:overflowPunct/>
              <w:topLinePunct w:val="0"/>
              <w:autoSpaceDE w:val="0"/>
              <w:autoSpaceDN w:val="0"/>
              <w:bidi w:val="0"/>
              <w:adjustRightInd/>
              <w:snapToGrid/>
              <w:spacing w:after="0"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运营</w:t>
            </w:r>
          </w:p>
          <w:p w14:paraId="76FBCD22">
            <w:pPr>
              <w:keepNext w:val="0"/>
              <w:keepLines w:val="0"/>
              <w:pageBreakBefore w:val="0"/>
              <w:widowControl w:val="0"/>
              <w:kinsoku/>
              <w:wordWrap w:val="0"/>
              <w:overflowPunct/>
              <w:topLinePunct w:val="0"/>
              <w:autoSpaceDE w:val="0"/>
              <w:autoSpaceDN w:val="0"/>
              <w:bidi w:val="0"/>
              <w:adjustRightInd/>
              <w:snapToGrid/>
              <w:spacing w:after="0"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维护</w:t>
            </w:r>
          </w:p>
        </w:tc>
        <w:tc>
          <w:tcPr>
            <w:tcW w:w="8160" w:type="dxa"/>
            <w:tcBorders>
              <w:top w:val="single" w:color="000000" w:sz="4" w:space="0"/>
              <w:left w:val="single" w:color="000000" w:sz="4" w:space="0"/>
              <w:bottom w:val="single" w:color="000000" w:sz="4" w:space="0"/>
              <w:right w:val="single" w:color="000000" w:sz="4" w:space="0"/>
            </w:tcBorders>
            <w:vAlign w:val="top"/>
          </w:tcPr>
          <w:p w14:paraId="64C93080">
            <w:pPr>
              <w:keepNext w:val="0"/>
              <w:keepLines w:val="0"/>
              <w:pageBreakBefore w:val="0"/>
              <w:widowControl w:val="0"/>
              <w:kinsoku/>
              <w:wordWrap w:val="0"/>
              <w:overflowPunct/>
              <w:topLinePunct w:val="0"/>
              <w:autoSpaceDE w:val="0"/>
              <w:autoSpaceDN w:val="0"/>
              <w:bidi w:val="0"/>
              <w:adjustRightInd/>
              <w:snapToGrid/>
              <w:spacing w:after="0" w:line="360" w:lineRule="exact"/>
              <w:ind w:firstLine="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充电运营商作为充电设施投资建设主体，履行安全生产主体责任，负责充电设施日常维护管理，承担相应安全管理责任。提供有偿服务的，实行明码标价。协议期满不再运营的，充电运营商应拆除相关设施设备，并恢复原状。</w:t>
            </w:r>
          </w:p>
        </w:tc>
      </w:tr>
    </w:tbl>
    <w:p w14:paraId="21D4AA5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532E9D8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7EF7577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7F037AB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黑体" w:cs="Times New Roman"/>
          <w:kern w:val="0"/>
          <w:sz w:val="28"/>
          <w:szCs w:val="28"/>
          <w:shd w:val="clear" w:color="auto" w:fill="auto"/>
          <w:lang w:val="en-US" w:eastAsia="zh-CN" w:bidi="ar"/>
        </w:rPr>
      </w:pPr>
      <w:r>
        <w:rPr>
          <w:rFonts w:hint="default" w:ascii="Times New Roman" w:hAnsi="Times New Roman" w:eastAsia="黑体" w:cs="Times New Roman"/>
          <w:kern w:val="0"/>
          <w:sz w:val="28"/>
          <w:szCs w:val="28"/>
          <w:shd w:val="clear" w:color="auto" w:fill="auto"/>
          <w:lang w:val="en-US" w:eastAsia="zh-CN" w:bidi="ar"/>
        </w:rPr>
        <w:t>附件3</w:t>
      </w:r>
    </w:p>
    <w:p w14:paraId="0E26F7A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黑体" w:cs="Times New Roman"/>
          <w:kern w:val="0"/>
          <w:sz w:val="28"/>
          <w:szCs w:val="28"/>
          <w:shd w:val="clear" w:color="auto" w:fill="auto"/>
          <w:lang w:val="en-US" w:eastAsia="zh-CN" w:bidi="ar"/>
        </w:rPr>
      </w:pPr>
    </w:p>
    <w:p w14:paraId="475531A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小标宋简体" w:hAnsi="方正小标宋简体" w:eastAsia="方正小标宋简体" w:cs="方正小标宋简体"/>
          <w:kern w:val="0"/>
          <w:sz w:val="44"/>
          <w:szCs w:val="44"/>
          <w:shd w:val="clear" w:color="auto" w:fill="auto"/>
          <w:lang w:val="en-US" w:eastAsia="zh-CN" w:bidi="ar"/>
        </w:rPr>
      </w:pPr>
      <w:r>
        <w:rPr>
          <w:rFonts w:hint="eastAsia" w:ascii="方正小标宋简体" w:hAnsi="方正小标宋简体" w:eastAsia="方正小标宋简体" w:cs="方正小标宋简体"/>
          <w:kern w:val="0"/>
          <w:sz w:val="44"/>
          <w:szCs w:val="44"/>
          <w:shd w:val="clear" w:color="auto" w:fill="auto"/>
          <w:lang w:val="en-US" w:eastAsia="zh-CN" w:bidi="ar"/>
        </w:rPr>
        <w:t>既有小区自用充电桩建设管理流程</w:t>
      </w:r>
    </w:p>
    <w:p w14:paraId="7626A7A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1DC9909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黑体" w:hAnsi="黑体" w:eastAsia="黑体" w:cs="黑体"/>
          <w:kern w:val="0"/>
          <w:sz w:val="32"/>
          <w:szCs w:val="32"/>
          <w:shd w:val="clear" w:color="auto" w:fill="auto"/>
          <w:lang w:val="en-US" w:eastAsia="zh-CN" w:bidi="ar"/>
        </w:rPr>
      </w:pPr>
      <w:r>
        <w:rPr>
          <w:rFonts w:hint="eastAsia" w:ascii="黑体" w:hAnsi="黑体" w:eastAsia="黑体" w:cs="黑体"/>
          <w:kern w:val="0"/>
          <w:sz w:val="32"/>
          <w:szCs w:val="32"/>
          <w:shd w:val="clear" w:color="auto" w:fill="auto"/>
          <w:lang w:val="en-US" w:eastAsia="zh-CN" w:bidi="ar"/>
        </w:rPr>
        <w:t>一、既有小区建设安装居民自用充电桩须符合以下条件</w:t>
      </w:r>
    </w:p>
    <w:p w14:paraId="4574C17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1.</w:t>
      </w:r>
      <w:r>
        <w:rPr>
          <w:rFonts w:hint="default" w:ascii="Times New Roman" w:hAnsi="Times New Roman" w:eastAsia="楷体_GB2312" w:cs="Times New Roman"/>
          <w:kern w:val="0"/>
          <w:sz w:val="32"/>
          <w:szCs w:val="32"/>
          <w:shd w:val="clear" w:color="auto" w:fill="auto"/>
          <w:lang w:val="en-US" w:eastAsia="zh-CN" w:bidi="ar"/>
        </w:rPr>
        <w:t>车位条件。</w:t>
      </w:r>
      <w:r>
        <w:rPr>
          <w:rFonts w:hint="default" w:ascii="Times New Roman" w:hAnsi="Times New Roman" w:eastAsia="仿宋_GB2312" w:cs="Times New Roman"/>
          <w:kern w:val="0"/>
          <w:sz w:val="32"/>
          <w:szCs w:val="32"/>
          <w:shd w:val="clear" w:color="auto" w:fill="auto"/>
          <w:lang w:val="en-US" w:eastAsia="zh-CN" w:bidi="ar"/>
        </w:rPr>
        <w:t>业主或房屋租赁人（以下简称：申请人）持有自有产权车位或产权人同意的租赁车位（租赁期一年以上）。</w:t>
      </w:r>
    </w:p>
    <w:p w14:paraId="7F537F6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2.</w:t>
      </w:r>
      <w:r>
        <w:rPr>
          <w:rFonts w:hint="default" w:ascii="Times New Roman" w:hAnsi="Times New Roman" w:eastAsia="楷体_GB2312" w:cs="Times New Roman"/>
          <w:kern w:val="0"/>
          <w:sz w:val="32"/>
          <w:szCs w:val="32"/>
          <w:shd w:val="clear" w:color="auto" w:fill="auto"/>
          <w:lang w:val="en-US" w:eastAsia="zh-CN" w:bidi="ar"/>
        </w:rPr>
        <w:t>电力容量。</w:t>
      </w:r>
      <w:r>
        <w:rPr>
          <w:rFonts w:hint="default" w:ascii="Times New Roman" w:hAnsi="Times New Roman" w:eastAsia="仿宋_GB2312" w:cs="Times New Roman"/>
          <w:kern w:val="0"/>
          <w:sz w:val="32"/>
          <w:szCs w:val="32"/>
          <w:shd w:val="clear" w:color="auto" w:fill="auto"/>
          <w:lang w:val="en-US" w:eastAsia="zh-CN" w:bidi="ar"/>
        </w:rPr>
        <w:t>小区剩余电力变配电容量能够满足自用桩用电负荷需求；不满足的，可开展小区变压器增容或引入充电运营商采用智能有序充电方式建设，支持优先应用智能有序充电。</w:t>
      </w:r>
    </w:p>
    <w:p w14:paraId="62EC6CEB">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3.</w:t>
      </w:r>
      <w:r>
        <w:rPr>
          <w:rFonts w:hint="default" w:ascii="Times New Roman" w:hAnsi="Times New Roman" w:eastAsia="楷体_GB2312" w:cs="Times New Roman"/>
          <w:kern w:val="0"/>
          <w:sz w:val="32"/>
          <w:szCs w:val="32"/>
          <w:shd w:val="clear" w:color="auto" w:fill="auto"/>
          <w:lang w:val="en-US" w:eastAsia="zh-CN" w:bidi="ar"/>
        </w:rPr>
        <w:t>消防设施。</w:t>
      </w:r>
      <w:r>
        <w:rPr>
          <w:rFonts w:hint="default" w:ascii="Times New Roman" w:hAnsi="Times New Roman" w:eastAsia="仿宋_GB2312" w:cs="Times New Roman"/>
          <w:kern w:val="0"/>
          <w:sz w:val="32"/>
          <w:szCs w:val="32"/>
          <w:shd w:val="clear" w:color="auto" w:fill="auto"/>
          <w:lang w:val="en-US" w:eastAsia="zh-CN" w:bidi="ar"/>
        </w:rPr>
        <w:t>小区地下、半地下车库和高层车库具备火灾自动报警系统、排烟设施、自动喷水灭火系统、消防应急照明和疏散指示标志。</w:t>
      </w:r>
    </w:p>
    <w:p w14:paraId="062A3E64">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eastAsia" w:ascii="黑体" w:hAnsi="黑体" w:eastAsia="黑体" w:cs="黑体"/>
          <w:kern w:val="0"/>
          <w:sz w:val="32"/>
          <w:szCs w:val="32"/>
          <w:shd w:val="clear" w:color="auto" w:fill="auto"/>
          <w:lang w:val="en-US" w:eastAsia="zh-CN" w:bidi="ar"/>
        </w:rPr>
      </w:pPr>
      <w:r>
        <w:rPr>
          <w:rFonts w:hint="eastAsia" w:ascii="黑体" w:hAnsi="黑体" w:eastAsia="黑体" w:cs="黑体"/>
          <w:kern w:val="0"/>
          <w:sz w:val="32"/>
          <w:szCs w:val="32"/>
          <w:shd w:val="clear" w:color="auto" w:fill="auto"/>
          <w:lang w:val="en-US" w:eastAsia="zh-CN" w:bidi="ar"/>
        </w:rPr>
        <w:t>二、既有小区自用充电桩建设管理流程如下</w:t>
      </w:r>
    </w:p>
    <w:p w14:paraId="1FBB4EB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1.</w:t>
      </w:r>
      <w:r>
        <w:rPr>
          <w:rFonts w:hint="default" w:ascii="Times New Roman" w:hAnsi="Times New Roman" w:eastAsia="楷体_GB2312" w:cs="Times New Roman"/>
          <w:kern w:val="0"/>
          <w:sz w:val="32"/>
          <w:szCs w:val="32"/>
          <w:shd w:val="clear" w:color="auto" w:fill="auto"/>
          <w:lang w:val="en-US" w:eastAsia="zh-CN" w:bidi="ar"/>
        </w:rPr>
        <w:t>准备材料。</w:t>
      </w:r>
      <w:r>
        <w:rPr>
          <w:rFonts w:hint="default" w:ascii="Times New Roman" w:hAnsi="Times New Roman" w:eastAsia="仿宋_GB2312" w:cs="Times New Roman"/>
          <w:kern w:val="0"/>
          <w:sz w:val="32"/>
          <w:szCs w:val="32"/>
          <w:shd w:val="clear" w:color="auto" w:fill="auto"/>
          <w:lang w:val="en-US" w:eastAsia="zh-CN" w:bidi="ar"/>
        </w:rPr>
        <w:t>申请人持车位产权证明（车位产权登记证明、车位租赁协议或车位产权人同意证明等）向小区管理单位提出申请。小区管理单位收到申请后应于7个工作日内核实目前小区剩余电力变配电容量情况，查勘安装现场。</w:t>
      </w:r>
    </w:p>
    <w:p w14:paraId="0FB9A28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2.</w:t>
      </w:r>
      <w:r>
        <w:rPr>
          <w:rFonts w:hint="default" w:ascii="Times New Roman" w:hAnsi="Times New Roman" w:eastAsia="楷体_GB2312" w:cs="Times New Roman"/>
          <w:kern w:val="0"/>
          <w:sz w:val="32"/>
          <w:szCs w:val="32"/>
          <w:shd w:val="clear" w:color="auto" w:fill="auto"/>
          <w:lang w:val="en-US" w:eastAsia="zh-CN" w:bidi="ar"/>
        </w:rPr>
        <w:t>报装申请向电网企业直接报装接电的，由申请人或其委托的相关单位向属地供电企业提出申请。</w:t>
      </w:r>
      <w:r>
        <w:rPr>
          <w:rFonts w:hint="default" w:ascii="Times New Roman" w:hAnsi="Times New Roman" w:eastAsia="仿宋_GB2312" w:cs="Times New Roman"/>
          <w:kern w:val="0"/>
          <w:sz w:val="32"/>
          <w:szCs w:val="32"/>
          <w:shd w:val="clear" w:color="auto" w:fill="auto"/>
          <w:lang w:val="en-US" w:eastAsia="zh-CN" w:bidi="ar"/>
        </w:rPr>
        <w:t>供电企业履行“一次性告知”义务，接收、查验、审核接电申请资料。申请资料包括：</w:t>
      </w:r>
    </w:p>
    <w:p w14:paraId="46D2129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仿宋_GB2312" w:cs="Times New Roman"/>
          <w:kern w:val="0"/>
          <w:sz w:val="32"/>
          <w:szCs w:val="32"/>
          <w:shd w:val="clear" w:color="auto" w:fill="auto"/>
          <w:lang w:val="en-US" w:eastAsia="zh-CN" w:bidi="ar"/>
        </w:rPr>
        <w:t>（1）客户有效身份证和复印件；</w:t>
      </w:r>
    </w:p>
    <w:p w14:paraId="45D89A8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仿宋_GB2312" w:cs="Times New Roman"/>
          <w:kern w:val="0"/>
          <w:sz w:val="32"/>
          <w:szCs w:val="32"/>
          <w:shd w:val="clear" w:color="auto" w:fill="auto"/>
          <w:lang w:val="en-US" w:eastAsia="zh-CN" w:bidi="ar"/>
        </w:rPr>
        <w:t>（2）固定车位产权证明或车位租赁证明或产权人同意证明；</w:t>
      </w:r>
    </w:p>
    <w:p w14:paraId="05BCB5B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default" w:ascii="Times New Roman" w:hAnsi="Times New Roman" w:eastAsia="仿宋_GB2312" w:cs="Times New Roman"/>
          <w:kern w:val="0"/>
          <w:sz w:val="32"/>
          <w:szCs w:val="32"/>
          <w:shd w:val="clear" w:color="auto" w:fill="auto"/>
          <w:lang w:val="en-US" w:eastAsia="zh-CN" w:bidi="ar"/>
        </w:rPr>
        <w:t>（3）小区管理单位出具的《充电设施报装申请表》（盖章）。未向电网企业直接报装接电的，由申请人与小区管理单位协商用电。小区管理单位应明确告知用电性质及收费标准，费用收取须符合转供电有关规定，不得违规加价收取电费。</w:t>
      </w:r>
    </w:p>
    <w:p w14:paraId="05226BF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3.</w:t>
      </w:r>
      <w:r>
        <w:rPr>
          <w:rFonts w:hint="default" w:ascii="Times New Roman" w:hAnsi="Times New Roman" w:eastAsia="楷体_GB2312" w:cs="Times New Roman"/>
          <w:kern w:val="0"/>
          <w:sz w:val="32"/>
          <w:szCs w:val="32"/>
          <w:shd w:val="clear" w:color="auto" w:fill="auto"/>
          <w:lang w:val="en-US" w:eastAsia="zh-CN" w:bidi="ar"/>
        </w:rPr>
        <w:t>现场查勘。</w:t>
      </w:r>
      <w:r>
        <w:rPr>
          <w:rFonts w:hint="default" w:ascii="Times New Roman" w:hAnsi="Times New Roman" w:eastAsia="仿宋_GB2312" w:cs="Times New Roman"/>
          <w:kern w:val="0"/>
          <w:sz w:val="32"/>
          <w:szCs w:val="32"/>
          <w:shd w:val="clear" w:color="auto" w:fill="auto"/>
          <w:lang w:val="en-US" w:eastAsia="zh-CN" w:bidi="ar"/>
        </w:rPr>
        <w:t>电网企业受理报装申请后3个工作日内，会同申请人或其委托的相关单位到现场进行用电及施工可行性勘察，小区管理单位应积极配合现场勘察。现有配电设施确实无法满足充电桩用电负荷需求的，产权为电网企业的，由供电企业提出解决方案；产权为用电用户的，由用电用户提供解决方案，可开展变压器增容或引入充电运营商统建统管，支持优先应用智能有序充电方式建设。</w:t>
      </w:r>
    </w:p>
    <w:p w14:paraId="47A1B7C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4.</w:t>
      </w:r>
      <w:r>
        <w:rPr>
          <w:rFonts w:hint="default" w:ascii="Times New Roman" w:hAnsi="Times New Roman" w:eastAsia="楷体_GB2312" w:cs="Times New Roman"/>
          <w:kern w:val="0"/>
          <w:sz w:val="32"/>
          <w:szCs w:val="32"/>
          <w:shd w:val="clear" w:color="auto" w:fill="auto"/>
          <w:lang w:val="en-US" w:eastAsia="zh-CN" w:bidi="ar"/>
        </w:rPr>
        <w:t>施工建设。</w:t>
      </w:r>
      <w:r>
        <w:rPr>
          <w:rFonts w:hint="default" w:ascii="Times New Roman" w:hAnsi="Times New Roman" w:eastAsia="仿宋_GB2312" w:cs="Times New Roman"/>
          <w:kern w:val="0"/>
          <w:sz w:val="32"/>
          <w:szCs w:val="32"/>
          <w:shd w:val="clear" w:color="auto" w:fill="auto"/>
          <w:lang w:val="en-US" w:eastAsia="zh-CN" w:bidi="ar"/>
        </w:rPr>
        <w:t>申请人组织符合资质的充电设施施工单位与小区管理单位对接，就施工工期、人员进出、材料管理、工程对接、现场管理等事项达成一致意见。施工单位按照确认后的安装技术方案和相应施工规范、技术标准以及安全管理规定，组织开展充电基础设施工程建设，并承担施工期间的安全责任。申请人应当在施工前与施工单位等签订电动汽车自用桩安装承诺书，就充电设施安装的相关内容及施工安全责任进行约定。</w:t>
      </w:r>
    </w:p>
    <w:p w14:paraId="17BBB3DB">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5.</w:t>
      </w:r>
      <w:r>
        <w:rPr>
          <w:rFonts w:hint="default" w:ascii="Times New Roman" w:hAnsi="Times New Roman" w:eastAsia="楷体_GB2312" w:cs="Times New Roman"/>
          <w:kern w:val="0"/>
          <w:sz w:val="32"/>
          <w:szCs w:val="32"/>
          <w:shd w:val="clear" w:color="auto" w:fill="auto"/>
          <w:lang w:val="en-US" w:eastAsia="zh-CN" w:bidi="ar"/>
        </w:rPr>
        <w:t>装表接电。</w:t>
      </w:r>
      <w:r>
        <w:rPr>
          <w:rFonts w:hint="default" w:ascii="Times New Roman" w:hAnsi="Times New Roman" w:eastAsia="仿宋_GB2312" w:cs="Times New Roman"/>
          <w:kern w:val="0"/>
          <w:sz w:val="32"/>
          <w:szCs w:val="32"/>
          <w:shd w:val="clear" w:color="auto" w:fill="auto"/>
          <w:lang w:val="en-US" w:eastAsia="zh-CN" w:bidi="ar"/>
        </w:rPr>
        <w:t>充电设施建设施工完成后，申请人向电网企业提出竣工检验申请，电网企业在3个工作日内组织工程验收，出具验收意见，验收合格并办理相关手续，电网企业予以装表接电。送电前，施工单位应与申请人在小区管理单位的参与下交付充电设施，提供安装合格证明并抄送小区管理单位备案。充电设施生产厂家应安排专业技术人员对申请人（使用人）进行充电桩使用技术培训及安全防范培训。</w:t>
      </w:r>
    </w:p>
    <w:p w14:paraId="109CCB4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rPr>
          <w:rFonts w:hint="default" w:ascii="Times New Roman" w:hAnsi="Times New Roman" w:eastAsia="仿宋_GB2312" w:cs="Times New Roman"/>
          <w:kern w:val="0"/>
          <w:sz w:val="32"/>
          <w:szCs w:val="32"/>
          <w:shd w:val="clear" w:color="auto" w:fill="auto"/>
          <w:lang w:val="en-US" w:eastAsia="zh-CN" w:bidi="ar"/>
        </w:rPr>
      </w:pPr>
      <w:r>
        <w:rPr>
          <w:rFonts w:hint="eastAsia" w:ascii="Times New Roman" w:hAnsi="Times New Roman" w:eastAsia="楷体_GB2312" w:cs="Times New Roman"/>
          <w:kern w:val="0"/>
          <w:sz w:val="32"/>
          <w:szCs w:val="32"/>
          <w:shd w:val="clear" w:color="auto" w:fill="auto"/>
          <w:lang w:val="en-US" w:eastAsia="zh-CN" w:bidi="ar"/>
        </w:rPr>
        <w:t>6.</w:t>
      </w:r>
      <w:r>
        <w:rPr>
          <w:rFonts w:hint="default" w:ascii="Times New Roman" w:hAnsi="Times New Roman" w:eastAsia="楷体_GB2312" w:cs="Times New Roman"/>
          <w:kern w:val="0"/>
          <w:sz w:val="32"/>
          <w:szCs w:val="32"/>
          <w:shd w:val="clear" w:color="auto" w:fill="auto"/>
          <w:lang w:val="en-US" w:eastAsia="zh-CN" w:bidi="ar"/>
        </w:rPr>
        <w:t>运营维护。</w:t>
      </w:r>
      <w:r>
        <w:rPr>
          <w:rFonts w:hint="default" w:ascii="Times New Roman" w:hAnsi="Times New Roman" w:eastAsia="仿宋_GB2312" w:cs="Times New Roman"/>
          <w:kern w:val="0"/>
          <w:sz w:val="32"/>
          <w:szCs w:val="32"/>
          <w:shd w:val="clear" w:color="auto" w:fill="auto"/>
          <w:lang w:val="en-US" w:eastAsia="zh-CN" w:bidi="ar"/>
        </w:rPr>
        <w:t>申请人作为充电设施产权人，负责充电设施日常维护管理，承担相应安全管理责任，电动汽车生产（销售）企业在协议期内为用户提供充电桩维护保养，小区管理单位加强充电设施日常安全巡查。支持充电运营商按照“统建统管”模式开展干线电缆等供电设施改造，统一向属地供电企业提出报装申请，提供自用桩安装与维护管理一体化服务，建设管理流程按照本细则公用桩要求办理。充电运营商须与申请人签订服务协议，按照约定内容提供相应服务。</w:t>
      </w:r>
    </w:p>
    <w:p w14:paraId="2E9E7120">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7B43DB2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65468E5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4A6756D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14D9EA9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63B7AF3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6641E1C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4FC95F9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0A231A43">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2E11BE6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53FF150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4996D59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p w14:paraId="38C10EB7">
      <w:pPr>
        <w:wordWrap w:val="0"/>
        <w:autoSpaceDE w:val="0"/>
        <w:autoSpaceDN w:val="0"/>
        <w:spacing w:before="0" w:after="0" w:line="386" w:lineRule="auto"/>
        <w:jc w:val="center"/>
        <w:rPr>
          <w:rFonts w:hint="eastAsia" w:ascii="黑体" w:hAnsi="黑体" w:eastAsia="黑体" w:cs="黑体"/>
          <w:b w:val="0"/>
          <w:bCs w:val="0"/>
          <w:kern w:val="0"/>
          <w:sz w:val="32"/>
          <w:szCs w:val="32"/>
        </w:rPr>
      </w:pPr>
      <w:r>
        <w:rPr>
          <w:rFonts w:hint="eastAsia" w:ascii="黑体" w:hAnsi="黑体" w:eastAsia="黑体" w:cs="黑体"/>
          <w:b w:val="0"/>
          <w:bCs w:val="0"/>
          <w:color w:val="000000"/>
          <w:kern w:val="0"/>
          <w:sz w:val="32"/>
          <w:szCs w:val="32"/>
        </w:rPr>
        <w:t>既有小区自用充电桩建设管理流程图</w:t>
      </w:r>
    </w:p>
    <w:tbl>
      <w:tblPr>
        <w:tblStyle w:val="4"/>
        <w:tblW w:w="0" w:type="auto"/>
        <w:tblInd w:w="2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0" w:type="dxa"/>
          <w:bottom w:w="0" w:type="dxa"/>
          <w:right w:w="0" w:type="dxa"/>
        </w:tblCellMar>
      </w:tblPr>
      <w:tblGrid>
        <w:gridCol w:w="908"/>
        <w:gridCol w:w="7383"/>
      </w:tblGrid>
      <w:tr w14:paraId="197F592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vAlign w:val="top"/>
          </w:tcPr>
          <w:p w14:paraId="67C38BE5">
            <w:pPr>
              <w:wordWrap w:val="0"/>
              <w:autoSpaceDE w:val="0"/>
              <w:autoSpaceDN w:val="0"/>
              <w:spacing w:before="0" w:after="0" w:line="239" w:lineRule="auto"/>
              <w:ind w:firstLine="0"/>
              <w:jc w:val="both"/>
              <w:rPr>
                <w:rFonts w:hint="eastAsia" w:ascii="仿宋_GB2312" w:hAnsi="仿宋_GB2312" w:eastAsia="仿宋_GB2312" w:cs="仿宋_GB2312"/>
                <w:color w:val="000000"/>
                <w:kern w:val="0"/>
                <w:sz w:val="24"/>
                <w:szCs w:val="24"/>
              </w:rPr>
            </w:pPr>
          </w:p>
          <w:p w14:paraId="0B77426D">
            <w:pPr>
              <w:wordWrap w:val="0"/>
              <w:autoSpaceDE w:val="0"/>
              <w:autoSpaceDN w:val="0"/>
              <w:spacing w:before="49" w:after="0" w:line="239" w:lineRule="auto"/>
              <w:ind w:firstLine="30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准备</w:t>
            </w:r>
          </w:p>
          <w:p w14:paraId="2939541C">
            <w:pPr>
              <w:wordWrap w:val="0"/>
              <w:autoSpaceDE w:val="0"/>
              <w:autoSpaceDN w:val="0"/>
              <w:spacing w:before="0" w:after="0" w:line="239" w:lineRule="auto"/>
              <w:ind w:firstLine="30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材料</w:t>
            </w:r>
          </w:p>
        </w:tc>
        <w:tc>
          <w:tcPr>
            <w:tcW w:w="8340" w:type="dxa"/>
            <w:tcBorders>
              <w:top w:val="single" w:color="000000" w:sz="4" w:space="0"/>
              <w:left w:val="single" w:color="000000" w:sz="4" w:space="0"/>
              <w:bottom w:val="single" w:color="000000" w:sz="4" w:space="0"/>
              <w:right w:val="single" w:color="000000" w:sz="4" w:space="0"/>
            </w:tcBorders>
            <w:vAlign w:val="top"/>
          </w:tcPr>
          <w:p w14:paraId="75807CFA">
            <w:pPr>
              <w:wordWrap w:val="0"/>
              <w:autoSpaceDE w:val="0"/>
              <w:autoSpaceDN w:val="0"/>
              <w:spacing w:before="254" w:after="0" w:line="239" w:lineRule="auto"/>
              <w:ind w:firstLine="0"/>
              <w:jc w:val="both"/>
              <w:rPr>
                <w:rFonts w:hint="default" w:ascii="Times New Roman" w:hAnsi="Times New Roman" w:eastAsia="仿宋_GB2312" w:cs="Times New Roman"/>
                <w:kern w:val="0"/>
                <w:sz w:val="24"/>
                <w:szCs w:val="24"/>
              </w:rPr>
            </w:pPr>
            <w:r>
              <w:rPr>
                <w:rFonts w:hint="eastAsia" w:ascii="Times New Roman" w:hAnsi="Times New Roman" w:eastAsia="仿宋_GB2312" w:cs="Times New Roman"/>
                <w:color w:val="000000"/>
                <w:kern w:val="0"/>
                <w:sz w:val="24"/>
                <w:szCs w:val="24"/>
                <w:lang w:eastAsia="zh-CN"/>
              </w:rPr>
              <w:t>1.</w:t>
            </w:r>
            <w:r>
              <w:rPr>
                <w:rFonts w:hint="default" w:ascii="Times New Roman" w:hAnsi="Times New Roman" w:eastAsia="仿宋_GB2312" w:cs="Times New Roman"/>
                <w:color w:val="000000"/>
                <w:kern w:val="0"/>
                <w:sz w:val="24"/>
                <w:szCs w:val="24"/>
              </w:rPr>
              <w:t>车位产权证明；</w:t>
            </w:r>
          </w:p>
          <w:p w14:paraId="5A868B56">
            <w:pPr>
              <w:wordWrap w:val="0"/>
              <w:autoSpaceDE w:val="0"/>
              <w:autoSpaceDN w:val="0"/>
              <w:spacing w:before="0" w:after="0" w:line="239" w:lineRule="auto"/>
              <w:ind w:firstLine="0"/>
              <w:jc w:val="both"/>
              <w:rPr>
                <w:rFonts w:hint="default" w:ascii="Times New Roman" w:hAnsi="Times New Roman" w:eastAsia="仿宋_GB2312" w:cs="Times New Roman"/>
                <w:kern w:val="0"/>
                <w:sz w:val="24"/>
                <w:szCs w:val="24"/>
              </w:rPr>
            </w:pPr>
            <w:r>
              <w:rPr>
                <w:rFonts w:hint="eastAsia" w:ascii="Times New Roman" w:hAnsi="Times New Roman" w:eastAsia="仿宋_GB2312" w:cs="Times New Roman"/>
                <w:color w:val="000000"/>
                <w:kern w:val="0"/>
                <w:sz w:val="24"/>
                <w:szCs w:val="24"/>
                <w:lang w:eastAsia="zh-CN"/>
              </w:rPr>
              <w:t>2.</w:t>
            </w:r>
            <w:r>
              <w:rPr>
                <w:rFonts w:hint="default" w:ascii="Times New Roman" w:hAnsi="Times New Roman" w:eastAsia="仿宋_GB2312" w:cs="Times New Roman"/>
                <w:color w:val="000000"/>
                <w:kern w:val="0"/>
                <w:sz w:val="24"/>
                <w:szCs w:val="24"/>
              </w:rPr>
              <w:t>小区管理单位核实小区电力负荷情况，并与申请人协商达成一致（按照“统建统管”方式建设的，申请人无须准备材料）。</w:t>
            </w:r>
          </w:p>
        </w:tc>
      </w:tr>
      <w:tr w14:paraId="29E666E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200" w:hRule="atLeast"/>
        </w:trPr>
        <w:tc>
          <w:tcPr>
            <w:tcW w:w="960" w:type="dxa"/>
            <w:tcBorders>
              <w:top w:val="single" w:color="000000" w:sz="4" w:space="0"/>
              <w:left w:val="single" w:color="000000" w:sz="4" w:space="0"/>
              <w:bottom w:val="single" w:color="000000" w:sz="4" w:space="0"/>
              <w:right w:val="single" w:color="000000" w:sz="4" w:space="0"/>
            </w:tcBorders>
            <w:vAlign w:val="top"/>
          </w:tcPr>
          <w:p w14:paraId="31CA5536">
            <w:pPr>
              <w:wordWrap w:val="0"/>
              <w:autoSpaceDE w:val="0"/>
              <w:autoSpaceDN w:val="0"/>
              <w:spacing w:before="0" w:after="0" w:line="239" w:lineRule="auto"/>
              <w:ind w:firstLine="0"/>
              <w:jc w:val="both"/>
              <w:rPr>
                <w:rFonts w:hint="eastAsia" w:ascii="仿宋_GB2312" w:hAnsi="仿宋_GB2312" w:eastAsia="仿宋_GB2312" w:cs="仿宋_GB2312"/>
                <w:color w:val="000000"/>
                <w:kern w:val="0"/>
                <w:sz w:val="24"/>
                <w:szCs w:val="24"/>
              </w:rPr>
            </w:pPr>
          </w:p>
          <w:p w14:paraId="7D866A8A">
            <w:pPr>
              <w:wordWrap w:val="0"/>
              <w:autoSpaceDE w:val="0"/>
              <w:autoSpaceDN w:val="0"/>
              <w:spacing w:before="0" w:after="0" w:line="239" w:lineRule="auto"/>
              <w:ind w:firstLine="0"/>
              <w:jc w:val="both"/>
              <w:rPr>
                <w:rFonts w:hint="eastAsia" w:ascii="仿宋_GB2312" w:hAnsi="仿宋_GB2312" w:eastAsia="仿宋_GB2312" w:cs="仿宋_GB2312"/>
                <w:color w:val="000000"/>
                <w:kern w:val="0"/>
                <w:sz w:val="24"/>
                <w:szCs w:val="24"/>
              </w:rPr>
            </w:pPr>
          </w:p>
          <w:p w14:paraId="1D9918C9">
            <w:pPr>
              <w:wordWrap w:val="0"/>
              <w:autoSpaceDE w:val="0"/>
              <w:autoSpaceDN w:val="0"/>
              <w:spacing w:before="284" w:after="0" w:line="239" w:lineRule="auto"/>
              <w:ind w:firstLine="30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报装</w:t>
            </w:r>
          </w:p>
          <w:p w14:paraId="2AAF5B95">
            <w:pPr>
              <w:wordWrap w:val="0"/>
              <w:autoSpaceDE w:val="0"/>
              <w:autoSpaceDN w:val="0"/>
              <w:spacing w:before="0" w:after="0" w:line="239" w:lineRule="auto"/>
              <w:ind w:firstLine="30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申请</w:t>
            </w:r>
          </w:p>
        </w:tc>
        <w:tc>
          <w:tcPr>
            <w:tcW w:w="8340" w:type="dxa"/>
            <w:tcBorders>
              <w:top w:val="single" w:color="000000" w:sz="4" w:space="0"/>
              <w:left w:val="single" w:color="000000" w:sz="4" w:space="0"/>
              <w:bottom w:val="single" w:color="000000" w:sz="4" w:space="0"/>
              <w:right w:val="single" w:color="000000" w:sz="4" w:space="0"/>
            </w:tcBorders>
            <w:vAlign w:val="top"/>
          </w:tcPr>
          <w:p w14:paraId="5F14B4E5">
            <w:pPr>
              <w:wordWrap w:val="0"/>
              <w:autoSpaceDE w:val="0"/>
              <w:autoSpaceDN w:val="0"/>
              <w:spacing w:before="154" w:after="0" w:line="239" w:lineRule="auto"/>
              <w:ind w:firstLine="10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向电网企业直接报装接电的，申请人准备资料，提出报装申请：</w:t>
            </w:r>
          </w:p>
          <w:p w14:paraId="2D646719">
            <w:pPr>
              <w:wordWrap w:val="0"/>
              <w:autoSpaceDE w:val="0"/>
              <w:autoSpaceDN w:val="0"/>
              <w:spacing w:before="0" w:after="0" w:line="239" w:lineRule="auto"/>
              <w:ind w:firstLine="10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（1）客户有效身份证和复印件；</w:t>
            </w:r>
          </w:p>
          <w:p w14:paraId="6A1DD089">
            <w:pPr>
              <w:wordWrap w:val="0"/>
              <w:autoSpaceDE w:val="0"/>
              <w:autoSpaceDN w:val="0"/>
              <w:spacing w:before="0" w:after="0" w:line="239" w:lineRule="auto"/>
              <w:ind w:firstLine="10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（2）固定车位产权证明或车位租赁证明或产权人同意证明；</w:t>
            </w:r>
          </w:p>
          <w:p w14:paraId="3B9A304E">
            <w:pPr>
              <w:wordWrap w:val="0"/>
              <w:autoSpaceDE w:val="0"/>
              <w:autoSpaceDN w:val="0"/>
              <w:spacing w:before="0" w:after="0" w:line="239" w:lineRule="auto"/>
              <w:ind w:firstLine="10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（3）小区管理单位出具的《充电设施报装申请表》。</w:t>
            </w:r>
          </w:p>
          <w:p w14:paraId="656FBB2F">
            <w:pPr>
              <w:wordWrap w:val="0"/>
              <w:autoSpaceDE w:val="0"/>
              <w:autoSpaceDN w:val="0"/>
              <w:spacing w:before="0" w:after="0" w:line="239" w:lineRule="auto"/>
              <w:ind w:left="100" w:firstLine="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未向电网企业直接报装接电的，申请人与小区管理单位协商用电；按照统建统管方式建设的，由充电运营商打包统一向属地供电企业提出报装申请，申请资料按照公用桩报装申请要求办理。</w:t>
            </w:r>
          </w:p>
        </w:tc>
      </w:tr>
      <w:tr w14:paraId="694232C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600" w:hRule="atLeast"/>
        </w:trPr>
        <w:tc>
          <w:tcPr>
            <w:tcW w:w="960" w:type="dxa"/>
            <w:tcBorders>
              <w:top w:val="single" w:color="000000" w:sz="4" w:space="0"/>
              <w:left w:val="single" w:color="000000" w:sz="4" w:space="0"/>
              <w:bottom w:val="single" w:color="000000" w:sz="4" w:space="0"/>
              <w:right w:val="single" w:color="000000" w:sz="4" w:space="0"/>
            </w:tcBorders>
            <w:vAlign w:val="top"/>
          </w:tcPr>
          <w:p w14:paraId="66F9234F">
            <w:pPr>
              <w:wordWrap w:val="0"/>
              <w:autoSpaceDE w:val="0"/>
              <w:autoSpaceDN w:val="0"/>
              <w:spacing w:before="0" w:after="0" w:line="239" w:lineRule="auto"/>
              <w:ind w:firstLine="0"/>
              <w:jc w:val="both"/>
              <w:rPr>
                <w:rFonts w:hint="eastAsia" w:ascii="仿宋_GB2312" w:hAnsi="仿宋_GB2312" w:eastAsia="仿宋_GB2312" w:cs="仿宋_GB2312"/>
                <w:color w:val="000000"/>
                <w:kern w:val="0"/>
                <w:sz w:val="24"/>
                <w:szCs w:val="24"/>
              </w:rPr>
            </w:pPr>
          </w:p>
          <w:p w14:paraId="7B2332D2">
            <w:pPr>
              <w:wordWrap w:val="0"/>
              <w:autoSpaceDE w:val="0"/>
              <w:autoSpaceDN w:val="0"/>
              <w:spacing w:before="249" w:after="0" w:line="239" w:lineRule="auto"/>
              <w:ind w:firstLine="28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现场</w:t>
            </w:r>
          </w:p>
          <w:p w14:paraId="07963640">
            <w:pPr>
              <w:wordWrap w:val="0"/>
              <w:autoSpaceDE w:val="0"/>
              <w:autoSpaceDN w:val="0"/>
              <w:spacing w:before="114" w:after="0" w:line="239" w:lineRule="auto"/>
              <w:ind w:firstLine="28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查勘</w:t>
            </w:r>
          </w:p>
        </w:tc>
        <w:tc>
          <w:tcPr>
            <w:tcW w:w="8340" w:type="dxa"/>
            <w:tcBorders>
              <w:top w:val="single" w:color="000000" w:sz="4" w:space="0"/>
              <w:left w:val="single" w:color="000000" w:sz="4" w:space="0"/>
              <w:bottom w:val="single" w:color="000000" w:sz="4" w:space="0"/>
              <w:right w:val="single" w:color="000000" w:sz="4" w:space="0"/>
            </w:tcBorders>
            <w:vAlign w:val="top"/>
          </w:tcPr>
          <w:p w14:paraId="4A466FF3">
            <w:pPr>
              <w:wordWrap w:val="0"/>
              <w:autoSpaceDE w:val="0"/>
              <w:autoSpaceDN w:val="0"/>
              <w:spacing w:before="94" w:after="0" w:line="239" w:lineRule="auto"/>
              <w:ind w:right="20" w:firstLine="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电网企业履行“一次告知”义务，受理、审核报装申请资料、受理申请资料后，3个工作</w:t>
            </w:r>
            <w:r>
              <w:rPr>
                <w:rFonts w:hint="eastAsia" w:ascii="Times New Roman" w:hAnsi="Times New Roman" w:eastAsia="仿宋_GB2312" w:cs="Times New Roman"/>
                <w:color w:val="000000"/>
                <w:kern w:val="0"/>
                <w:sz w:val="24"/>
                <w:szCs w:val="24"/>
                <w:lang w:eastAsia="zh-CN"/>
              </w:rPr>
              <w:t>日内</w:t>
            </w:r>
            <w:r>
              <w:rPr>
                <w:rFonts w:hint="default" w:ascii="Times New Roman" w:hAnsi="Times New Roman" w:eastAsia="仿宋_GB2312" w:cs="Times New Roman"/>
                <w:color w:val="000000"/>
                <w:kern w:val="0"/>
                <w:sz w:val="24"/>
                <w:szCs w:val="24"/>
              </w:rPr>
              <w:t>进行现场查勘，明确接入电源点及表计安装点位。</w:t>
            </w:r>
          </w:p>
          <w:p w14:paraId="68C102C4">
            <w:pPr>
              <w:wordWrap w:val="0"/>
              <w:autoSpaceDE w:val="0"/>
              <w:autoSpaceDN w:val="0"/>
              <w:spacing w:before="0" w:after="0" w:line="239" w:lineRule="auto"/>
              <w:ind w:firstLine="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现有配电设施确实无法满足自用桩用电负荷需求的，产权为电网企业的，由供电企业提出解决方案；产权为用电用户的，由用电用户提供解决方案（按照统建统管方式建设的，由用电用户会同充电运营商提供解决方案），支持应用智能充电技术。</w:t>
            </w:r>
          </w:p>
        </w:tc>
      </w:tr>
      <w:tr w14:paraId="219E54B5">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040" w:hRule="atLeast"/>
        </w:trPr>
        <w:tc>
          <w:tcPr>
            <w:tcW w:w="960" w:type="dxa"/>
            <w:tcBorders>
              <w:top w:val="single" w:color="000000" w:sz="4" w:space="0"/>
              <w:left w:val="single" w:color="000000" w:sz="4" w:space="0"/>
              <w:bottom w:val="single" w:color="000000" w:sz="4" w:space="0"/>
              <w:right w:val="single" w:color="000000" w:sz="4" w:space="0"/>
            </w:tcBorders>
            <w:vAlign w:val="top"/>
          </w:tcPr>
          <w:p w14:paraId="221AC0E0">
            <w:pPr>
              <w:wordWrap w:val="0"/>
              <w:autoSpaceDE w:val="0"/>
              <w:autoSpaceDN w:val="0"/>
              <w:spacing w:before="254" w:after="0" w:line="239" w:lineRule="auto"/>
              <w:ind w:firstLine="28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施工</w:t>
            </w:r>
          </w:p>
          <w:p w14:paraId="187F7D8E">
            <w:pPr>
              <w:wordWrap w:val="0"/>
              <w:autoSpaceDE w:val="0"/>
              <w:autoSpaceDN w:val="0"/>
              <w:spacing w:before="0" w:after="0" w:line="239" w:lineRule="auto"/>
              <w:ind w:firstLine="28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建设</w:t>
            </w:r>
          </w:p>
        </w:tc>
        <w:tc>
          <w:tcPr>
            <w:tcW w:w="8340" w:type="dxa"/>
            <w:tcBorders>
              <w:top w:val="single" w:color="000000" w:sz="4" w:space="0"/>
              <w:left w:val="single" w:color="000000" w:sz="4" w:space="0"/>
              <w:bottom w:val="single" w:color="000000" w:sz="4" w:space="0"/>
              <w:right w:val="single" w:color="000000" w:sz="4" w:space="0"/>
            </w:tcBorders>
            <w:vAlign w:val="top"/>
          </w:tcPr>
          <w:p w14:paraId="4275E174">
            <w:pPr>
              <w:wordWrap w:val="0"/>
              <w:autoSpaceDE w:val="0"/>
              <w:autoSpaceDN w:val="0"/>
              <w:spacing w:before="68" w:after="0" w:line="239" w:lineRule="auto"/>
              <w:ind w:hanging="2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申请人组织施工单位按照相关要求开展充电基础设施工程建设，并签订《电动汽车自用桩安装承诺书》。按照“统建统管”方式建设的，由充电运营商开展干线电缆等供电设施改造，并提供自用桩终端安装与维护管理一体化服务。</w:t>
            </w:r>
          </w:p>
        </w:tc>
      </w:tr>
      <w:tr w14:paraId="20BD6E1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920" w:hRule="atLeast"/>
        </w:trPr>
        <w:tc>
          <w:tcPr>
            <w:tcW w:w="960" w:type="dxa"/>
            <w:tcBorders>
              <w:top w:val="single" w:color="000000" w:sz="4" w:space="0"/>
              <w:left w:val="single" w:color="000000" w:sz="4" w:space="0"/>
              <w:bottom w:val="single" w:color="000000" w:sz="4" w:space="0"/>
              <w:right w:val="single" w:color="000000" w:sz="4" w:space="0"/>
            </w:tcBorders>
            <w:vAlign w:val="top"/>
          </w:tcPr>
          <w:p w14:paraId="4FBB9CBE">
            <w:pPr>
              <w:wordWrap w:val="0"/>
              <w:autoSpaceDE w:val="0"/>
              <w:autoSpaceDN w:val="0"/>
              <w:spacing w:before="0" w:after="0" w:line="239" w:lineRule="auto"/>
              <w:ind w:firstLine="0"/>
              <w:jc w:val="both"/>
              <w:rPr>
                <w:rFonts w:hint="eastAsia" w:ascii="仿宋_GB2312" w:hAnsi="仿宋_GB2312" w:eastAsia="仿宋_GB2312" w:cs="仿宋_GB2312"/>
                <w:color w:val="000000"/>
                <w:kern w:val="0"/>
                <w:sz w:val="24"/>
                <w:szCs w:val="24"/>
              </w:rPr>
            </w:pPr>
          </w:p>
          <w:p w14:paraId="541A0946">
            <w:pPr>
              <w:wordWrap w:val="0"/>
              <w:autoSpaceDE w:val="0"/>
              <w:autoSpaceDN w:val="0"/>
              <w:spacing w:before="0" w:after="0" w:line="239" w:lineRule="auto"/>
              <w:ind w:firstLine="0"/>
              <w:jc w:val="both"/>
              <w:rPr>
                <w:rFonts w:hint="eastAsia" w:ascii="仿宋_GB2312" w:hAnsi="仿宋_GB2312" w:eastAsia="仿宋_GB2312" w:cs="仿宋_GB2312"/>
                <w:color w:val="000000"/>
                <w:kern w:val="0"/>
                <w:sz w:val="24"/>
                <w:szCs w:val="24"/>
              </w:rPr>
            </w:pPr>
          </w:p>
          <w:p w14:paraId="114FE0B7">
            <w:pPr>
              <w:wordWrap w:val="0"/>
              <w:autoSpaceDE w:val="0"/>
              <w:autoSpaceDN w:val="0"/>
              <w:spacing w:before="104" w:after="0" w:line="239" w:lineRule="auto"/>
              <w:ind w:firstLine="28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装表</w:t>
            </w:r>
          </w:p>
          <w:p w14:paraId="1094F92D">
            <w:pPr>
              <w:wordWrap w:val="0"/>
              <w:autoSpaceDE w:val="0"/>
              <w:autoSpaceDN w:val="0"/>
              <w:spacing w:before="0" w:after="0" w:line="239" w:lineRule="auto"/>
              <w:ind w:firstLine="28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接电</w:t>
            </w:r>
          </w:p>
        </w:tc>
        <w:tc>
          <w:tcPr>
            <w:tcW w:w="8340" w:type="dxa"/>
            <w:tcBorders>
              <w:top w:val="single" w:color="000000" w:sz="4" w:space="0"/>
              <w:left w:val="single" w:color="000000" w:sz="4" w:space="0"/>
              <w:bottom w:val="single" w:color="000000" w:sz="4" w:space="0"/>
              <w:right w:val="single" w:color="000000" w:sz="4" w:space="0"/>
            </w:tcBorders>
            <w:vAlign w:val="top"/>
          </w:tcPr>
          <w:p w14:paraId="74D99841">
            <w:pPr>
              <w:wordWrap w:val="0"/>
              <w:autoSpaceDE w:val="0"/>
              <w:autoSpaceDN w:val="0"/>
              <w:spacing w:before="0" w:after="0" w:line="239" w:lineRule="auto"/>
              <w:ind w:right="20" w:firstLine="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工程建设完工后，申请人向电网企业提出竣工检验申请，电网企业在3个工作日内组织工程验收，出具验收意见，验收合格并办理相关手续，电网企业予以装表接电送电前，施工单位应与申请人及小区管理单位就充电基础设施进行交付，提供安装合格证明并由小区管理单位备案。</w:t>
            </w:r>
          </w:p>
          <w:p w14:paraId="094E7DBD">
            <w:pPr>
              <w:wordWrap w:val="0"/>
              <w:autoSpaceDE w:val="0"/>
              <w:autoSpaceDN w:val="0"/>
              <w:spacing w:before="0" w:after="0" w:line="239" w:lineRule="auto"/>
              <w:ind w:firstLine="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按照“统建统管”方式建设的，充电运营商完成施工后，供电企业在3个工作日内完成装表接电，充电运营商负责组织工程验收，相关资料留存备查。</w:t>
            </w:r>
          </w:p>
        </w:tc>
      </w:tr>
      <w:tr w14:paraId="72FD247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240" w:hRule="atLeast"/>
        </w:trPr>
        <w:tc>
          <w:tcPr>
            <w:tcW w:w="960" w:type="dxa"/>
            <w:tcBorders>
              <w:top w:val="single" w:color="000000" w:sz="4" w:space="0"/>
              <w:left w:val="single" w:color="000000" w:sz="4" w:space="0"/>
              <w:bottom w:val="single" w:color="000000" w:sz="4" w:space="0"/>
              <w:right w:val="single" w:color="000000" w:sz="4" w:space="0"/>
            </w:tcBorders>
            <w:vAlign w:val="top"/>
          </w:tcPr>
          <w:p w14:paraId="4B1AAAFE">
            <w:pPr>
              <w:wordWrap w:val="0"/>
              <w:autoSpaceDE w:val="0"/>
              <w:autoSpaceDN w:val="0"/>
              <w:spacing w:before="0" w:after="0" w:line="239" w:lineRule="auto"/>
              <w:ind w:firstLine="0"/>
              <w:jc w:val="both"/>
              <w:rPr>
                <w:rFonts w:hint="eastAsia" w:ascii="仿宋_GB2312" w:hAnsi="仿宋_GB2312" w:eastAsia="仿宋_GB2312" w:cs="仿宋_GB2312"/>
                <w:color w:val="000000"/>
                <w:kern w:val="0"/>
                <w:sz w:val="24"/>
                <w:szCs w:val="24"/>
              </w:rPr>
            </w:pPr>
          </w:p>
          <w:p w14:paraId="0FF38F1D">
            <w:pPr>
              <w:wordWrap w:val="0"/>
              <w:autoSpaceDE w:val="0"/>
              <w:autoSpaceDN w:val="0"/>
              <w:spacing w:before="49" w:after="0" w:line="239" w:lineRule="auto"/>
              <w:ind w:firstLine="30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运营</w:t>
            </w:r>
          </w:p>
          <w:p w14:paraId="37C44954">
            <w:pPr>
              <w:wordWrap w:val="0"/>
              <w:autoSpaceDE w:val="0"/>
              <w:autoSpaceDN w:val="0"/>
              <w:spacing w:before="0" w:after="0" w:line="239" w:lineRule="auto"/>
              <w:ind w:firstLine="300"/>
              <w:jc w:val="both"/>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维护</w:t>
            </w:r>
          </w:p>
        </w:tc>
        <w:tc>
          <w:tcPr>
            <w:tcW w:w="8340" w:type="dxa"/>
            <w:tcBorders>
              <w:top w:val="single" w:color="000000" w:sz="4" w:space="0"/>
              <w:left w:val="single" w:color="000000" w:sz="4" w:space="0"/>
              <w:bottom w:val="single" w:color="000000" w:sz="4" w:space="0"/>
              <w:right w:val="single" w:color="000000" w:sz="4" w:space="0"/>
            </w:tcBorders>
            <w:vAlign w:val="top"/>
          </w:tcPr>
          <w:p w14:paraId="6A726519">
            <w:pPr>
              <w:wordWrap w:val="0"/>
              <w:autoSpaceDE w:val="0"/>
              <w:autoSpaceDN w:val="0"/>
              <w:spacing w:before="64" w:after="0" w:line="239" w:lineRule="auto"/>
              <w:ind w:firstLine="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充电桩所有权人应定期维护保养充电设施，可与小区物业签订服务协议，由其协助维护管理。电动汽车企业在协议期内为用户提供自用桩维护保养。</w:t>
            </w:r>
          </w:p>
          <w:p w14:paraId="09FEFA7C">
            <w:pPr>
              <w:wordWrap w:val="0"/>
              <w:autoSpaceDE w:val="0"/>
              <w:autoSpaceDN w:val="0"/>
              <w:spacing w:before="0" w:after="0" w:line="239" w:lineRule="auto"/>
              <w:ind w:firstLine="0"/>
              <w:jc w:val="both"/>
              <w:rPr>
                <w:rFonts w:hint="default" w:ascii="Times New Roman" w:hAnsi="Times New Roman" w:eastAsia="仿宋_GB2312" w:cs="Times New Roman"/>
                <w:kern w:val="0"/>
                <w:sz w:val="24"/>
                <w:szCs w:val="24"/>
              </w:rPr>
            </w:pPr>
            <w:r>
              <w:rPr>
                <w:rFonts w:hint="default" w:ascii="Times New Roman" w:hAnsi="Times New Roman" w:eastAsia="仿宋_GB2312" w:cs="Times New Roman"/>
                <w:color w:val="000000"/>
                <w:kern w:val="0"/>
                <w:sz w:val="24"/>
                <w:szCs w:val="24"/>
              </w:rPr>
              <w:t>按照“统建统管”方式建设的，充电运营商负责充电设施日常维护管理，承担相应安全管理责任。</w:t>
            </w:r>
          </w:p>
        </w:tc>
      </w:tr>
    </w:tbl>
    <w:p w14:paraId="5F2B27B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jc w:val="left"/>
        <w:textAlignment w:val="auto"/>
        <w:rPr>
          <w:rFonts w:hint="default" w:ascii="Times New Roman" w:hAnsi="Times New Roman" w:eastAsia="仿宋_GB2312" w:cs="Times New Roman"/>
          <w:kern w:val="0"/>
          <w:sz w:val="32"/>
          <w:szCs w:val="32"/>
          <w:shd w:val="clear" w:color="auto" w:fill="auto"/>
          <w:lang w:val="en-US" w:eastAsia="zh-CN" w:bidi="ar"/>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4004DD-05A2-4223-8CE0-9F4D5F823D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AAC940D1-6182-424C-BFA9-448B0EFD9CE9}"/>
  </w:font>
  <w:font w:name="仿宋_GB2312">
    <w:altName w:val="仿宋"/>
    <w:panose1 w:val="02010609030101010101"/>
    <w:charset w:val="86"/>
    <w:family w:val="auto"/>
    <w:pitch w:val="default"/>
    <w:sig w:usb0="00000000" w:usb1="00000000" w:usb2="00000000" w:usb3="00000000" w:csb0="00040000" w:csb1="00000000"/>
    <w:embedRegular r:id="rId3" w:fontKey="{B8C560CF-67EC-49FF-AEED-4504855ED432}"/>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embedRegular r:id="rId4" w:fontKey="{BA256DE0-1D01-45A1-A83F-1926F4E85CCA}"/>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90BD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6657C7">
                          <w:pPr>
                            <w:pStyle w:val="2"/>
                            <w:rPr>
                              <w:rFonts w:hint="default" w:ascii="Times New Roman" w:hAnsi="Times New Roman" w:cs="Times New Roman"/>
                              <w:sz w:val="24"/>
                              <w:szCs w:val="24"/>
                            </w:rPr>
                          </w:pP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  \* MERGEFORMAT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1</w:t>
                          </w:r>
                          <w:r>
                            <w:rPr>
                              <w:rFonts w:hint="default" w:ascii="Times New Roman" w:hAnsi="Times New Roman" w:eastAsia="仿宋_GB2312"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96657C7">
                    <w:pPr>
                      <w:pStyle w:val="2"/>
                      <w:rPr>
                        <w:rFonts w:hint="default" w:ascii="Times New Roman" w:hAnsi="Times New Roman" w:cs="Times New Roman"/>
                        <w:sz w:val="24"/>
                        <w:szCs w:val="24"/>
                      </w:rPr>
                    </w:pPr>
                    <w:r>
                      <w:rPr>
                        <w:rFonts w:hint="default" w:ascii="Times New Roman" w:hAnsi="Times New Roman" w:eastAsia="仿宋_GB2312" w:cs="Times New Roman"/>
                        <w:sz w:val="24"/>
                        <w:szCs w:val="24"/>
                      </w:rPr>
                      <w:fldChar w:fldCharType="begin"/>
                    </w:r>
                    <w:r>
                      <w:rPr>
                        <w:rFonts w:hint="default" w:ascii="Times New Roman" w:hAnsi="Times New Roman" w:eastAsia="仿宋_GB2312" w:cs="Times New Roman"/>
                        <w:sz w:val="24"/>
                        <w:szCs w:val="24"/>
                      </w:rPr>
                      <w:instrText xml:space="preserve"> PAGE  \* MERGEFORMAT </w:instrText>
                    </w:r>
                    <w:r>
                      <w:rPr>
                        <w:rFonts w:hint="default" w:ascii="Times New Roman" w:hAnsi="Times New Roman" w:eastAsia="仿宋_GB2312" w:cs="Times New Roman"/>
                        <w:sz w:val="24"/>
                        <w:szCs w:val="24"/>
                      </w:rPr>
                      <w:fldChar w:fldCharType="separate"/>
                    </w:r>
                    <w:r>
                      <w:rPr>
                        <w:rFonts w:hint="default" w:ascii="Times New Roman" w:hAnsi="Times New Roman" w:eastAsia="仿宋_GB2312" w:cs="Times New Roman"/>
                        <w:sz w:val="24"/>
                        <w:szCs w:val="24"/>
                      </w:rPr>
                      <w:t>1</w:t>
                    </w:r>
                    <w:r>
                      <w:rPr>
                        <w:rFonts w:hint="default" w:ascii="Times New Roman" w:hAnsi="Times New Roman" w:eastAsia="仿宋_GB2312" w:cs="Times New Roman"/>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15C34D"/>
    <w:multiLevelType w:val="singleLevel"/>
    <w:tmpl w:val="9115C34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356B7"/>
    <w:rsid w:val="09C7248E"/>
    <w:rsid w:val="0A3D61AC"/>
    <w:rsid w:val="0C9E2DC1"/>
    <w:rsid w:val="0D4D61CC"/>
    <w:rsid w:val="11DC1820"/>
    <w:rsid w:val="13AC4857"/>
    <w:rsid w:val="14A2589C"/>
    <w:rsid w:val="19584A22"/>
    <w:rsid w:val="1A2453EF"/>
    <w:rsid w:val="1EEC5348"/>
    <w:rsid w:val="24D71F01"/>
    <w:rsid w:val="276C5663"/>
    <w:rsid w:val="29540C4A"/>
    <w:rsid w:val="2D070B74"/>
    <w:rsid w:val="33340645"/>
    <w:rsid w:val="3F58066D"/>
    <w:rsid w:val="44207805"/>
    <w:rsid w:val="4DED7400"/>
    <w:rsid w:val="55122522"/>
    <w:rsid w:val="5D851BFC"/>
    <w:rsid w:val="6F77126D"/>
    <w:rsid w:val="71BE09C3"/>
    <w:rsid w:val="72442685"/>
    <w:rsid w:val="771D388D"/>
    <w:rsid w:val="7BC36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9223cac4-59f5-4f96-8683-0582a5a93ed0</errorID>
      <errorWord>&lt;</errorWord>
      <group>L1_Format</group>
      <groupName>格式问题</groupName>
      <ability>L2_HalfPunc</ability>
      <abilityName>全半角检查</abilityName>
      <candidateList>
        <item>〈</item>
      </candidateList>
      <explain>文本全半角错误。</explain>
      <paraID>6594AFFD</paraID>
      <start>20</start>
      <end>21</end>
      <status>modified</status>
      <modifiedWord>〈</modifiedWord>
      <trackRevisions>false</trackRevisions>
    </reviewItem>
    <reviewItem>
      <errorID>51cd5e25-37b1-41ac-aac1-5eb957dff4a0</errorID>
      <errorWord>&gt;</errorWord>
      <group>L1_Format</group>
      <groupName>格式问题</groupName>
      <ability>L2_HalfPunc</ability>
      <abilityName>全半角检查</abilityName>
      <candidateList>
        <item>〉</item>
      </candidateList>
      <explain>文本全半角错误。</explain>
      <paraID>6594AFFD</paraID>
      <start>44</start>
      <end>45</end>
      <status>modified</status>
      <modifiedWord>〉</modifiedWord>
      <trackRevisions>false</trackRevisions>
    </reviewItem>
    <reviewItem>
      <errorID>8b437034-27aa-487e-9c1c-6915d5f6b45d</errorID>
      <errorWord>（</errorWord>
      <group>L1_Punc</group>
      <groupName>标点问题</groupName>
      <ability>L2_Punc</ability>
      <abilityName>标点符号检查</abilityName>
      <candidateList/>
      <explain>同一形式括号套用。</explain>
      <paraID>220002E7</paraID>
      <start>47</start>
      <end>48</end>
      <status>ignored</status>
      <modifiedWord/>
      <trackRevisions>false</trackRevisions>
    </reviewItem>
    <reviewItem>
      <errorID>b2cc92ec-0fec-4bde-8778-0de5f8bb1269</errorID>
      <errorWord>）</errorWord>
      <group>L1_Punc</group>
      <groupName>标点问题</groupName>
      <ability>L2_Punc</ability>
      <abilityName>标点符号检查</abilityName>
      <candidateList/>
      <explain>同一形式括号套用。</explain>
      <paraID>220002E7</paraID>
      <start>49</start>
      <end>50</end>
      <status>ignored</status>
      <modifiedWord/>
      <trackRevisions>false</trackRevisions>
    </reviewItem>
    <reviewItem>
      <errorID>f4828fc7-d0e4-457f-a185-171481f6dea3</errorID>
      <errorWord>》</errorWord>
      <group>L1_Word</group>
      <groupName>字词问题</groupName>
      <ability>L2_Typo</ability>
      <abilityName>字词错误</abilityName>
      <candidateList>
        <item>》和</item>
      </candidateList>
      <explain/>
      <paraID>2167C99D</paraID>
      <start>124</start>
      <end>125</end>
      <status>ignored</status>
      <modifiedWord/>
      <trackRevisions>false</trackRevisions>
    </reviewItem>
    <reviewItem>
      <errorID>d5d542ea-886b-427e-8d99-6789dbe24dd3</errorID>
      <errorWord>》</errorWord>
      <group>L1_Word</group>
      <groupName>字词问题</groupName>
      <ability>L2_Typo</ability>
      <abilityName>字词错误</abilityName>
      <candidateList>
        <item>》等</item>
      </candidateList>
      <explain/>
      <paraID>2167C99D</paraID>
      <start>153</start>
      <end>155</end>
      <status>modified</status>
      <modifiedWord>》等</modifiedWord>
      <trackRevisions>false</trackRevisions>
    </reviewItem>
    <reviewItem>
      <errorID>c36f2740-4afb-44cb-8bba-db0f1f04316f</errorID>
      <errorWord>，</errorWord>
      <group>L1_Word</group>
      <groupName>字词问题</groupName>
      <ability>L2_Typo</ability>
      <abilityName>字词错误</abilityName>
      <candidateList>
        <item>，为</item>
      </candidateList>
      <explain/>
      <paraID>313CBCD9</paraID>
      <start>30</start>
      <end>32</end>
      <status>modified</status>
      <modifiedWord>，为</modifiedWord>
      <trackRevisions>false</trackRevisions>
    </reviewItem>
    <reviewItem>
      <errorID>52a0fa70-39d1-4ee8-a6a7-2a37ee982277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10EFA1B6</paraID>
      <start>0</start>
      <end>2</end>
      <status>modified</status>
      <modifiedWord>2.</modifiedWord>
      <trackRevisions>false</trackRevisions>
    </reviewItem>
    <reviewItem>
      <errorID>58dc03a9-0eb0-4752-b1c6-c7308d2b33fc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C3B6047</paraID>
      <start>0</start>
      <end>2</end>
      <status>modified</status>
      <modifiedWord>3.</modifiedWord>
      <trackRevisions>false</trackRevisions>
    </reviewItem>
    <reviewItem>
      <errorID>f5c25515-b13a-4ff8-bb9d-e05643022a6a</errorID>
      <errorWord>需具备</errorWord>
      <group>L1_Word</group>
      <groupName>字词问题</groupName>
      <ability>L2_Typo</ability>
      <abilityName>字词错误</abilityName>
      <candidateList>
        <item>须具备</item>
      </candidateList>
      <explain/>
      <paraID>192A6390</paraID>
      <start>12</start>
      <end>15</end>
      <status>modified</status>
      <modifiedWord>须具备</modifiedWord>
      <trackRevisions>false</trackRevisions>
    </reviewItem>
    <reviewItem>
      <errorID>42fc6df0-9dc9-492b-ad16-7f2152ffe873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BC56993</paraID>
      <start>0</start>
      <end>2</end>
      <status>modified</status>
      <modifiedWord>1.</modifiedWord>
      <trackRevisions>false</trackRevisions>
    </reviewItem>
    <reviewItem>
      <errorID>37212ba8-b124-4348-a3b2-3d44b4e1580c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15BBF0CA</paraID>
      <start>0</start>
      <end>2</end>
      <status>modified</status>
      <modifiedWord>2.</modifiedWord>
      <trackRevisions>false</trackRevisions>
    </reviewItem>
    <reviewItem>
      <errorID>b7cf2147-a07e-496d-a291-6247ef2c55ca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1D470188</paraID>
      <start>0</start>
      <end>2</end>
      <status>modified</status>
      <modifiedWord>1.</modifiedWord>
      <trackRevisions>false</trackRevisions>
    </reviewItem>
    <reviewItem>
      <errorID>ca7c5429-2ef7-4111-8888-915903dc2b7d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2C53067A</paraID>
      <start>0</start>
      <end>2</end>
      <status>modified</status>
      <modifiedWord>2.</modifiedWord>
      <trackRevisions>false</trackRevisions>
    </reviewItem>
    <reviewItem>
      <errorID>23188b00-9ac8-412a-a5cc-8c5b48fc8c5c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3D6DD67E</paraID>
      <start>0</start>
      <end>2</end>
      <status>modified</status>
      <modifiedWord>3.</modifiedWord>
      <trackRevisions>false</trackRevisions>
    </reviewItem>
    <reviewItem>
      <errorID>6c288498-b326-4de4-80d4-6dcb74150706</errorID>
      <errorWord>日</errorWord>
      <group>L1_Word</group>
      <groupName>字词问题</groupName>
      <ability>L2_Typo</ability>
      <abilityName>字词错误</abilityName>
      <candidateList>
        <item>日内</item>
      </candidateList>
      <explain/>
      <paraID> D2A2BD2</paraID>
      <start>39</start>
      <end>41</end>
      <status>modified</status>
      <modifiedWord>日内</modifiedWord>
      <trackRevisions>false</trackRevisions>
    </reviewItem>
    <reviewItem>
      <errorID>20f42097-2933-45dd-a6fa-031b14ee760d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781FED05</paraID>
      <start>0</start>
      <end>2</end>
      <status>modified</status>
      <modifiedWord>1.</modifiedWord>
      <trackRevisions>false</trackRevisions>
    </reviewItem>
    <reviewItem>
      <errorID>43a5d8cb-3bac-48ae-9d2d-ea4c758e17cb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560F852</paraID>
      <start>0</start>
      <end>2</end>
      <status>modified</status>
      <modifiedWord>2.</modifiedWord>
      <trackRevisions>false</trackRevisions>
    </reviewItem>
    <reviewItem>
      <errorID>10a81aaa-2f2b-4a44-b6cd-63ef368f7cf7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3F40EF1A</paraID>
      <start>0</start>
      <end>2</end>
      <status>modified</status>
      <modifiedWord>1.</modifiedWord>
      <trackRevisions>false</trackRevisions>
    </reviewItem>
    <reviewItem>
      <errorID>da3552bb-7c5c-4bf0-85ed-c0474469959b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77B0C91C</paraID>
      <start>0</start>
      <end>2</end>
      <status>modified</status>
      <modifiedWord>2.</modifiedWord>
      <trackRevisions>false</trackRevisions>
    </reviewItem>
    <reviewItem>
      <errorID>5cf5186b-a4d4-4f29-86fd-4252719911ae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5B84A79F</paraID>
      <start>0</start>
      <end>2</end>
      <status>modified</status>
      <modifiedWord>3.</modifiedWord>
      <trackRevisions>false</trackRevisions>
    </reviewItem>
    <reviewItem>
      <errorID>c8120cb3-b6dc-47e3-9468-d27173b90384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494147ED</paraID>
      <start>0</start>
      <end>2</end>
      <status>modified</status>
      <modifiedWord>4.</modifiedWord>
      <trackRevisions>false</trackRevisions>
    </reviewItem>
    <reviewItem>
      <errorID>cd8af457-d476-454b-8406-a7805a69ea9b</errorID>
      <errorWord>日</errorWord>
      <group>L1_Word</group>
      <groupName>字词问题</groupName>
      <ability>L2_Typo</ability>
      <abilityName>字词错误</abilityName>
      <candidateList>
        <item>日内</item>
      </candidateList>
      <explain/>
      <paraID>5D6A806D</paraID>
      <start>39</start>
      <end>41</end>
      <status>modified</status>
      <modifiedWord>日内</modifiedWord>
      <trackRevisions>false</trackRevisions>
    </reviewItem>
    <reviewItem>
      <errorID>da80f8b6-d683-4e40-b71b-4f1fe11e8bc5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75807CFA</paraID>
      <start>0</start>
      <end>2</end>
      <status>modified</status>
      <modifiedWord>1.</modifiedWord>
      <trackRevisions>false</trackRevisions>
    </reviewItem>
    <reviewItem>
      <errorID>cb6c7135-2d1f-4e85-82d7-253e2ca9f5dd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5A868B56</paraID>
      <start>0</start>
      <end>2</end>
      <status>modified</status>
      <modifiedWord>2.</modifiedWord>
      <trackRevisions>false</trackRevisions>
    </reviewItem>
    <reviewItem>
      <errorID>02948ac7-447e-4b75-8a4d-3757a3314855</errorID>
      <errorWord>日</errorWord>
      <group>L1_Word</group>
      <groupName>字词问题</groupName>
      <ability>L2_Typo</ability>
      <abilityName>字词错误</abilityName>
      <candidateList>
        <item>日内</item>
      </candidateList>
      <explain/>
      <paraID>4A466FF3</paraID>
      <start>39</start>
      <end>41</end>
      <status>modified</status>
      <modifiedWord>日内</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663a22-3261-4117-b012-ab7d3f42a273}">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5926</Words>
  <Characters>5994</Characters>
  <Lines>0</Lines>
  <Paragraphs>0</Paragraphs>
  <TotalTime>819</TotalTime>
  <ScaleCrop>false</ScaleCrop>
  <LinksUpToDate>false</LinksUpToDate>
  <CharactersWithSpaces>5995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2026-04-13T02:45:00Z</dcterms:created>
  <dc:creator>seewo</dc:creator>
  <cp:lastModifiedBy>WPS_1557966781</cp:lastModifiedBy>
  <cp:lastPrinted>2026-07-07T08:43:00Z</cp:lastPrinted>
  <dcterms:modified xsi:type="dcterms:W3CDTF">2026-08-18T04:09:41Z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E6BD068E300E47C4902BB6AB25902323_13</vt:lpwstr>
  </property>
  <property fmtid="{D5CDD505-2E9C-101B-9397-08002B2CF9AE}" pid="4" name="KSOTemplateDocerSaveRecord">
    <vt:lpwstr>eyJoZGlkIjoiNjcwYjBjMDY2Y2Y4YzZhOWVlOWE4OTUxYjk2ZmFiNTgiLCJ1c2VySWQiOiI1NTU3NzgyMTcifQ==</vt:lpwstr>
  </property>
</Properties>
</file>