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spacing w:line="540" w:lineRule="exact"/>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r>
        <w:rPr>
          <w:rFonts w:hint="eastAsia" w:ascii="方正小标宋简体" w:hAnsi="方正小标宋简体" w:eastAsia="方正小标宋简体" w:cs="方正小标宋简体"/>
          <w:sz w:val="44"/>
          <w:szCs w:val="44"/>
        </w:rPr>
        <w:t>第五师双河市“十五五”科技创新规划</w:t>
      </w:r>
    </w:p>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jc w:val="center"/>
        <w:rPr>
          <w:rFonts w:hint="eastAsia" w:ascii="宋体" w:hAnsi="宋体" w:eastAsia="宋体"/>
          <w:sz w:val="21"/>
        </w:rPr>
      </w:pPr>
    </w:p>
    <w:p>
      <w:pPr>
        <w:ind w:firstLine="0" w:firstLineChars="0"/>
        <w:rPr>
          <w:rFonts w:hint="eastAsia" w:ascii="宋体" w:hAnsi="宋体" w:eastAsia="宋体"/>
          <w:sz w:val="21"/>
        </w:rPr>
      </w:pPr>
    </w:p>
    <w:p>
      <w:pPr>
        <w:ind w:firstLine="0" w:firstLineChars="0"/>
        <w:jc w:val="center"/>
        <w:rPr>
          <w:rFonts w:hint="eastAsia" w:ascii="宋体" w:hAnsi="宋体" w:eastAsia="宋体"/>
        </w:rPr>
      </w:pPr>
    </w:p>
    <w:p>
      <w:pPr>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第五师科学技术局</w:t>
      </w:r>
    </w:p>
    <w:p>
      <w:pPr>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二〇二六年七月</w:t>
      </w: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pPr>
    </w:p>
    <w:p>
      <w:pPr>
        <w:spacing w:line="240" w:lineRule="auto"/>
        <w:ind w:firstLine="0" w:firstLineChars="0"/>
        <w:rPr>
          <w:rFonts w:hint="eastAsia" w:ascii="宋体" w:hAnsi="宋体"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sdt>
      <w:sdtPr>
        <w:rPr>
          <w:rFonts w:ascii="宋体" w:hAnsi="宋体" w:eastAsia="宋体"/>
          <w:sz w:val="21"/>
        </w:rPr>
        <w:id w:val="147455929"/>
        <w15:color w:val="DBDBDB"/>
        <w:docPartObj>
          <w:docPartGallery w:val="Table of Contents"/>
          <w:docPartUnique/>
        </w:docPartObj>
      </w:sdtPr>
      <w:sdtEndPr>
        <w:rPr>
          <w:rFonts w:hint="eastAsia" w:ascii="仿宋_GB2312" w:hAnsi="仿宋_GB2312" w:eastAsia="仿宋_GB2312" w:cs="仿宋_GB2312"/>
          <w:sz w:val="32"/>
        </w:rPr>
      </w:sdtEndPr>
      <w:sdtContent>
        <w:p>
          <w:pPr>
            <w:spacing w:line="240" w:lineRule="auto"/>
            <w:ind w:firstLine="0" w:firstLineChars="0"/>
            <w:jc w:val="center"/>
            <w:rPr>
              <w:rFonts w:hint="eastAsia" w:eastAsia="黑体"/>
              <w:sz w:val="36"/>
              <w:szCs w:val="36"/>
            </w:rPr>
          </w:pPr>
          <w:r>
            <w:rPr>
              <w:rFonts w:ascii="宋体" w:hAnsi="宋体" w:eastAsia="黑体"/>
              <w:sz w:val="36"/>
              <w:szCs w:val="36"/>
            </w:rPr>
            <w:t>目</w:t>
          </w:r>
          <w:r>
            <w:rPr>
              <w:rFonts w:hint="eastAsia" w:ascii="宋体" w:hAnsi="宋体" w:eastAsia="黑体"/>
              <w:sz w:val="36"/>
              <w:szCs w:val="36"/>
            </w:rPr>
            <w:t xml:space="preserve">  </w:t>
          </w:r>
          <w:r>
            <w:rPr>
              <w:rFonts w:ascii="宋体" w:hAnsi="宋体" w:eastAsia="黑体"/>
              <w:sz w:val="36"/>
              <w:szCs w:val="36"/>
            </w:rPr>
            <w:t>录</w:t>
          </w:r>
        </w:p>
        <w:p>
          <w:pPr>
            <w:pStyle w:val="18"/>
            <w:tabs>
              <w:tab w:val="right" w:leader="dot" w:pos="8306"/>
            </w:tabs>
            <w:rPr>
              <w:rFonts w:hint="eastAsia" w:ascii="宋体" w:hAnsi="宋体" w:eastAsia="宋体" w:cs="宋体"/>
            </w:rPr>
          </w:pPr>
          <w:r>
            <w:rPr>
              <w:rFonts w:hint="eastAsia" w:hAnsi="仿宋_GB2312" w:cs="仿宋_GB2312"/>
            </w:rPr>
            <w:fldChar w:fldCharType="begin"/>
          </w:r>
          <w:r>
            <w:rPr>
              <w:rFonts w:hint="eastAsia" w:hAnsi="仿宋_GB2312" w:cs="仿宋_GB2312"/>
            </w:rPr>
            <w:instrText xml:space="preserve">TOC \o "1-2" \h \u </w:instrText>
          </w:r>
          <w:r>
            <w:rPr>
              <w:rFonts w:hint="eastAsia" w:hAnsi="仿宋_GB2312" w:cs="仿宋_GB2312"/>
            </w:rPr>
            <w:fldChar w:fldCharType="separate"/>
          </w:r>
          <w:r>
            <w:fldChar w:fldCharType="begin"/>
          </w:r>
          <w:r>
            <w:instrText xml:space="preserve"> HYPERLINK \l "_Toc11537" </w:instrText>
          </w:r>
          <w:r>
            <w:fldChar w:fldCharType="separate"/>
          </w:r>
          <w:r>
            <w:rPr>
              <w:rFonts w:hint="eastAsia" w:ascii="宋体" w:hAnsi="宋体" w:eastAsia="宋体" w:cs="宋体"/>
              <w:b/>
              <w:bCs/>
              <w:spacing w:val="-11"/>
              <w:szCs w:val="36"/>
            </w:rPr>
            <w:t>第一章 发展基础和环境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_Toc11537 \h </w:instrText>
          </w:r>
          <w:r>
            <w:rPr>
              <w:rFonts w:hint="eastAsia" w:ascii="宋体" w:hAnsi="宋体" w:eastAsia="宋体" w:cs="宋体"/>
              <w:b/>
              <w:bCs/>
            </w:rPr>
            <w:fldChar w:fldCharType="separate"/>
          </w:r>
          <w:r>
            <w:rPr>
              <w:rFonts w:hint="eastAsia" w:ascii="宋体" w:hAnsi="宋体" w:eastAsia="宋体" w:cs="宋体"/>
              <w:b/>
              <w:bCs/>
            </w:rPr>
            <w:t>- 1 -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"_Toc17288" </w:instrText>
          </w:r>
          <w:r>
            <w:fldChar w:fldCharType="separate"/>
          </w:r>
          <w:r>
            <w:rPr>
              <w:rFonts w:hint="eastAsia" w:ascii="宋体" w:hAnsi="宋体" w:eastAsia="宋体" w:cs="宋体"/>
              <w:bCs/>
            </w:rPr>
            <w:t>第一节 发展基础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_Toc17288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"_Toc10186" </w:instrText>
          </w:r>
          <w:r>
            <w:fldChar w:fldCharType="separate"/>
          </w:r>
          <w:r>
            <w:rPr>
              <w:rFonts w:hint="eastAsia" w:ascii="宋体" w:hAnsi="宋体" w:eastAsia="宋体" w:cs="宋体"/>
              <w:bCs/>
            </w:rPr>
            <w:t>第二节 发展趋势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_Toc10186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rPr>
          </w:pPr>
          <w:r>
            <w:fldChar w:fldCharType="begin"/>
          </w:r>
          <w:r>
            <w:instrText xml:space="preserve"> HYPERLINK \l "_Toc24578" </w:instrText>
          </w:r>
          <w:r>
            <w:fldChar w:fldCharType="separate"/>
          </w:r>
          <w:r>
            <w:rPr>
              <w:rFonts w:hint="eastAsia" w:ascii="宋体" w:hAnsi="宋体" w:eastAsia="宋体" w:cs="宋体"/>
              <w:b/>
              <w:bCs/>
              <w:spacing w:val="-11"/>
              <w:szCs w:val="36"/>
            </w:rPr>
            <w:t>第二章 总体要求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_Toc24578 \h </w:instrText>
          </w:r>
          <w:r>
            <w:rPr>
              <w:rFonts w:hint="eastAsia" w:ascii="宋体" w:hAnsi="宋体" w:eastAsia="宋体" w:cs="宋体"/>
              <w:b/>
              <w:bCs/>
            </w:rPr>
            <w:fldChar w:fldCharType="separate"/>
          </w:r>
          <w:r>
            <w:rPr>
              <w:rFonts w:hint="eastAsia" w:ascii="宋体" w:hAnsi="宋体" w:eastAsia="宋体" w:cs="宋体"/>
              <w:b/>
              <w:bCs/>
            </w:rPr>
            <w:t>- 5 -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"_Toc13457" </w:instrText>
          </w:r>
          <w:r>
            <w:fldChar w:fldCharType="separate"/>
          </w:r>
          <w:r>
            <w:rPr>
              <w:rFonts w:hint="eastAsia" w:ascii="宋体" w:hAnsi="宋体" w:eastAsia="宋体" w:cs="宋体"/>
              <w:bCs/>
            </w:rPr>
            <w:t>第一节 指导思想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_Toc13457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"_Toc31404" </w:instrText>
          </w:r>
          <w:r>
            <w:fldChar w:fldCharType="separate"/>
          </w:r>
          <w:r>
            <w:rPr>
              <w:rFonts w:hint="eastAsia" w:ascii="宋体" w:hAnsi="宋体" w:eastAsia="宋体" w:cs="宋体"/>
              <w:bCs/>
            </w:rPr>
            <w:t>第二节 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_Toc31404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"_Toc27317" </w:instrText>
          </w:r>
          <w:r>
            <w:fldChar w:fldCharType="separate"/>
          </w:r>
          <w:r>
            <w:rPr>
              <w:rFonts w:hint="eastAsia" w:ascii="宋体" w:hAnsi="宋体" w:eastAsia="宋体" w:cs="宋体"/>
              <w:bCs/>
            </w:rPr>
            <w:t>第三节 发展目标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_Toc27317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b/>
              <w:bCs/>
            </w:rPr>
          </w:pPr>
          <w:r>
            <w:fldChar w:fldCharType="begin"/>
          </w:r>
          <w:r>
            <w:instrText xml:space="preserve"> HYPERLINK \l "_Toc27261" </w:instrText>
          </w:r>
          <w:r>
            <w:fldChar w:fldCharType="separate"/>
          </w:r>
          <w:r>
            <w:rPr>
              <w:rFonts w:hint="eastAsia" w:ascii="宋体" w:hAnsi="宋体" w:eastAsia="宋体" w:cs="宋体"/>
              <w:b/>
              <w:bCs/>
              <w:spacing w:val="-11"/>
              <w:szCs w:val="36"/>
            </w:rPr>
            <w:t>第三章 推动科技创新和产业创新深度融合</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_Toc27261 \h </w:instrText>
          </w:r>
          <w:r>
            <w:rPr>
              <w:rFonts w:hint="eastAsia" w:ascii="宋体" w:hAnsi="宋体" w:eastAsia="宋体" w:cs="宋体"/>
              <w:b/>
              <w:bCs/>
            </w:rPr>
            <w:fldChar w:fldCharType="separate"/>
          </w:r>
          <w:r>
            <w:rPr>
              <w:rFonts w:hint="eastAsia" w:ascii="宋体" w:hAnsi="宋体" w:eastAsia="宋体" w:cs="宋体"/>
              <w:b/>
              <w:bCs/>
            </w:rPr>
            <w:t>- 9 -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"_Toc30375" </w:instrText>
          </w:r>
          <w:r>
            <w:fldChar w:fldCharType="separate"/>
          </w:r>
          <w:r>
            <w:rPr>
              <w:rFonts w:hint="eastAsia" w:ascii="宋体" w:hAnsi="宋体" w:eastAsia="宋体" w:cs="宋体"/>
              <w:bCs/>
            </w:rPr>
            <w:t>第一节 科技支撑现代农业转型升级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_Toc30375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"_Toc32280" </w:instrText>
          </w:r>
          <w:r>
            <w:fldChar w:fldCharType="separate"/>
          </w:r>
          <w:r>
            <w:rPr>
              <w:rFonts w:hint="eastAsia" w:ascii="宋体" w:hAnsi="宋体" w:eastAsia="宋体" w:cs="宋体"/>
              <w:bCs/>
            </w:rPr>
            <w:t>第二节 科技赋能特色优势产业提质增效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_Toc32280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"_Toc14508" </w:instrText>
          </w:r>
          <w:r>
            <w:fldChar w:fldCharType="separate"/>
          </w:r>
          <w:r>
            <w:rPr>
              <w:rFonts w:hint="eastAsia" w:ascii="宋体" w:hAnsi="宋体" w:eastAsia="宋体" w:cs="宋体"/>
              <w:bCs/>
            </w:rPr>
            <w:t>第三节 科技赋能服务业扩能提质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_Toc14508 \h </w:instrText>
          </w:r>
          <w:r>
            <w:rPr>
              <w:rFonts w:hint="eastAsia" w:ascii="宋体" w:hAnsi="宋体" w:eastAsia="宋体" w:cs="宋体"/>
            </w:rPr>
            <w:fldChar w:fldCharType="separate"/>
          </w:r>
          <w:r>
            <w:rPr>
              <w:rFonts w:hint="eastAsia" w:ascii="宋体" w:hAnsi="宋体" w:eastAsia="宋体" w:cs="宋体"/>
            </w:rPr>
            <w:t>- 18 -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"_Toc22569" </w:instrText>
          </w:r>
          <w:r>
            <w:fldChar w:fldCharType="separate"/>
          </w:r>
          <w:r>
            <w:rPr>
              <w:rFonts w:hint="eastAsia" w:ascii="宋体" w:hAnsi="宋体" w:eastAsia="宋体" w:cs="宋体"/>
              <w:bCs/>
            </w:rPr>
            <w:t>第四节 培育壮大新兴产业和未来产业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_Toc22569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"_Toc1592" </w:instrText>
          </w:r>
          <w:r>
            <w:fldChar w:fldCharType="separate"/>
          </w:r>
          <w:r>
            <w:rPr>
              <w:rFonts w:hint="eastAsia" w:ascii="宋体" w:hAnsi="宋体" w:eastAsia="宋体" w:cs="宋体"/>
              <w:bCs/>
            </w:rPr>
            <w:t>第五节 强化维稳戍边科技保障能力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"_Toc10217" </w:instrText>
          </w:r>
          <w:r>
            <w:fldChar w:fldCharType="separate"/>
          </w:r>
          <w:r>
            <w:rPr>
              <w:rFonts w:hint="eastAsia" w:ascii="宋体" w:hAnsi="宋体" w:eastAsia="宋体" w:cs="宋体"/>
              <w:bCs/>
            </w:rPr>
            <w:t>第六节 赋能社会民生创新发展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_Toc10217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b/>
              <w:bCs/>
            </w:rPr>
          </w:pPr>
          <w:r>
            <w:fldChar w:fldCharType="begin"/>
          </w:r>
          <w:r>
            <w:instrText xml:space="preserve"> HYPERLINK \l "_Toc2791" </w:instrText>
          </w:r>
          <w:r>
            <w:fldChar w:fldCharType="separate"/>
          </w:r>
          <w:r>
            <w:rPr>
              <w:rFonts w:hint="eastAsia" w:ascii="宋体" w:hAnsi="宋体" w:eastAsia="宋体" w:cs="宋体"/>
              <w:b/>
              <w:bCs/>
              <w:spacing w:val="-11"/>
              <w:szCs w:val="36"/>
            </w:rPr>
            <w:t>第四章 提升师市体系化科技创新能力</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_Toc2791 \h </w:instrText>
          </w:r>
          <w:r>
            <w:rPr>
              <w:rFonts w:hint="eastAsia" w:ascii="宋体" w:hAnsi="宋体" w:eastAsia="宋体" w:cs="宋体"/>
              <w:b/>
              <w:bCs/>
            </w:rPr>
            <w:fldChar w:fldCharType="separate"/>
          </w:r>
          <w:r>
            <w:rPr>
              <w:rFonts w:hint="eastAsia" w:ascii="宋体" w:hAnsi="宋体" w:eastAsia="宋体" w:cs="宋体"/>
              <w:b/>
              <w:bCs/>
            </w:rPr>
            <w:t>- 24 -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"_Toc26278" </w:instrText>
          </w:r>
          <w:r>
            <w:fldChar w:fldCharType="separate"/>
          </w:r>
          <w:r>
            <w:rPr>
              <w:rFonts w:hint="eastAsia" w:ascii="宋体" w:hAnsi="宋体" w:eastAsia="宋体" w:cs="宋体"/>
              <w:bCs/>
            </w:rPr>
            <w:t>第一节 强化企业科技创新主体地位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_Toc26278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"_Toc28272" </w:instrText>
          </w:r>
          <w:r>
            <w:fldChar w:fldCharType="separate"/>
          </w:r>
          <w:r>
            <w:rPr>
              <w:rFonts w:hint="eastAsia" w:ascii="宋体" w:hAnsi="宋体" w:eastAsia="宋体" w:cs="宋体"/>
              <w:bCs/>
            </w:rPr>
            <w:t>第二节 推进科技创新平台建设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_Toc28272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"_Toc19056" </w:instrText>
          </w:r>
          <w:r>
            <w:fldChar w:fldCharType="separate"/>
          </w:r>
          <w:r>
            <w:rPr>
              <w:rFonts w:hint="eastAsia" w:ascii="宋体" w:hAnsi="宋体" w:eastAsia="宋体" w:cs="宋体"/>
              <w:bCs/>
            </w:rPr>
            <w:t>第三节 深化科技体制机制改革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_Toc19056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"_Toc20232" </w:instrText>
          </w:r>
          <w:r>
            <w:fldChar w:fldCharType="separate"/>
          </w:r>
          <w:r>
            <w:rPr>
              <w:rFonts w:hint="eastAsia" w:ascii="宋体" w:hAnsi="宋体" w:eastAsia="宋体" w:cs="宋体"/>
              <w:bCs/>
            </w:rPr>
            <w:t>第四节 促进科技成果转化应用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_Toc20232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"_Toc24421" </w:instrText>
          </w:r>
          <w:r>
            <w:fldChar w:fldCharType="separate"/>
          </w:r>
          <w:r>
            <w:rPr>
              <w:rFonts w:hint="eastAsia" w:ascii="宋体" w:hAnsi="宋体" w:eastAsia="宋体" w:cs="宋体"/>
              <w:bCs/>
            </w:rPr>
            <w:t>第五节 强化科技金融支撑作用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_Toc24421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"_Toc23569" </w:instrText>
          </w:r>
          <w:r>
            <w:fldChar w:fldCharType="separate"/>
          </w:r>
          <w:r>
            <w:rPr>
              <w:rFonts w:hint="eastAsia" w:ascii="宋体" w:hAnsi="宋体" w:eastAsia="宋体" w:cs="宋体"/>
              <w:bCs/>
            </w:rPr>
            <w:t>第六节 培养集聚科技创新人才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_Toc23569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b/>
              <w:bCs/>
            </w:rPr>
          </w:pPr>
          <w:r>
            <w:fldChar w:fldCharType="begin"/>
          </w:r>
          <w:r>
            <w:instrText xml:space="preserve"> HYPERLINK \l "_Toc1075" </w:instrText>
          </w:r>
          <w:r>
            <w:fldChar w:fldCharType="separate"/>
          </w:r>
          <w:r>
            <w:rPr>
              <w:rFonts w:hint="eastAsia" w:ascii="宋体" w:hAnsi="宋体" w:eastAsia="宋体" w:cs="宋体"/>
              <w:b/>
              <w:bCs/>
              <w:spacing w:val="-11"/>
              <w:szCs w:val="36"/>
            </w:rPr>
            <w:t>第五章 构建协同开放发展新格局</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_Toc1075 \h </w:instrText>
          </w:r>
          <w:r>
            <w:rPr>
              <w:rFonts w:hint="eastAsia" w:ascii="宋体" w:hAnsi="宋体" w:eastAsia="宋体" w:cs="宋体"/>
              <w:b/>
              <w:bCs/>
            </w:rPr>
            <w:fldChar w:fldCharType="separate"/>
          </w:r>
          <w:r>
            <w:rPr>
              <w:rFonts w:hint="eastAsia" w:ascii="宋体" w:hAnsi="宋体" w:eastAsia="宋体" w:cs="宋体"/>
              <w:b/>
              <w:bCs/>
            </w:rPr>
            <w:t>- 31 -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"_Toc31497" </w:instrText>
          </w:r>
          <w:r>
            <w:fldChar w:fldCharType="separate"/>
          </w:r>
          <w:r>
            <w:rPr>
              <w:rFonts w:hint="eastAsia" w:ascii="宋体" w:hAnsi="宋体" w:eastAsia="宋体" w:cs="宋体"/>
              <w:bCs/>
            </w:rPr>
            <w:t>第一节 强化兵地科技融合发展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_Toc31497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"_Toc11205" </w:instrText>
          </w:r>
          <w:r>
            <w:fldChar w:fldCharType="separate"/>
          </w:r>
          <w:r>
            <w:rPr>
              <w:rFonts w:hint="eastAsia" w:ascii="宋体" w:hAnsi="宋体" w:eastAsia="宋体" w:cs="宋体"/>
              <w:bCs/>
            </w:rPr>
            <w:t>第二节 深化援疆科技合作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_Toc11205 \h </w:instrText>
          </w:r>
          <w:r>
            <w:rPr>
              <w:rFonts w:hint="eastAsia" w:ascii="宋体" w:hAnsi="宋体" w:eastAsia="宋体" w:cs="宋体"/>
            </w:rPr>
            <w:fldChar w:fldCharType="separate"/>
          </w:r>
          <w:r>
            <w:rPr>
              <w:rFonts w:hint="eastAsia" w:ascii="宋体" w:hAnsi="宋体" w:eastAsia="宋体" w:cs="宋体"/>
            </w:rPr>
            <w:t>- 32 -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"_Toc28939" </w:instrText>
          </w:r>
          <w:r>
            <w:fldChar w:fldCharType="separate"/>
          </w:r>
          <w:r>
            <w:rPr>
              <w:rFonts w:hint="eastAsia" w:ascii="宋体" w:hAnsi="宋体" w:eastAsia="宋体" w:cs="宋体"/>
              <w:bCs/>
            </w:rPr>
            <w:t>第三节 拓展中亚科技合作网络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_Toc28939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b/>
              <w:bCs/>
            </w:rPr>
          </w:pPr>
          <w:r>
            <w:fldChar w:fldCharType="begin"/>
          </w:r>
          <w:r>
            <w:instrText xml:space="preserve"> HYPERLINK \l "_Toc5429" </w:instrText>
          </w:r>
          <w:r>
            <w:fldChar w:fldCharType="separate"/>
          </w:r>
          <w:r>
            <w:rPr>
              <w:rFonts w:hint="eastAsia" w:ascii="宋体" w:hAnsi="宋体" w:eastAsia="宋体" w:cs="宋体"/>
              <w:b/>
              <w:bCs/>
              <w:spacing w:val="-11"/>
              <w:szCs w:val="36"/>
            </w:rPr>
            <w:t>第六章 推进师市科学技术普及工作</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_Toc5429 \h </w:instrText>
          </w:r>
          <w:r>
            <w:rPr>
              <w:rFonts w:hint="eastAsia" w:ascii="宋体" w:hAnsi="宋体" w:eastAsia="宋体" w:cs="宋体"/>
              <w:b/>
              <w:bCs/>
            </w:rPr>
            <w:fldChar w:fldCharType="separate"/>
          </w:r>
          <w:r>
            <w:rPr>
              <w:rFonts w:hint="eastAsia" w:ascii="宋体" w:hAnsi="宋体" w:eastAsia="宋体" w:cs="宋体"/>
              <w:b/>
              <w:bCs/>
            </w:rPr>
            <w:t>- 33 -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"_Toc7538" </w:instrText>
          </w:r>
          <w:r>
            <w:fldChar w:fldCharType="separate"/>
          </w:r>
          <w:r>
            <w:rPr>
              <w:rFonts w:hint="eastAsia" w:ascii="宋体" w:hAnsi="宋体" w:eastAsia="宋体" w:cs="宋体"/>
              <w:bCs/>
            </w:rPr>
            <w:t>第一节 发展科学普及人才队伍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_Toc7538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"_Toc29820" </w:instrText>
          </w:r>
          <w:r>
            <w:fldChar w:fldCharType="separate"/>
          </w:r>
          <w:r>
            <w:rPr>
              <w:rFonts w:hint="eastAsia" w:ascii="宋体" w:hAnsi="宋体" w:eastAsia="宋体" w:cs="宋体"/>
              <w:bCs/>
            </w:rPr>
            <w:t>第二节 优化拓展科学普及基础设施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_Toc29820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"_Toc30286" </w:instrText>
          </w:r>
          <w:r>
            <w:fldChar w:fldCharType="separate"/>
          </w:r>
          <w:r>
            <w:rPr>
              <w:rFonts w:hint="eastAsia" w:ascii="宋体" w:hAnsi="宋体" w:eastAsia="宋体" w:cs="宋体"/>
              <w:bCs/>
            </w:rPr>
            <w:t>第三节 提升全民科学素质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_Toc30286 \h </w:instrText>
          </w:r>
          <w:r>
            <w:rPr>
              <w:rFonts w:hint="eastAsia" w:ascii="宋体" w:hAnsi="宋体" w:eastAsia="宋体" w:cs="宋体"/>
            </w:rPr>
            <w:fldChar w:fldCharType="separate"/>
          </w:r>
          <w:r>
            <w:rPr>
              <w:rFonts w:hint="eastAsia" w:ascii="宋体" w:hAnsi="宋体" w:eastAsia="宋体" w:cs="宋体"/>
            </w:rPr>
            <w:t>- 35 -</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6"/>
            </w:tabs>
            <w:rPr>
              <w:rFonts w:hint="eastAsia" w:ascii="宋体" w:hAnsi="宋体" w:eastAsia="宋体" w:cs="宋体"/>
              <w:b/>
              <w:bCs/>
            </w:rPr>
          </w:pPr>
          <w:r>
            <w:fldChar w:fldCharType="begin"/>
          </w:r>
          <w:r>
            <w:instrText xml:space="preserve"> HYPERLINK \l "_Toc6520" </w:instrText>
          </w:r>
          <w:r>
            <w:fldChar w:fldCharType="separate"/>
          </w:r>
          <w:r>
            <w:rPr>
              <w:rFonts w:hint="eastAsia" w:ascii="宋体" w:hAnsi="宋体" w:eastAsia="宋体" w:cs="宋体"/>
              <w:b/>
              <w:bCs/>
              <w:spacing w:val="-11"/>
              <w:szCs w:val="36"/>
            </w:rPr>
            <w:t>第七章 保障措施</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_Toc6520 \h </w:instrText>
          </w:r>
          <w:r>
            <w:rPr>
              <w:rFonts w:hint="eastAsia" w:ascii="宋体" w:hAnsi="宋体" w:eastAsia="宋体" w:cs="宋体"/>
              <w:b/>
              <w:bCs/>
            </w:rPr>
            <w:fldChar w:fldCharType="separate"/>
          </w:r>
          <w:r>
            <w:rPr>
              <w:rFonts w:hint="eastAsia" w:ascii="宋体" w:hAnsi="宋体" w:eastAsia="宋体" w:cs="宋体"/>
              <w:b/>
              <w:bCs/>
            </w:rPr>
            <w:t>- 36 -</w:t>
          </w:r>
          <w:r>
            <w:rPr>
              <w:rFonts w:hint="eastAsia" w:ascii="宋体" w:hAnsi="宋体" w:eastAsia="宋体" w:cs="宋体"/>
              <w:b/>
              <w:bCs/>
            </w:rPr>
            <w:fldChar w:fldCharType="end"/>
          </w:r>
          <w:r>
            <w:rPr>
              <w:rFonts w:hint="eastAsia" w:ascii="宋体" w:hAnsi="宋体" w:eastAsia="宋体" w:cs="宋体"/>
              <w:b/>
              <w:bCs/>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"_Toc15823" </w:instrText>
          </w:r>
          <w:r>
            <w:fldChar w:fldCharType="separate"/>
          </w:r>
          <w:r>
            <w:rPr>
              <w:rFonts w:hint="eastAsia" w:ascii="宋体" w:hAnsi="宋体" w:eastAsia="宋体" w:cs="宋体"/>
              <w:bCs/>
            </w:rPr>
            <w:t>第一节 加强党的领导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_Toc15823 \h </w:instrText>
          </w:r>
          <w:r>
            <w:rPr>
              <w:rFonts w:hint="eastAsia" w:ascii="宋体" w:hAnsi="宋体" w:eastAsia="宋体" w:cs="宋体"/>
            </w:rPr>
            <w:fldChar w:fldCharType="separate"/>
          </w:r>
          <w:r>
            <w:rPr>
              <w:rFonts w:hint="eastAsia" w:ascii="宋体" w:hAnsi="宋体" w:eastAsia="宋体" w:cs="宋体"/>
            </w:rPr>
            <w:t>- 36 -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"_Toc20537" </w:instrText>
          </w:r>
          <w:r>
            <w:fldChar w:fldCharType="separate"/>
          </w:r>
          <w:r>
            <w:rPr>
              <w:rFonts w:hint="eastAsia" w:ascii="宋体" w:hAnsi="宋体" w:eastAsia="宋体" w:cs="宋体"/>
              <w:bCs/>
            </w:rPr>
            <w:t>第二节 强化科技投入保障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_Toc20537 \h </w:instrText>
          </w:r>
          <w:r>
            <w:rPr>
              <w:rFonts w:hint="eastAsia" w:ascii="宋体" w:hAnsi="宋体" w:eastAsia="宋体" w:cs="宋体"/>
            </w:rPr>
            <w:fldChar w:fldCharType="separate"/>
          </w:r>
          <w:r>
            <w:rPr>
              <w:rFonts w:hint="eastAsia" w:ascii="宋体" w:hAnsi="宋体" w:eastAsia="宋体" w:cs="宋体"/>
            </w:rPr>
            <w:t>- 36 -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ascii="宋体" w:hAnsi="宋体" w:eastAsia="宋体" w:cs="宋体"/>
            </w:rPr>
          </w:pPr>
          <w:r>
            <w:fldChar w:fldCharType="begin"/>
          </w:r>
          <w:r>
            <w:instrText xml:space="preserve"> HYPERLINK \l "_Toc24540" </w:instrText>
          </w:r>
          <w:r>
            <w:fldChar w:fldCharType="separate"/>
          </w:r>
          <w:r>
            <w:rPr>
              <w:rFonts w:hint="eastAsia" w:ascii="宋体" w:hAnsi="宋体" w:eastAsia="宋体" w:cs="宋体"/>
              <w:bCs/>
            </w:rPr>
            <w:t>第三节 完善实施评估机制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_Toc24540 \h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06"/>
            </w:tabs>
            <w:ind w:left="640"/>
            <w:rPr>
              <w:rFonts w:hint="eastAsia"/>
            </w:rPr>
          </w:pPr>
          <w:r>
            <w:fldChar w:fldCharType="begin"/>
          </w:r>
          <w:r>
            <w:instrText xml:space="preserve"> HYPERLINK \l "_Toc19647" </w:instrText>
          </w:r>
          <w:r>
            <w:fldChar w:fldCharType="separate"/>
          </w:r>
          <w:r>
            <w:rPr>
              <w:rFonts w:hint="eastAsia" w:ascii="宋体" w:hAnsi="宋体" w:eastAsia="宋体" w:cs="宋体"/>
              <w:bCs/>
            </w:rPr>
            <w:t>第四节 加强科技政策宣传推广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_Toc19647 \h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rPr>
            <w:fldChar w:fldCharType="end"/>
          </w:r>
        </w:p>
        <w:p>
          <w:pPr>
            <w:ind w:firstLine="0" w:firstLineChars="0"/>
            <w:rPr>
              <w:rFonts w:hint="eastAsia" w:hAnsi="仿宋_GB2312" w:cs="仿宋_GB2312"/>
            </w:rPr>
          </w:pPr>
          <w:r>
            <w:rPr>
              <w:rFonts w:hint="eastAsia" w:hAnsi="仿宋_GB2312" w:cs="仿宋_GB2312"/>
            </w:rPr>
            <w:fldChar w:fldCharType="end"/>
          </w:r>
        </w:p>
      </w:sdtContent>
    </w:sdt>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0" w:firstLineChars="0"/>
        <w:rPr>
          <w:rFonts w:hint="eastAsia" w:hAnsi="仿宋_GB2312" w:cs="仿宋_GB2312"/>
        </w:rPr>
      </w:pPr>
    </w:p>
    <w:p>
      <w:pPr>
        <w:ind w:firstLine="883"/>
        <w:rPr>
          <w:rFonts w:hint="eastAsia" w:ascii="方正小标宋简体" w:hAnsi="方正小标宋简体" w:eastAsia="方正小标宋简体" w:cs="方正小标宋简体"/>
          <w:b/>
          <w:bCs/>
          <w:sz w:val="44"/>
          <w:szCs w:val="44"/>
        </w:rPr>
        <w:sectPr>
          <w:pgSz w:w="11906" w:h="16838"/>
          <w:pgMar w:top="1440" w:right="1800" w:bottom="1440" w:left="1800" w:header="851" w:footer="992" w:gutter="0"/>
          <w:cols w:space="425" w:num="1"/>
          <w:docGrid w:type="lines" w:linePitch="312" w:charSpace="0"/>
        </w:sectPr>
      </w:pPr>
    </w:p>
    <w:p>
      <w:pPr>
        <w:keepNext/>
        <w:keepLines/>
        <w:adjustRightInd/>
        <w:snapToGrid/>
        <w:spacing w:before="468" w:beforeLines="150" w:after="468" w:afterLines="150" w:line="240" w:lineRule="auto"/>
        <w:ind w:firstLine="0" w:firstLineChars="0"/>
        <w:jc w:val="center"/>
        <w:outlineLvl w:val="0"/>
        <w:rPr>
          <w:rFonts w:ascii="Times New Roman" w:hAnsi="Times New Roman" w:eastAsia="方正小标宋简体" w:cs="Times New Roman"/>
          <w:bCs/>
          <w:spacing w:val="-11"/>
          <w:sz w:val="36"/>
          <w:szCs w:val="36"/>
        </w:rPr>
      </w:pPr>
      <w:bookmarkStart w:id="0" w:name="_Toc11537"/>
      <w:bookmarkStart w:id="1" w:name="_Toc25303"/>
      <w:bookmarkStart w:id="2" w:name="_Toc11911"/>
      <w:r>
        <w:rPr>
          <w:rFonts w:hint="eastAsia" w:ascii="Times New Roman" w:hAnsi="Times New Roman" w:eastAsia="方正小标宋简体" w:cs="Times New Roman"/>
          <w:bCs/>
          <w:spacing w:val="-11"/>
          <w:sz w:val="36"/>
          <w:szCs w:val="36"/>
        </w:rPr>
        <w:t>第一章 发展基础和环境</w:t>
      </w:r>
      <w:bookmarkEnd w:id="0"/>
    </w:p>
    <w:p>
      <w:pPr>
        <w:rPr>
          <w:rFonts w:ascii="Times New Roman" w:hAnsi="Times New Roman" w:cs="Times New Roman"/>
        </w:rPr>
      </w:pPr>
      <w:r>
        <w:rPr>
          <w:rFonts w:hint="eastAsia" w:ascii="Times New Roman" w:hAnsi="Times New Roman" w:cs="Times New Roman"/>
        </w:rPr>
        <w:t>“十五五”时期是第五师双河市强化科技创新引领作用、加快构建现代化产业体系的重要阶段，也是师市以科技创新赋能高质量发展、深度融入兵团现代化建设大局的关键时期。为全面推进“十五五”时期师市科技创新工作，根据《第五师双河市国民经济和社会发展第十五个五年规划纲要》总体部署，编制本专项规划。</w:t>
      </w:r>
    </w:p>
    <w:bookmarkEnd w:id="1"/>
    <w:bookmarkEnd w:id="2"/>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 w:name="_Toc17288"/>
      <w:r>
        <w:rPr>
          <w:rFonts w:hint="eastAsia" w:ascii="Times New Roman" w:hAnsi="Times New Roman" w:eastAsia="黑体" w:cs="Times New Roman"/>
          <w:bCs/>
        </w:rPr>
        <w:t>第一节 发展基础</w:t>
      </w:r>
      <w:bookmarkEnd w:id="3"/>
    </w:p>
    <w:p>
      <w:pPr>
        <w:rPr>
          <w:rFonts w:ascii="Times New Roman" w:hAnsi="Times New Roman" w:cs="Times New Roman"/>
        </w:rPr>
      </w:pPr>
      <w:r>
        <w:rPr>
          <w:rFonts w:ascii="Times New Roman" w:hAnsi="Times New Roman" w:cs="Times New Roman"/>
        </w:rPr>
        <w:t>“十四五”</w:t>
      </w:r>
      <w:r>
        <w:rPr>
          <w:rFonts w:hint="eastAsia"/>
        </w:rPr>
        <w:t>以来，师市以习近平新时代中国特色社会主义思想为指导，学习贯彻党的二十大和二十届历次全会精神，贯彻落实习近平总书记关于科技创新重要论述和视察新疆重要讲话重要指示精神，</w:t>
      </w:r>
      <w:bookmarkStart w:id="4" w:name="OLE_LINK3"/>
      <w:r>
        <w:rPr>
          <w:rFonts w:ascii="Times New Roman" w:hAnsi="Times New Roman" w:cs="Times New Roman"/>
        </w:rPr>
        <w:t>在</w:t>
      </w:r>
      <w:r>
        <w:rPr>
          <w:rFonts w:hint="eastAsia" w:ascii="Times New Roman" w:hAnsi="Times New Roman" w:cs="Times New Roman"/>
        </w:rPr>
        <w:t>兵团党委、师市</w:t>
      </w:r>
      <w:r>
        <w:rPr>
          <w:rFonts w:ascii="Times New Roman" w:hAnsi="Times New Roman" w:cs="Times New Roman"/>
        </w:rPr>
        <w:t>党委的坚强领导下，</w:t>
      </w:r>
      <w:bookmarkEnd w:id="4"/>
      <w:r>
        <w:rPr>
          <w:rFonts w:hint="eastAsia" w:ascii="Times New Roman" w:hAnsi="Times New Roman" w:cs="Times New Roman"/>
        </w:rPr>
        <w:t>科技创新对经济社会发展支撑引领作用显著增强，有力支撑了师市经济社会发展大局。</w:t>
      </w:r>
    </w:p>
    <w:p>
      <w:pPr>
        <w:ind w:firstLine="643"/>
        <w:rPr>
          <w:rFonts w:ascii="Times New Roman" w:hAnsi="Times New Roman" w:cs="Times New Roman"/>
        </w:rPr>
      </w:pPr>
      <w:r>
        <w:rPr>
          <w:rFonts w:hint="eastAsia"/>
          <w:b/>
          <w:bCs/>
        </w:rPr>
        <w:t>——党对科技工作的领导全面加强。</w:t>
      </w:r>
      <w:r>
        <w:rPr>
          <w:rFonts w:hint="eastAsia" w:ascii="Times New Roman" w:hAnsi="Times New Roman" w:cs="Times New Roman"/>
        </w:rPr>
        <w:t>兵团第八次党代会和兵团党委八届历次全会以及连续召开的科技创新大会，为师市科技工作指明了方向。师市党委始终将科技创新摆在发展全局的核心位置，强化战略引领与高位统筹，加强科技创新政策规划、政策措施、科技项目、科研力量、资源平台的统筹，积极汇聚创新资源，激发各类创新主体活力，夯实了创新驱动高质量发展的制度基础与工作根基。</w:t>
      </w:r>
    </w:p>
    <w:p>
      <w:pPr>
        <w:ind w:firstLine="643"/>
        <w:rPr>
          <w:rFonts w:ascii="Times New Roman" w:hAnsi="Times New Roman" w:cs="Times New Roman"/>
        </w:rPr>
      </w:pPr>
      <w:r>
        <w:rPr>
          <w:rFonts w:hint="eastAsia"/>
          <w:b/>
          <w:bCs/>
        </w:rPr>
        <w:t>——科技创新主要指标大幅提升。</w:t>
      </w:r>
      <w:r>
        <w:rPr>
          <w:rFonts w:hint="eastAsia" w:ascii="Times New Roman" w:hAnsi="Times New Roman" w:cs="Times New Roman"/>
        </w:rPr>
        <w:t>各项规划指标全面完成，规划整体实施进度符合预期，阶段性成效显著。创新投入持续加大，2024年全社会研发经费达1326万元，年均增长15%。创新主体培育和平台载体建设稳步推进，培育高新技术企业9家、科技型中小企业17家，实现从无到有的突破；建成残膜资源化装备创新中心、玉米种质创新重点实验室等5个师市级创新平台。技术市场合同交易总额达3500万元，科技成果转化活力持续释放。全民科学素质稳步提升，区域综合创新能力明显增强。</w:t>
      </w:r>
    </w:p>
    <w:p>
      <w:pPr>
        <w:ind w:firstLine="643"/>
        <w:rPr>
          <w:rFonts w:hint="eastAsia"/>
        </w:rPr>
      </w:pPr>
      <w:r>
        <w:rPr>
          <w:rFonts w:hint="eastAsia"/>
          <w:b/>
          <w:bCs/>
        </w:rPr>
        <w:t>——创新赋能产业升级提质增效。</w:t>
      </w:r>
      <w:r>
        <w:rPr>
          <w:rFonts w:hint="eastAsia"/>
        </w:rPr>
        <w:t>聚焦重点产业发展需求，累计实施科技项目152项，推动科技创新与产业发展深度融合。农业领域成果丰硕，成功选育玉米新品种1个，审定棉花品种9个，“五师16-15”等4个品种实现成果转化，取得转化经费346万元。工业领域关键技术攻关取得积极进展，围绕绿色节能Low-E玻璃、高规格涂层箔、脱酚棉籽蛋白智能生产等重点方向开展研发，成功研制高效耕层筛网式残膜回收处理、11QC-12A型机收处理与加工成套设备等关键技术装备。创新成果持续涌现，累计授权发明专利4件、实用新型专利182件。新赛生物蛋白、纵海嘉惠获兵团创新创业大赛二等奖，德农科技获兵团创新创业大赛三等奖；获兵团科技进步奖三等奖1项、中国技术市场协会金桥奖1项，科技创新对产业升级的支撑作用持续增强。</w:t>
      </w:r>
    </w:p>
    <w:p>
      <w:pPr>
        <w:ind w:firstLine="643"/>
        <w:rPr>
          <w:rFonts w:hint="eastAsia"/>
        </w:rPr>
      </w:pPr>
      <w:r>
        <w:rPr>
          <w:rFonts w:hint="eastAsia"/>
          <w:b/>
          <w:bCs/>
        </w:rPr>
        <w:t>——科技创新人才梯队加速成型。</w:t>
      </w:r>
      <w:r>
        <w:rPr>
          <w:rFonts w:hint="eastAsia"/>
        </w:rPr>
        <w:t>以平台聚才、以产业育才、以项目用才，持续完善科技创新人才引进培养使用机制。深化校地合作，建成与石河子大学等高校共建的产学研合作基地3个，不断拓展人才创新创业载体。深入实施科技特派员制度，争取“三区”人才资金122万元，遴选科技特派员61名，组建27个科技特派员服务团队，深入农业生产一线开展科技服务。引进中国工程院院士领衔的农牧微生物菌种研发团队，创新推行“团队+项目+平台”引育模式，带动培养本土青年科技人才，科技人才队伍结构持续优化，人才支撑能力持续提升。</w:t>
      </w:r>
    </w:p>
    <w:p>
      <w:pPr>
        <w:ind w:firstLine="643"/>
        <w:jc w:val="left"/>
        <w:rPr>
          <w:rFonts w:hint="eastAsia"/>
        </w:rPr>
      </w:pPr>
      <w:r>
        <w:rPr>
          <w:rFonts w:ascii="Times New Roman" w:hAnsi="Times New Roman" w:cs="Times New Roman"/>
          <w:b/>
          <w:bCs/>
        </w:rPr>
        <w:t>——协同开放与区域联动持续深化。</w:t>
      </w:r>
      <w:r>
        <w:t>兵地科技合作走深走实，与博州科技局签订战略合作协议，联合开展各类技术培训5000人次，推动科技资源共享、人才联合培养、成果协同转化。对口援疆成效持续显现，累计争取湖北援疆科技资金550万元，实施援疆科技项目20项，共建新疆农牧业微生态产业技术创新研究院等创新平台，创新资源集聚和协同创新能力不断提升。对外科技合作稳步推进，支持金博种业与哈萨克斯坦开展棉花新品种联合试验，持续深化农业科技国际合作，为拓展中亚市场和科技合作空间奠定坚实基础。</w:t>
      </w:r>
    </w:p>
    <w:p>
      <w:pPr>
        <w:ind w:firstLine="643"/>
        <w:rPr>
          <w:rFonts w:hint="eastAsia"/>
        </w:rPr>
      </w:pPr>
      <w:r>
        <w:rPr>
          <w:rFonts w:ascii="Times New Roman" w:hAnsi="Times New Roman" w:cs="Times New Roman"/>
          <w:b/>
          <w:bCs/>
        </w:rPr>
        <w:t>——科技创新发展氛围基本形成。</w:t>
      </w:r>
      <w:r>
        <w:rPr>
          <w:rFonts w:ascii="Times New Roman" w:hAnsi="Times New Roman" w:cs="Times New Roman"/>
        </w:rPr>
        <w:t>坚持科技创新与科学普及协同推进，持续加强组织体系和科普能力建设。师市科协第一次代表大会顺利召开，推动双河职业技术学院成立高校科协，科技工作者组织体系进一步健全。科技馆建成并免费开放，累计服务群众3万余人次，入选首批国家级数字素养与技能提升培训基地</w:t>
      </w:r>
      <w:r>
        <w:rPr>
          <w:rFonts w:hint="eastAsia" w:ascii="Times New Roman" w:hAnsi="Times New Roman" w:cs="Times New Roman"/>
        </w:rPr>
        <w:t>。</w:t>
      </w:r>
      <w:r>
        <w:rPr>
          <w:rFonts w:ascii="Times New Roman" w:hAnsi="Times New Roman" w:cs="Times New Roman"/>
        </w:rPr>
        <w:t>科普主阵地作用持续增强。先后承办兵团第四届“中国飞天梦——科普万里行”和2024年全国科技活动周兵团主场活动，组织青少年赴清华大学、北京大学等高校参加科学营活动人次，成功举办师市青少年科技创新大赛、无人机及航空航天模型教育竞赛。科普人才队伍不断壮大，新培养优秀科技辅导员200余名、科普讲解员12名，曹阳、朱波等10人荣获兵团“最美科技工作者”称号，创新创造氛围日益浓厚。</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5" w:name="_Toc10186"/>
      <w:r>
        <w:rPr>
          <w:rFonts w:hint="eastAsia" w:ascii="Times New Roman" w:hAnsi="Times New Roman" w:eastAsia="黑体" w:cs="Times New Roman"/>
          <w:bCs/>
        </w:rPr>
        <w:t>第二节 发展趋势</w:t>
      </w:r>
      <w:bookmarkEnd w:id="5"/>
    </w:p>
    <w:p>
      <w:pPr>
        <w:rPr>
          <w:rFonts w:hint="eastAsia"/>
        </w:rPr>
      </w:pPr>
      <w:r>
        <w:t>——当前，世界百年未有之大变局加速演进，新一轮科技革命和产业变革深入发展，科学研究向极宏观拓展、向极微观深入、向极端条件迈进、向极综合交叉发力，以人工智能、量子科技、生物科技为代表的前沿技术呈现加速突破、交叉融合、群体跃升态势。与此同时，科技革命与大国博弈相互交织，高技术领域日益成为国际竞争最前沿和主战场，科技创新成为重塑全球竞争格局的关键变量。部分国家构筑“小院高墙”，强推“脱钩断链”，遏制打压我国高技术产业发展，极力压缩我国科技创新发展的时间空间，我国产业链供应链安全面临严峻挑战。</w:t>
      </w:r>
    </w:p>
    <w:p>
      <w:pPr>
        <w:rPr>
          <w:rFonts w:hint="eastAsia"/>
        </w:rPr>
      </w:pPr>
      <w:r>
        <w:t>——“十四五”以来，我国全球创新力排名首次跻身前十，拥有24个全球百强科技创新集群，在载人航天、探月工程、北斗导航、高速铁路、移动通信、新能源汽车、深海深地探测等领域取得一大批重大成果，研发支出、高技术出口和创新产出持续保持强劲势头，科技实力实现新跃升。党的二十大确立了2035年建成科技强国的奋斗目标，党的二十届四中全会将“科技自立自强水平大幅提高”列为我国“十五五”时期经济社会发展的主要目标之一，明确要求加快实现高水平科技自立自强，引领发展新质生产力。</w:t>
      </w:r>
    </w:p>
    <w:p>
      <w:pPr>
        <w:rPr>
          <w:rFonts w:hint="eastAsia"/>
        </w:rPr>
      </w:pPr>
      <w:r>
        <w:t>——“十四五”时期兵团科技创新呈现出从量的积累向质的转变、从点的突破向系统能力提升态势，目前正处于爬坡过坎的关键阶段。当前，科技创新资源配置与旺盛的科技需求之间还不相适应，特别是科技创新和产业创新深度融合还不够深入、高校科研院所科技策源能力还需进一步强化、多元化科技投入机制还不健全、高能级科技创新平台建设还有短板，亟</w:t>
      </w:r>
      <w:r>
        <w:rPr>
          <w:rFonts w:hint="eastAsia"/>
        </w:rPr>
        <w:t>须</w:t>
      </w:r>
      <w:r>
        <w:t>在打基础、补短板、建体系、强动能等方面精准用力、久久为功。</w:t>
      </w:r>
    </w:p>
    <w:p>
      <w:pPr>
        <w:rPr>
          <w:rFonts w:hint="eastAsia"/>
        </w:rPr>
      </w:pPr>
      <w:r>
        <w:t>——“十五五”时期，师市在区位、资源、开放等方面的比较优势将加速释放，为科技创新提供更加广阔的应用场景和跨区域合作空间。现阶段，师市开放协同水平与资源优势转化效能之间还不相适应，兵地科技资源共享机制还不健全，援疆资源与师市需求衔接还不够紧密，多元化科技投入机制还不完善，高能级科技创新平台建设还有短板，创新要素集聚和成果转化能力仍需提升。亟须在机制创新、开放合作、资源统筹、平台建设等方面精准发力、系统推进，加快把区位优势、资源优势、开放优势转化为科技创新优势和发展优势。</w:t>
      </w:r>
    </w:p>
    <w:p>
      <w:pPr>
        <w:keepNext/>
        <w:keepLines/>
        <w:adjustRightInd/>
        <w:snapToGrid/>
        <w:spacing w:before="468" w:beforeLines="150" w:after="468" w:afterLines="150" w:line="240" w:lineRule="auto"/>
        <w:ind w:firstLine="0" w:firstLineChars="0"/>
        <w:jc w:val="center"/>
        <w:outlineLvl w:val="0"/>
        <w:rPr>
          <w:rFonts w:ascii="Times New Roman" w:hAnsi="Times New Roman" w:eastAsia="方正小标宋简体" w:cs="Times New Roman"/>
          <w:bCs/>
          <w:spacing w:val="-11"/>
          <w:sz w:val="36"/>
          <w:szCs w:val="36"/>
        </w:rPr>
      </w:pPr>
      <w:bookmarkStart w:id="6" w:name="_Toc24578"/>
      <w:bookmarkStart w:id="7" w:name="_Toc893"/>
      <w:bookmarkStart w:id="8" w:name="_Toc24392"/>
      <w:bookmarkStart w:id="9" w:name="_Toc20929"/>
      <w:r>
        <w:rPr>
          <w:rFonts w:hint="eastAsia" w:ascii="Times New Roman" w:hAnsi="Times New Roman" w:eastAsia="方正小标宋简体" w:cs="Times New Roman"/>
          <w:bCs/>
          <w:spacing w:val="-11"/>
          <w:sz w:val="36"/>
          <w:szCs w:val="36"/>
        </w:rPr>
        <w:t>第二章 总体要求</w:t>
      </w:r>
      <w:bookmarkEnd w:id="6"/>
      <w:bookmarkEnd w:id="7"/>
      <w:bookmarkEnd w:id="8"/>
      <w:bookmarkEnd w:id="9"/>
    </w:p>
    <w:p>
      <w:pPr>
        <w:rPr>
          <w:rFonts w:hint="eastAsia" w:eastAsia="楷体_GB2312" w:cs="Times New Roman"/>
        </w:rPr>
      </w:pPr>
      <w:r>
        <w:rPr>
          <w:rFonts w:cs="Times New Roman"/>
        </w:rPr>
        <w:t>“十五五”时期，要锚定中央赋予新疆的“五大战略定位”，围绕更好履行“三大功能”、发挥“四大作用”，大力实施创新驱动发展战略，推进科技创新实力持续增强。</w:t>
      </w:r>
    </w:p>
    <w:p>
      <w:pPr>
        <w:keepNext/>
        <w:keepLines/>
        <w:numPr>
          <w:ilvl w:val="0"/>
          <w:numId w:val="2"/>
        </w:numPr>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10" w:name="_Toc26869"/>
      <w:bookmarkStart w:id="11" w:name="_Toc20785"/>
      <w:bookmarkStart w:id="12" w:name="_Toc13457"/>
      <w:bookmarkStart w:id="13" w:name="_Toc31283"/>
      <w:r>
        <w:rPr>
          <w:rFonts w:hint="eastAsia" w:ascii="Times New Roman" w:hAnsi="Times New Roman" w:eastAsia="黑体" w:cs="Times New Roman"/>
          <w:bCs/>
        </w:rPr>
        <w:t>指导思想</w:t>
      </w:r>
      <w:bookmarkEnd w:id="10"/>
      <w:bookmarkEnd w:id="11"/>
      <w:bookmarkEnd w:id="12"/>
      <w:bookmarkEnd w:id="13"/>
    </w:p>
    <w:p>
      <w:pPr>
        <w:rPr>
          <w:rFonts w:hint="eastAsia"/>
        </w:rPr>
      </w:pPr>
      <w:r>
        <w:t>以习近平新时代中国特色社会主义思想为指导，深入学习贯彻党的二十大和二十届历次全会精神，全面贯彻落实习近平总书记关于科技创新的重要论述和在自治区成立70周年庆祝活动系列重要讲话重要指示精神</w:t>
      </w:r>
      <w:r>
        <w:rPr>
          <w:rFonts w:hint="eastAsia"/>
        </w:rPr>
        <w:t>，</w:t>
      </w:r>
      <w:r>
        <w:t>锚定2035年建成科技强国、科技强区目标，立足师市发展实际，坚持把科技创新摆在发展全局的核心位置，以推动科技创新和产业创新深度融合为主线，深入实施“新质农业筑基、口岸工业强链、古道文旅兴城、绿色智慧赋能”发展战略，加快构建“3+3+3”现代化产业体系，着力实现“四基两区”战略目标。坚持以深化改革激发创新活力，统筹推进教育科技人才一体发展，强化科技创新对产业发展的引领支撑作用，深化兵地协同和开放合作，强化企业科技创新主体地位，促进创新链、产业链、资金链、人才链深度融合，统筹项目、人才、平台、资金等创新资源高效配置，因地制宜培育和发展新质生产力，为师市高质量发展提供坚强科技支撑。</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14" w:name="_Toc31404"/>
      <w:r>
        <w:rPr>
          <w:rFonts w:hint="eastAsia" w:ascii="Times New Roman" w:hAnsi="Times New Roman" w:eastAsia="黑体" w:cs="Times New Roman"/>
          <w:bCs/>
        </w:rPr>
        <w:t>第二节 基本原则</w:t>
      </w:r>
      <w:bookmarkEnd w:id="14"/>
    </w:p>
    <w:p>
      <w:pPr>
        <w:rPr>
          <w:rFonts w:hint="eastAsia" w:cs="Times New Roman"/>
        </w:rPr>
      </w:pPr>
      <w:r>
        <w:rPr>
          <w:rFonts w:hint="eastAsia" w:cs="Times New Roman"/>
        </w:rPr>
        <w:t>——使命牵引，服务大局。坚持和加强党对科技工作的全面领导，把科技创新摆在落实兵团职责使命、实现新疆工作总目标的大局中谋划和推进，主动融入、积极服务国家区域科技创新体系布局，深入推进科技支撑服务兵团向南发展，为兵团更好履行“三大功能”、发挥“四大作用”提供有力科技支撑。</w:t>
      </w:r>
    </w:p>
    <w:p>
      <w:pPr>
        <w:rPr>
          <w:rFonts w:hint="eastAsia" w:cs="Times New Roman"/>
        </w:rPr>
      </w:pPr>
      <w:r>
        <w:rPr>
          <w:rFonts w:hint="eastAsia" w:cs="Times New Roman"/>
        </w:rPr>
        <w:t>——创新驱动，重点突破。围绕农业现代化、新型工业化等重点领域，聚焦关键环节和共性技术问题，优化配置科技项目、平台、人才、资金等创新资源，着力提升体系化科技攻关能力，加快推动科技成果转化为现实生产力，力争在若干重点领域形成竞争优势、赢得战略主动。</w:t>
      </w:r>
    </w:p>
    <w:p>
      <w:pPr>
        <w:rPr>
          <w:rFonts w:hint="eastAsia" w:cs="Times New Roman"/>
        </w:rPr>
      </w:pPr>
      <w:r>
        <w:rPr>
          <w:rFonts w:hint="eastAsia" w:cs="Times New Roman"/>
        </w:rPr>
        <w:t>——绿色低碳，科技惠民。把惠民、利民、富民作为科技创新的重要导向，推动经济社会发展绿色化、低碳化，坚持科技创新为了人民、依靠人民、成果由人民共享，提升职工群众科学素质，赋能乡村全面振兴，更好满足人民群众对美好生活的向往。</w:t>
      </w:r>
    </w:p>
    <w:p>
      <w:pPr>
        <w:rPr>
          <w:rFonts w:hint="eastAsia" w:cs="Times New Roman"/>
        </w:rPr>
      </w:pPr>
      <w:r>
        <w:rPr>
          <w:rFonts w:hint="eastAsia" w:cs="Times New Roman"/>
        </w:rPr>
        <w:t>——市场导向，协同开放。积极服务和融入新发展格局，推动政产学研金服用协同联动，强化兵师联动、兵地协同，推动兵地科技融通创新，深化科技援疆协作，着力扩大科技开放合作，促进创新链产业链资金链人才链深度融合，提升师市科技创新整体效能。</w:t>
      </w:r>
    </w:p>
    <w:p>
      <w:pPr>
        <w:rPr>
          <w:rFonts w:hint="eastAsia" w:cs="Times New Roman"/>
        </w:rPr>
      </w:pPr>
      <w:r>
        <w:rPr>
          <w:rFonts w:hint="eastAsia" w:cs="Times New Roman"/>
        </w:rPr>
        <w:t>——改革攻坚，激发动能。坚持总体国家安全观，持续深化科技体制改革，统筹推进教育科技人才体制机制一体改革，加快形成支持全面创新的基础制度，推进科技治理体系和治理能力现代化，完善与新质生产力发展更相适应的体制机制。大力弘扬科学家精神，培育创新文化，营造鼓励探索、宽容失败的良好环境。</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15" w:name="_Toc27317"/>
      <w:r>
        <w:rPr>
          <w:rFonts w:hint="eastAsia" w:ascii="Times New Roman" w:hAnsi="Times New Roman" w:eastAsia="黑体" w:cs="Times New Roman"/>
          <w:bCs/>
        </w:rPr>
        <w:t>第三节 发展目标</w:t>
      </w:r>
      <w:bookmarkEnd w:id="15"/>
    </w:p>
    <w:p>
      <w:pPr>
        <w:rPr>
          <w:rFonts w:hint="eastAsia"/>
        </w:rPr>
      </w:pPr>
      <w:r>
        <w:rPr>
          <w:rFonts w:hint="eastAsia"/>
        </w:rPr>
        <w:t>到2030年，师市科技实力和创新能力明显增强，各类创新资源配置持续优化，企业创新主体地位更加突出，科技创新与产业创新深度融合，创新驱动发展作用进一步增强。</w:t>
      </w:r>
    </w:p>
    <w:p>
      <w:pPr>
        <w:rPr>
          <w:rFonts w:hint="eastAsia"/>
        </w:rPr>
      </w:pPr>
      <w:r>
        <w:rPr>
          <w:rFonts w:hint="eastAsia"/>
        </w:rPr>
        <w:t>——科技创新能力全面增强。师市科技创新综合实力稳步提升，创新投入持续加大，重点实验室、科技领军企业、科研机构等创新载体建设持续加强。到2030年，力争全社会研究与试验发展（R&amp;D）经费投入达到2100万元以上，实现兵团级高能级创新平台“零”的突破。</w:t>
      </w:r>
    </w:p>
    <w:p>
      <w:pPr>
        <w:rPr>
          <w:rFonts w:hint="eastAsia"/>
        </w:rPr>
      </w:pPr>
      <w:r>
        <w:rPr>
          <w:rFonts w:hint="eastAsia"/>
        </w:rPr>
        <w:t>——科技创新和产业创新深度融合。夯实企业科技创新主体地位，强化科技创新平台资源集聚能力，推动经开区创新发展，提高科技成果转化和产业化水平。到2030年，力争高新技术企业达到15家以上，技术合同成交额达到2000万元以上。</w:t>
      </w:r>
    </w:p>
    <w:p>
      <w:pPr>
        <w:rPr>
          <w:rFonts w:hint="eastAsia"/>
        </w:rPr>
      </w:pPr>
      <w:r>
        <w:rPr>
          <w:rFonts w:hint="eastAsia"/>
        </w:rPr>
        <w:t>——区域科技创新能力显著提升。立足资源禀赋、区位优势、产业基础和创新条件，优化知识、技术、人才、资本、信息等创新要素配置。到2030年，力争R&amp;D人员数量达到450人以上，每万人口高价值发明专利拥有量达到1.6件以上。</w:t>
      </w:r>
    </w:p>
    <w:p>
      <w:pPr>
        <w:rPr>
          <w:rFonts w:hint="eastAsia"/>
        </w:rPr>
      </w:pPr>
      <w:r>
        <w:rPr>
          <w:rFonts w:hint="eastAsia"/>
        </w:rPr>
        <w:t>——科普服务能力全面提升。充分发挥科技馆科普主阵地作用，持续开展科技活动周、全国科普日等品牌活动，扩大科普覆盖面。加强科普人才队伍建设，推动优质科普资源下沉团场连队。到2030年，公民具备科学素质比例力争达到17%。</w:t>
      </w:r>
    </w:p>
    <w:p>
      <w:pPr>
        <w:pStyle w:val="2"/>
        <w:rPr>
          <w:rFonts w:hint="eastAsia"/>
        </w:rPr>
      </w:pPr>
    </w:p>
    <w:p>
      <w:pPr>
        <w:pStyle w:val="4"/>
        <w:rPr>
          <w:rFonts w:hint="eastAsia"/>
        </w:rPr>
      </w:pPr>
    </w:p>
    <w:tbl>
      <w:tblPr>
        <w:tblStyle w:val="2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108" w:type="dxa"/>
          <w:bottom w:w="0" w:type="dxa"/>
          <w:right w:w="108" w:type="dxa"/>
        </w:tblCellMar>
      </w:tblPr>
      <w:tblGrid>
        <w:gridCol w:w="897"/>
        <w:gridCol w:w="4075"/>
        <w:gridCol w:w="1269"/>
        <w:gridCol w:w="102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726" w:hRule="atLeast"/>
          <w:jc w:val="center"/>
        </w:trPr>
        <w:tc>
          <w:tcPr>
            <w:tcW w:w="8300" w:type="dxa"/>
            <w:gridSpan w:val="5"/>
            <w:vAlign w:val="center"/>
          </w:tcPr>
          <w:p>
            <w:pPr>
              <w:ind w:firstLine="0" w:firstLineChars="0"/>
              <w:jc w:val="center"/>
              <w:rPr>
                <w:rFonts w:hint="eastAsia"/>
                <w:sz w:val="24"/>
                <w:szCs w:val="24"/>
              </w:rPr>
            </w:pPr>
            <w:r>
              <w:rPr>
                <w:rFonts w:hint="eastAsia" w:ascii="黑体" w:eastAsia="黑体" w:cs="黑体"/>
                <w:bCs/>
              </w:rPr>
              <w:t>专栏1  “</w:t>
            </w:r>
            <w:r>
              <w:rPr>
                <w:rFonts w:hint="eastAsia" w:ascii="黑体" w:eastAsia="黑体" w:cs="黑体"/>
              </w:rPr>
              <w:t>十五五”时期科技创新主要指标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hint="eastAsia"/>
                <w:sz w:val="24"/>
                <w:szCs w:val="24"/>
              </w:rPr>
            </w:pPr>
            <w:r>
              <w:rPr>
                <w:sz w:val="24"/>
                <w:szCs w:val="24"/>
              </w:rPr>
              <w:t>序号</w:t>
            </w:r>
          </w:p>
        </w:tc>
        <w:tc>
          <w:tcPr>
            <w:tcW w:w="4075" w:type="dxa"/>
            <w:vAlign w:val="center"/>
          </w:tcPr>
          <w:p>
            <w:pPr>
              <w:ind w:firstLine="0" w:firstLineChars="0"/>
              <w:jc w:val="center"/>
              <w:rPr>
                <w:rFonts w:hint="eastAsia"/>
                <w:sz w:val="24"/>
                <w:szCs w:val="24"/>
              </w:rPr>
            </w:pPr>
            <w:r>
              <w:rPr>
                <w:sz w:val="24"/>
                <w:szCs w:val="24"/>
              </w:rPr>
              <w:t>指标</w:t>
            </w:r>
          </w:p>
        </w:tc>
        <w:tc>
          <w:tcPr>
            <w:tcW w:w="1269" w:type="dxa"/>
            <w:vAlign w:val="center"/>
          </w:tcPr>
          <w:p>
            <w:pPr>
              <w:ind w:firstLine="0" w:firstLineChars="0"/>
              <w:jc w:val="center"/>
              <w:rPr>
                <w:rFonts w:hint="eastAsia"/>
                <w:sz w:val="24"/>
                <w:szCs w:val="24"/>
              </w:rPr>
            </w:pPr>
            <w:r>
              <w:rPr>
                <w:rFonts w:hint="eastAsia"/>
                <w:sz w:val="24"/>
                <w:szCs w:val="24"/>
              </w:rPr>
              <w:t>当前值</w:t>
            </w:r>
          </w:p>
        </w:tc>
        <w:tc>
          <w:tcPr>
            <w:tcW w:w="1029" w:type="dxa"/>
            <w:vAlign w:val="center"/>
          </w:tcPr>
          <w:p>
            <w:pPr>
              <w:ind w:firstLine="0" w:firstLineChars="0"/>
              <w:jc w:val="center"/>
              <w:rPr>
                <w:rFonts w:hint="eastAsia"/>
                <w:sz w:val="24"/>
                <w:szCs w:val="24"/>
              </w:rPr>
            </w:pPr>
            <w:r>
              <w:rPr>
                <w:rFonts w:hint="eastAsia" w:ascii="Times New Roman" w:hAnsi="Times New Roman" w:cs="Times New Roman"/>
                <w:sz w:val="24"/>
                <w:szCs w:val="24"/>
              </w:rPr>
              <w:t>2030</w:t>
            </w:r>
            <w:r>
              <w:rPr>
                <w:sz w:val="24"/>
                <w:szCs w:val="24"/>
              </w:rPr>
              <w:t>年</w:t>
            </w:r>
          </w:p>
        </w:tc>
        <w:tc>
          <w:tcPr>
            <w:tcW w:w="1030" w:type="dxa"/>
            <w:vAlign w:val="center"/>
          </w:tcPr>
          <w:p>
            <w:pPr>
              <w:ind w:firstLine="0" w:firstLineChars="0"/>
              <w:jc w:val="center"/>
              <w:rPr>
                <w:rFonts w:hint="eastAsia"/>
                <w:sz w:val="24"/>
                <w:szCs w:val="24"/>
              </w:rPr>
            </w:pPr>
            <w:r>
              <w:rPr>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1</w:t>
            </w:r>
          </w:p>
        </w:tc>
        <w:tc>
          <w:tcPr>
            <w:tcW w:w="4075" w:type="dxa"/>
            <w:vAlign w:val="center"/>
          </w:tcPr>
          <w:p>
            <w:pPr>
              <w:ind w:firstLine="0" w:firstLineChars="0"/>
              <w:jc w:val="center"/>
              <w:rPr>
                <w:rFonts w:hint="eastAsia"/>
                <w:sz w:val="24"/>
                <w:szCs w:val="24"/>
              </w:rPr>
            </w:pPr>
            <w:r>
              <w:rPr>
                <w:sz w:val="24"/>
                <w:szCs w:val="24"/>
              </w:rPr>
              <w:t>全社会</w:t>
            </w:r>
            <w:r>
              <w:rPr>
                <w:rFonts w:hint="eastAsia"/>
                <w:sz w:val="24"/>
                <w:szCs w:val="24"/>
              </w:rPr>
              <w:t>研发经费投入</w:t>
            </w:r>
            <w:r>
              <w:rPr>
                <w:rFonts w:hint="eastAsia" w:ascii="Times New Roman" w:hAnsi="Times New Roman" w:cs="Times New Roman"/>
                <w:sz w:val="24"/>
                <w:szCs w:val="24"/>
              </w:rPr>
              <w:t>（万元）</w:t>
            </w:r>
          </w:p>
        </w:tc>
        <w:tc>
          <w:tcPr>
            <w:tcW w:w="1269"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1326</w:t>
            </w:r>
            <w:r>
              <w:rPr>
                <w:rFonts w:hint="eastAsia"/>
                <w:sz w:val="24"/>
                <w:szCs w:val="24"/>
              </w:rPr>
              <w:t>*</w:t>
            </w:r>
          </w:p>
        </w:tc>
        <w:tc>
          <w:tcPr>
            <w:tcW w:w="1029"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210</w:t>
            </w:r>
            <w:r>
              <w:rPr>
                <w:rFonts w:hint="eastAsia" w:ascii="Times New Roman" w:hAnsi="Times New Roman" w:cs="Times New Roman"/>
                <w:sz w:val="24"/>
                <w:szCs w:val="24"/>
              </w:rPr>
              <w:t>0</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2</w:t>
            </w:r>
          </w:p>
        </w:tc>
        <w:tc>
          <w:tcPr>
            <w:tcW w:w="4075" w:type="dxa"/>
            <w:vAlign w:val="center"/>
          </w:tcPr>
          <w:p>
            <w:pPr>
              <w:ind w:firstLine="0" w:firstLineChars="0"/>
              <w:jc w:val="center"/>
              <w:rPr>
                <w:rFonts w:hint="eastAsia"/>
                <w:sz w:val="24"/>
                <w:szCs w:val="24"/>
              </w:rPr>
            </w:pPr>
            <w:r>
              <w:rPr>
                <w:sz w:val="24"/>
                <w:szCs w:val="24"/>
              </w:rPr>
              <w:t>高新技术企业数（家）</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15</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3</w:t>
            </w:r>
          </w:p>
        </w:tc>
        <w:tc>
          <w:tcPr>
            <w:tcW w:w="4075" w:type="dxa"/>
            <w:vAlign w:val="center"/>
          </w:tcPr>
          <w:p>
            <w:pPr>
              <w:ind w:firstLine="0" w:firstLineChars="0"/>
              <w:jc w:val="center"/>
              <w:rPr>
                <w:rFonts w:hint="eastAsia"/>
                <w:sz w:val="24"/>
                <w:szCs w:val="24"/>
              </w:rPr>
            </w:pPr>
            <w:r>
              <w:rPr>
                <w:rFonts w:hint="eastAsia" w:ascii="Times New Roman" w:hAnsi="Times New Roman" w:cs="Times New Roman"/>
                <w:sz w:val="24"/>
                <w:szCs w:val="24"/>
              </w:rPr>
              <w:t>R&amp;D</w:t>
            </w:r>
            <w:r>
              <w:rPr>
                <w:rFonts w:hint="eastAsia"/>
                <w:sz w:val="24"/>
                <w:szCs w:val="24"/>
              </w:rPr>
              <w:t>人员数量</w:t>
            </w:r>
            <w:r>
              <w:rPr>
                <w:sz w:val="24"/>
                <w:szCs w:val="24"/>
              </w:rPr>
              <w:t>（</w:t>
            </w:r>
            <w:r>
              <w:rPr>
                <w:rFonts w:hint="eastAsia"/>
                <w:sz w:val="24"/>
                <w:szCs w:val="24"/>
              </w:rPr>
              <w:t>人</w:t>
            </w:r>
            <w:r>
              <w:rPr>
                <w:sz w:val="24"/>
                <w:szCs w:val="24"/>
              </w:rPr>
              <w:t>）</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300</w:t>
            </w:r>
            <w:r>
              <w:rPr>
                <w:rFonts w:hint="eastAsia"/>
                <w:sz w:val="24"/>
                <w:szCs w:val="24"/>
              </w:rPr>
              <w:t>*</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450</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ascii="Times New Roman" w:hAnsi="Times New Roman" w:cs="Times New Roman"/>
                <w:sz w:val="24"/>
                <w:szCs w:val="24"/>
              </w:rPr>
              <w:t>4</w:t>
            </w:r>
          </w:p>
        </w:tc>
        <w:tc>
          <w:tcPr>
            <w:tcW w:w="4075" w:type="dxa"/>
            <w:vAlign w:val="center"/>
          </w:tcPr>
          <w:p>
            <w:pPr>
              <w:ind w:firstLine="0" w:firstLineChars="0"/>
              <w:jc w:val="center"/>
              <w:rPr>
                <w:rFonts w:hint="eastAsia"/>
                <w:sz w:val="24"/>
                <w:szCs w:val="24"/>
              </w:rPr>
            </w:pPr>
            <w:r>
              <w:rPr>
                <w:sz w:val="24"/>
                <w:szCs w:val="24"/>
              </w:rPr>
              <w:t>每万人口高价值发明专利拥有量（件）</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0.78</w:t>
            </w:r>
            <w:r>
              <w:rPr>
                <w:rFonts w:hint="eastAsia"/>
                <w:sz w:val="24"/>
                <w:szCs w:val="24"/>
              </w:rPr>
              <w:t>*</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1.6</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4075" w:type="dxa"/>
            <w:vAlign w:val="center"/>
          </w:tcPr>
          <w:p>
            <w:pPr>
              <w:ind w:firstLine="0" w:firstLineChars="0"/>
              <w:jc w:val="center"/>
              <w:rPr>
                <w:rFonts w:hint="eastAsia"/>
                <w:sz w:val="24"/>
                <w:szCs w:val="24"/>
              </w:rPr>
            </w:pPr>
            <w:r>
              <w:rPr>
                <w:sz w:val="24"/>
                <w:szCs w:val="24"/>
              </w:rPr>
              <w:t>建成兵团</w:t>
            </w:r>
            <w:r>
              <w:rPr>
                <w:rFonts w:hint="eastAsia"/>
                <w:sz w:val="24"/>
                <w:szCs w:val="24"/>
              </w:rPr>
              <w:t>级</w:t>
            </w:r>
            <w:r>
              <w:rPr>
                <w:sz w:val="24"/>
                <w:szCs w:val="24"/>
              </w:rPr>
              <w:t>以上创新平台数量（个）</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0</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4075" w:type="dxa"/>
            <w:vAlign w:val="center"/>
          </w:tcPr>
          <w:p>
            <w:pPr>
              <w:ind w:firstLine="0" w:firstLineChars="0"/>
              <w:jc w:val="center"/>
              <w:rPr>
                <w:rFonts w:hint="eastAsia" w:eastAsia="宋体"/>
                <w:sz w:val="24"/>
                <w:szCs w:val="24"/>
              </w:rPr>
            </w:pPr>
            <w:r>
              <w:rPr>
                <w:sz w:val="24"/>
                <w:szCs w:val="24"/>
              </w:rPr>
              <w:t>技术市场合同交易总额（</w:t>
            </w:r>
            <w:r>
              <w:rPr>
                <w:rFonts w:hint="eastAsia"/>
                <w:sz w:val="24"/>
                <w:szCs w:val="24"/>
              </w:rPr>
              <w:t>万</w:t>
            </w:r>
            <w:r>
              <w:rPr>
                <w:sz w:val="24"/>
                <w:szCs w:val="24"/>
              </w:rPr>
              <w:t>元）</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1503</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000</w:t>
            </w:r>
          </w:p>
        </w:tc>
        <w:tc>
          <w:tcPr>
            <w:tcW w:w="1030" w:type="dxa"/>
            <w:vAlign w:val="center"/>
          </w:tcPr>
          <w:p>
            <w:pPr>
              <w:ind w:firstLine="0" w:firstLineChars="0"/>
              <w:jc w:val="center"/>
              <w:rPr>
                <w:rFonts w:hint="eastAsia"/>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 w:type="dxa"/>
            <w:left w:w="108" w:type="dxa"/>
            <w:bottom w:w="0" w:type="dxa"/>
            <w:right w:w="108" w:type="dxa"/>
          </w:tblCellMar>
        </w:tblPrEx>
        <w:trPr>
          <w:trHeight w:val="680" w:hRule="atLeast"/>
          <w:jc w:val="center"/>
        </w:trPr>
        <w:tc>
          <w:tcPr>
            <w:tcW w:w="897"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4075" w:type="dxa"/>
            <w:vAlign w:val="center"/>
          </w:tcPr>
          <w:p>
            <w:pPr>
              <w:ind w:firstLine="0" w:firstLineChars="0"/>
              <w:jc w:val="center"/>
              <w:rPr>
                <w:rFonts w:hint="eastAsia"/>
                <w:sz w:val="24"/>
                <w:szCs w:val="24"/>
              </w:rPr>
            </w:pPr>
            <w:r>
              <w:rPr>
                <w:sz w:val="24"/>
                <w:szCs w:val="24"/>
              </w:rPr>
              <w:t>公民具备基本科学素质的比例</w:t>
            </w:r>
            <w:r>
              <w:rPr>
                <w:rFonts w:hint="eastAsia" w:ascii="Times New Roman" w:hAnsi="Times New Roman" w:eastAsia="宋体" w:cs="Times New Roman"/>
                <w:kern w:val="0"/>
                <w:sz w:val="24"/>
                <w:szCs w:val="24"/>
              </w:rPr>
              <w:t>（%）</w:t>
            </w:r>
          </w:p>
        </w:tc>
        <w:tc>
          <w:tcPr>
            <w:tcW w:w="126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12.5</w:t>
            </w:r>
            <w:r>
              <w:rPr>
                <w:rFonts w:hint="eastAsia"/>
                <w:sz w:val="24"/>
                <w:szCs w:val="24"/>
              </w:rPr>
              <w:t>*</w:t>
            </w:r>
          </w:p>
        </w:tc>
        <w:tc>
          <w:tcPr>
            <w:tcW w:w="1029" w:type="dxa"/>
            <w:vAlign w:val="center"/>
          </w:tcPr>
          <w:p>
            <w:pPr>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17</w:t>
            </w:r>
          </w:p>
        </w:tc>
        <w:tc>
          <w:tcPr>
            <w:tcW w:w="1030" w:type="dxa"/>
            <w:vAlign w:val="center"/>
          </w:tcPr>
          <w:p>
            <w:pPr>
              <w:ind w:firstLine="0" w:firstLineChars="0"/>
              <w:jc w:val="center"/>
              <w:rPr>
                <w:rFonts w:hint="eastAsia"/>
                <w:sz w:val="24"/>
                <w:szCs w:val="24"/>
              </w:rPr>
            </w:pPr>
            <w:r>
              <w:rPr>
                <w:sz w:val="24"/>
                <w:szCs w:val="24"/>
              </w:rPr>
              <w:t>预期性</w:t>
            </w:r>
          </w:p>
        </w:tc>
      </w:tr>
    </w:tbl>
    <w:p>
      <w:pPr>
        <w:ind w:firstLine="0" w:firstLineChars="0"/>
        <w:jc w:val="left"/>
        <w:rPr>
          <w:rFonts w:hint="eastAsia"/>
          <w:sz w:val="24"/>
          <w:szCs w:val="24"/>
        </w:rPr>
      </w:pPr>
      <w:r>
        <w:rPr>
          <w:rFonts w:hint="eastAsia"/>
          <w:sz w:val="24"/>
          <w:szCs w:val="24"/>
        </w:rPr>
        <w:t>注：“*”表示数据为2024年数据</w:t>
      </w:r>
    </w:p>
    <w:p>
      <w:pPr>
        <w:keepNext/>
        <w:keepLines/>
        <w:adjustRightInd/>
        <w:snapToGrid/>
        <w:spacing w:before="468" w:beforeLines="150" w:after="468" w:afterLines="150" w:line="240" w:lineRule="auto"/>
        <w:ind w:firstLine="0" w:firstLineChars="0"/>
        <w:jc w:val="center"/>
        <w:outlineLvl w:val="0"/>
        <w:rPr>
          <w:rFonts w:ascii="Times New Roman" w:hAnsi="Times New Roman" w:eastAsia="方正小标宋简体" w:cs="Times New Roman"/>
          <w:bCs/>
          <w:spacing w:val="-11"/>
          <w:sz w:val="36"/>
          <w:szCs w:val="36"/>
        </w:rPr>
      </w:pPr>
      <w:bookmarkStart w:id="16" w:name="_Toc27261"/>
      <w:r>
        <w:rPr>
          <w:rFonts w:hint="eastAsia" w:ascii="Times New Roman" w:hAnsi="Times New Roman" w:eastAsia="方正小标宋简体" w:cs="Times New Roman"/>
          <w:bCs/>
          <w:spacing w:val="-11"/>
          <w:sz w:val="36"/>
          <w:szCs w:val="36"/>
        </w:rPr>
        <w:t xml:space="preserve">第三章 </w:t>
      </w:r>
      <w:bookmarkStart w:id="17" w:name="_Toc15947"/>
      <w:bookmarkStart w:id="18" w:name="_Toc11067"/>
      <w:r>
        <w:rPr>
          <w:rFonts w:hint="eastAsia" w:ascii="Times New Roman" w:hAnsi="Times New Roman" w:eastAsia="方正小标宋简体" w:cs="Times New Roman"/>
          <w:bCs/>
          <w:spacing w:val="-11"/>
          <w:sz w:val="36"/>
          <w:szCs w:val="36"/>
        </w:rPr>
        <w:t>推动科技创新和产业创新深度融合</w:t>
      </w:r>
      <w:bookmarkEnd w:id="16"/>
    </w:p>
    <w:bookmarkEnd w:id="17"/>
    <w:bookmarkEnd w:id="18"/>
    <w:p>
      <w:pPr>
        <w:rPr>
          <w:rFonts w:hint="eastAsia"/>
        </w:rPr>
      </w:pPr>
      <w:r>
        <w:rPr>
          <w:rFonts w:hint="eastAsia"/>
        </w:rPr>
        <w:t>坚持以科技创新引领产业创新，围绕产业链部署创新链、围绕创新链布局产业链，实施重点产业科技支撑行动，推动创新成果向现代农业、特色工业、服务业和新兴产业集成应用、转化落地，加快构建具有师市特色的现代化产业体系，为培育发展新质生产力提供有力支撑。</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19" w:name="_Toc30375"/>
      <w:r>
        <w:rPr>
          <w:rFonts w:hint="eastAsia" w:ascii="Times New Roman" w:hAnsi="Times New Roman" w:eastAsia="黑体" w:cs="Times New Roman"/>
          <w:bCs/>
        </w:rPr>
        <w:t>第一节 科技支撑现代农业转型升级</w:t>
      </w:r>
      <w:bookmarkEnd w:id="19"/>
    </w:p>
    <w:p>
      <w:pPr>
        <w:pStyle w:val="10"/>
        <w:ind w:firstLine="640"/>
        <w:rPr>
          <w:rFonts w:hint="eastAsia"/>
          <w:b w:val="0"/>
          <w:bCs w:val="0"/>
        </w:rPr>
      </w:pPr>
      <w:r>
        <w:rPr>
          <w:rFonts w:hint="eastAsia"/>
          <w:b w:val="0"/>
          <w:bCs w:val="0"/>
        </w:rPr>
        <w:t>一、种质资源保护利用与品种选育</w:t>
      </w:r>
    </w:p>
    <w:p>
      <w:pPr>
        <w:rPr>
          <w:rFonts w:hint="eastAsia"/>
        </w:rPr>
      </w:pPr>
      <w:r>
        <w:rPr>
          <w:rFonts w:hint="eastAsia"/>
        </w:rPr>
        <w:t>围绕师市农业产业发展需要，加强主要农作物、特色林果和畜禽种质资源保护利用，扎实做好优良品种引育、筛选、示范和推广。聚焦小麦、棉花、玉米、马铃薯等主要作物，以及苹果、葡萄、设施果蔬等特色林果和肉牛、生猪、蛋鸡等畜禽品种，开展适应性评价和配套技术应用，筛选推广适宜本地区种植养殖的优良品种。加强与科研院所、高校和种业企业协同，推进优良品种引进应用和配套技术推广，不断提高良种覆盖率和农业生产效益。</w:t>
      </w:r>
    </w:p>
    <w:tbl>
      <w:tblPr>
        <w:tblStyle w:val="24"/>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50" w:type="dxa"/>
          </w:tcPr>
          <w:p>
            <w:pPr>
              <w:pStyle w:val="4"/>
              <w:adjustRightInd/>
              <w:snapToGrid/>
              <w:spacing w:line="480" w:lineRule="exact"/>
              <w:ind w:firstLine="0" w:firstLineChars="0"/>
              <w:jc w:val="center"/>
              <w:rPr>
                <w:rFonts w:hint="eastAsia"/>
                <w:sz w:val="32"/>
                <w:szCs w:val="32"/>
                <w:lang w:eastAsia="zh-CN"/>
              </w:rPr>
            </w:pPr>
            <w:r>
              <w:rPr>
                <w:rFonts w:hint="eastAsia" w:ascii="Times New Roman" w:hAnsi="Times New Roman" w:eastAsia="黑体" w:cs="Times New Roman"/>
                <w:sz w:val="28"/>
                <w:szCs w:val="28"/>
                <w:lang w:eastAsia="zh-CN"/>
              </w:rPr>
              <w:t>专栏</w:t>
            </w:r>
            <w:r>
              <w:rPr>
                <w:rFonts w:ascii="Times New Roman" w:hAnsi="Times New Roman" w:eastAsia="黑体" w:cs="Times New Roman"/>
                <w:sz w:val="28"/>
                <w:szCs w:val="28"/>
                <w:lang w:eastAsia="zh-CN"/>
              </w:rPr>
              <w:t>2</w:t>
            </w:r>
            <w:r>
              <w:rPr>
                <w:rFonts w:hint="eastAsia"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ab/>
            </w:r>
            <w:r>
              <w:rPr>
                <w:rFonts w:hint="eastAsia" w:ascii="Times New Roman" w:hAnsi="Times New Roman" w:eastAsia="黑体" w:cs="Times New Roman"/>
                <w:sz w:val="28"/>
                <w:szCs w:val="28"/>
                <w:lang w:eastAsia="zh-CN"/>
              </w:rPr>
              <w:t>种质资源保护利用与品种选育重点方向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trPr>
        <w:tc>
          <w:tcPr>
            <w:tcW w:w="8350" w:type="dxa"/>
          </w:tcPr>
          <w:p>
            <w:pPr>
              <w:pStyle w:val="6"/>
              <w:adjustRightInd/>
              <w:spacing w:line="480" w:lineRule="exact"/>
              <w:ind w:firstLine="560"/>
              <w:rPr>
                <w:rFonts w:ascii="Times New Roman" w:hAnsi="Times New Roman" w:cs="Times New Roman"/>
                <w:sz w:val="28"/>
                <w:szCs w:val="28"/>
              </w:rPr>
            </w:pPr>
            <w:r>
              <w:rPr>
                <w:rFonts w:hint="eastAsia" w:ascii="Times New Roman" w:hAnsi="Times New Roman" w:cs="Times New Roman"/>
                <w:sz w:val="28"/>
                <w:szCs w:val="28"/>
              </w:rPr>
              <w:t>种质资源保护利用。加强农作物、林果和畜禽种质资源收集、整理、保护和基础鉴定评价，逐步摸清资源底数，提高种质资源保护利用水平，为优良品种筛选和推广应用提供支撑。</w:t>
            </w:r>
          </w:p>
          <w:p>
            <w:pPr>
              <w:pStyle w:val="6"/>
              <w:adjustRightInd/>
              <w:spacing w:line="480" w:lineRule="exact"/>
              <w:ind w:firstLine="560"/>
              <w:rPr>
                <w:rFonts w:hint="eastAsia"/>
              </w:rPr>
            </w:pPr>
            <w:r>
              <w:rPr>
                <w:rFonts w:hint="eastAsia" w:ascii="Times New Roman" w:hAnsi="Times New Roman" w:cs="Times New Roman"/>
                <w:sz w:val="28"/>
                <w:szCs w:val="28"/>
              </w:rPr>
              <w:t>新品种引进筛选与应用。立足农业生产实际，围绕小麦、棉花、玉米、马铃薯等主要作物，持续开展优良品种引进、试验示范和筛选推广，形成适宜本地区种植的主推品种。围绕肉牛、生猪、蛋鸡等畜禽养殖需要，做好优良品种引进筛选和示范应用，推广适用繁育养殖技术，提高良种利用水平和养殖效益。</w:t>
            </w:r>
          </w:p>
        </w:tc>
      </w:tr>
    </w:tbl>
    <w:p>
      <w:pPr>
        <w:pStyle w:val="10"/>
        <w:ind w:firstLine="640"/>
        <w:rPr>
          <w:rFonts w:hint="eastAsia"/>
          <w:b w:val="0"/>
          <w:bCs w:val="0"/>
        </w:rPr>
      </w:pPr>
      <w:r>
        <w:rPr>
          <w:rFonts w:hint="eastAsia"/>
          <w:b w:val="0"/>
          <w:bCs w:val="0"/>
        </w:rPr>
        <w:t>二、主要作物绿色高效生产</w:t>
      </w:r>
    </w:p>
    <w:p>
      <w:pPr>
        <w:jc w:val="left"/>
        <w:rPr>
          <w:rFonts w:hint="eastAsia"/>
        </w:rPr>
      </w:pPr>
      <w:r>
        <w:rPr>
          <w:rFonts w:hint="eastAsia"/>
        </w:rPr>
        <w:t>围绕棉花、粮食、油料、果蔬等主要作物，开展绿色高效、轻简化、农机农艺融合栽培技术研究与集成示范，集成创新优质高产、节本增效关键技术。落实“藏粮于地、藏粮于技”要求，聚焦稳面积、提单产、增产能，推进良田、良种、良法、良机协同配套，推广水肥药精准调控、全程机械化等先进适用技术。推进小麦缩行增株、玉米奇台模式、小流量高频次滴灌高产栽培等关键技术规模化应用，优化种植结构和栽培方式，构建主要作物大面积均衡增产、稳产高产技术体系，提高资源利用效率和种植效益。强化病虫害监测预警和绿色防控，完善病虫害防控技术体系，提升农业防灾减灾能力和生产管理水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0" w:type="dxa"/>
          </w:tcPr>
          <w:p>
            <w:pPr>
              <w:pStyle w:val="4"/>
              <w:adjustRightInd/>
              <w:snapToGrid/>
              <w:spacing w:line="480" w:lineRule="exact"/>
              <w:ind w:firstLine="0" w:firstLineChars="0"/>
              <w:jc w:val="center"/>
              <w:rPr>
                <w:rFonts w:hint="eastAsia"/>
                <w:sz w:val="32"/>
                <w:szCs w:val="32"/>
                <w:lang w:eastAsia="zh-CN"/>
              </w:rPr>
            </w:pPr>
            <w:r>
              <w:rPr>
                <w:rFonts w:hint="eastAsia" w:ascii="Times New Roman" w:hAnsi="Times New Roman" w:eastAsia="黑体" w:cs="Times New Roman"/>
                <w:sz w:val="28"/>
                <w:szCs w:val="28"/>
                <w:lang w:eastAsia="zh-CN"/>
              </w:rPr>
              <w:t>专栏3  主要作物绿色高效生产重点方向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300" w:type="dxa"/>
          </w:tcPr>
          <w:p>
            <w:pPr>
              <w:pStyle w:val="6"/>
              <w:adjustRightInd/>
              <w:spacing w:line="480" w:lineRule="exact"/>
              <w:ind w:firstLine="560"/>
              <w:rPr>
                <w:rFonts w:ascii="Times New Roman" w:hAnsi="Times New Roman" w:cs="Times New Roman"/>
                <w:sz w:val="28"/>
                <w:szCs w:val="28"/>
              </w:rPr>
            </w:pPr>
            <w:r>
              <w:rPr>
                <w:rFonts w:hint="eastAsia" w:ascii="Times New Roman" w:hAnsi="Times New Roman" w:cs="Times New Roman"/>
                <w:sz w:val="28"/>
                <w:szCs w:val="28"/>
              </w:rPr>
              <w:t>绿色高效生产技术集成示范。围绕粮食、棉花、油料、果蔬等主要作物，开展高产稳产、优质高效栽培技术集成与示范推广，推进品种、播种、水肥调控、田间管理、机械作业等关键环节协同配套，推广节水灌溉、轻简化栽培、农机农艺融合等高效种植模式，形成适宜本地区推广应用的绿色高效生产技术模式。</w:t>
            </w:r>
          </w:p>
          <w:p>
            <w:pPr>
              <w:pStyle w:val="6"/>
              <w:adjustRightInd/>
              <w:spacing w:line="480" w:lineRule="exact"/>
              <w:ind w:firstLine="560"/>
              <w:rPr>
                <w:rFonts w:hint="eastAsia"/>
              </w:rPr>
            </w:pPr>
            <w:r>
              <w:rPr>
                <w:rFonts w:hint="eastAsia" w:ascii="Times New Roman" w:hAnsi="Times New Roman" w:cs="Times New Roman"/>
                <w:sz w:val="28"/>
                <w:szCs w:val="28"/>
              </w:rPr>
              <w:t>病虫害监测预警与绿色防控技术应用。加强农作物病虫害监测调查、发生趋势分析和预警防控，推广绿色防控、统防统治等技术措施，提升病虫害防控科学化、精准化水平，减轻病虫危害，保障农业生产安全和农产品质量安全。</w:t>
            </w:r>
          </w:p>
        </w:tc>
      </w:tr>
    </w:tbl>
    <w:p>
      <w:pPr>
        <w:pStyle w:val="10"/>
        <w:ind w:firstLine="640"/>
        <w:jc w:val="both"/>
        <w:rPr>
          <w:rFonts w:hint="eastAsia"/>
          <w:b w:val="0"/>
          <w:bCs w:val="0"/>
        </w:rPr>
      </w:pPr>
      <w:r>
        <w:rPr>
          <w:rFonts w:hint="eastAsia"/>
          <w:b w:val="0"/>
          <w:bCs w:val="0"/>
        </w:rPr>
        <w:t>三、畜禽渔业绿色健康养殖</w:t>
      </w:r>
    </w:p>
    <w:p>
      <w:pPr>
        <w:jc w:val="left"/>
        <w:rPr>
          <w:rFonts w:hint="eastAsia"/>
        </w:rPr>
      </w:pPr>
      <w:r>
        <w:rPr>
          <w:rFonts w:hint="eastAsia"/>
        </w:rPr>
        <w:t>围绕高效繁育、营养调控、智能养殖、疫病防控和粪污资源化利用等重点环节，开展先进适用技术集成示范和推广应用，推动畜禽养殖提质增效和绿色转型。挖掘利用非粮饲料资源，加快优质饲草生产，推进饲草料高效利用及加工智能化技术应用。围绕肉牛、生猪、蛋鸡、冷水鱼等主要畜禽水产养殖，推广标准化规模养殖、精准饲喂、环境调控和精细化管理技术。构建绿色健康高效养殖技术体系，完善动物疫病监测预警和综合防控体系，加强重大动物疫病防控和生物安全管理，提升农业生物安全防控能力。</w:t>
      </w:r>
    </w:p>
    <w:tbl>
      <w:tblPr>
        <w:tblStyle w:val="24"/>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00" w:type="dxa"/>
          </w:tcPr>
          <w:p>
            <w:pPr>
              <w:pStyle w:val="4"/>
              <w:adjustRightInd/>
              <w:snapToGrid/>
              <w:spacing w:line="480" w:lineRule="exact"/>
              <w:ind w:firstLine="0" w:firstLineChars="0"/>
              <w:jc w:val="center"/>
              <w:rPr>
                <w:rFonts w:hint="eastAsia"/>
                <w:sz w:val="32"/>
                <w:szCs w:val="32"/>
                <w:lang w:eastAsia="zh-CN"/>
              </w:rPr>
            </w:pPr>
            <w:r>
              <w:rPr>
                <w:rFonts w:hint="eastAsia" w:ascii="Times New Roman" w:hAnsi="Times New Roman" w:eastAsia="黑体" w:cs="Times New Roman"/>
                <w:sz w:val="28"/>
                <w:szCs w:val="28"/>
                <w:lang w:eastAsia="zh-CN"/>
              </w:rPr>
              <w:t>专栏4  畜禽水产绿色健康养殖重点方向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00" w:type="dxa"/>
          </w:tcPr>
          <w:p>
            <w:pPr>
              <w:pStyle w:val="6"/>
              <w:adjustRightInd/>
              <w:spacing w:line="480" w:lineRule="exact"/>
              <w:ind w:firstLine="560"/>
              <w:rPr>
                <w:rFonts w:ascii="Times New Roman" w:hAnsi="Times New Roman" w:cs="Times New Roman"/>
                <w:sz w:val="28"/>
                <w:szCs w:val="28"/>
              </w:rPr>
            </w:pPr>
            <w:r>
              <w:rPr>
                <w:rFonts w:hint="eastAsia" w:ascii="Times New Roman" w:hAnsi="Times New Roman" w:cs="Times New Roman"/>
                <w:sz w:val="28"/>
                <w:szCs w:val="28"/>
              </w:rPr>
              <w:t>规模化养殖。以提质增效、绿色低碳为导向，推进畜禽水产养殖标准化、规模化、智能化发展，提高养殖综合生产能力和资源利用水平。</w:t>
            </w:r>
          </w:p>
          <w:p>
            <w:pPr>
              <w:pStyle w:val="6"/>
              <w:adjustRightInd/>
              <w:spacing w:line="480" w:lineRule="exact"/>
              <w:ind w:firstLine="560"/>
              <w:jc w:val="both"/>
              <w:rPr>
                <w:rFonts w:hint="eastAsia"/>
              </w:rPr>
            </w:pPr>
            <w:r>
              <w:rPr>
                <w:rFonts w:hint="eastAsia" w:ascii="Times New Roman" w:hAnsi="Times New Roman" w:cs="Times New Roman"/>
                <w:sz w:val="28"/>
                <w:szCs w:val="28"/>
              </w:rPr>
              <w:t>疫病防控。健全动物疫病监测预警、综合防控和应急处置体系，强化重大动物疫病防控和生物安全管理。</w:t>
            </w:r>
          </w:p>
        </w:tc>
      </w:tr>
    </w:tbl>
    <w:p>
      <w:pPr>
        <w:pStyle w:val="10"/>
        <w:ind w:firstLine="640"/>
        <w:rPr>
          <w:rFonts w:hint="eastAsia"/>
          <w:b w:val="0"/>
          <w:bCs w:val="0"/>
        </w:rPr>
      </w:pPr>
      <w:r>
        <w:rPr>
          <w:rFonts w:hint="eastAsia"/>
          <w:b w:val="0"/>
          <w:bCs w:val="0"/>
        </w:rPr>
        <w:t>四、特色林果园艺提质增效</w:t>
      </w:r>
    </w:p>
    <w:p>
      <w:pPr>
        <w:rPr>
          <w:rFonts w:hint="eastAsia"/>
        </w:rPr>
      </w:pPr>
      <w:r>
        <w:rPr>
          <w:rFonts w:hint="eastAsia"/>
        </w:rPr>
        <w:t>围绕葡萄、苹果等特色林果和设施果蔬产业，开展品种改良、树形改造、绿色轻简化管理及果园地力提升等技术研究与应用。加快低产低效果园改造和标准化果园建设，推广轻简化栽培、水肥一体化、花果精准调控等适用技术，提升生产效率和产品品质。强化设施农业关键技术集成，推动设施果蔬绿色高效种植，提高稳产保供能力与综合效益。推进老旧果园宜机化改造及配套装备应用，促进农机农艺深度融合，集成示范智慧果园技术与装备，打造绿色优质高产高效示范果园。</w:t>
      </w:r>
    </w:p>
    <w:tbl>
      <w:tblPr>
        <w:tblStyle w:val="24"/>
        <w:tblpPr w:leftFromText="180" w:rightFromText="180" w:vertAnchor="text" w:horzAnchor="page" w:tblpX="1967" w:tblpY="138"/>
        <w:tblOverlap w:val="never"/>
        <w:tblW w:w="8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8149" w:type="dxa"/>
          </w:tcPr>
          <w:p>
            <w:pPr>
              <w:pStyle w:val="4"/>
              <w:spacing w:line="480" w:lineRule="exact"/>
              <w:ind w:firstLine="0" w:firstLineChars="0"/>
              <w:jc w:val="center"/>
              <w:rPr>
                <w:rFonts w:ascii="Times New Roman" w:hAnsi="Times New Roman" w:cs="Times New Roman"/>
                <w:sz w:val="28"/>
                <w:szCs w:val="28"/>
                <w:lang w:eastAsia="zh-CN"/>
              </w:rPr>
            </w:pPr>
            <w:r>
              <w:rPr>
                <w:rFonts w:ascii="Times New Roman" w:hAnsi="Times New Roman" w:eastAsia="黑体" w:cs="Times New Roman"/>
                <w:sz w:val="28"/>
                <w:szCs w:val="28"/>
                <w:lang w:eastAsia="zh-CN"/>
              </w:rPr>
              <w:t>专栏5  林果与设施园艺重点方向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8149" w:type="dxa"/>
          </w:tcPr>
          <w:p>
            <w:pPr>
              <w:pStyle w:val="6"/>
              <w:spacing w:line="480" w:lineRule="exact"/>
              <w:ind w:firstLine="560"/>
              <w:rPr>
                <w:rFonts w:hint="eastAsia" w:cs="Times New Roman"/>
                <w:sz w:val="28"/>
                <w:szCs w:val="28"/>
              </w:rPr>
            </w:pPr>
            <w:r>
              <w:rPr>
                <w:rFonts w:cs="Times New Roman"/>
                <w:sz w:val="28"/>
                <w:szCs w:val="28"/>
              </w:rPr>
              <w:t>轻简化栽培。研究果树高光效树形（主干形等）快速建成技术，低效果园系统改造及配套轻简化管理技术体系；研发农机农艺深度融合栽培模式和全程机械化关键技术。</w:t>
            </w:r>
          </w:p>
          <w:p>
            <w:pPr>
              <w:pStyle w:val="6"/>
              <w:spacing w:line="480" w:lineRule="exact"/>
              <w:ind w:firstLine="560"/>
              <w:rPr>
                <w:rFonts w:hint="eastAsia" w:cs="Times New Roman"/>
                <w:sz w:val="28"/>
                <w:szCs w:val="28"/>
              </w:rPr>
            </w:pPr>
            <w:r>
              <w:rPr>
                <w:rFonts w:cs="Times New Roman"/>
                <w:sz w:val="28"/>
                <w:szCs w:val="28"/>
              </w:rPr>
              <w:t>林果营养调控</w:t>
            </w:r>
            <w:r>
              <w:rPr>
                <w:rFonts w:hint="eastAsia" w:cs="Times New Roman"/>
                <w:sz w:val="28"/>
                <w:szCs w:val="28"/>
              </w:rPr>
              <w:t>。</w:t>
            </w:r>
            <w:r>
              <w:rPr>
                <w:rFonts w:cs="Times New Roman"/>
                <w:sz w:val="28"/>
                <w:szCs w:val="28"/>
              </w:rPr>
              <w:t>开展果园地力培肥、根际微生物群落调控、专用增效肥研发应用研究，配套精准养分诊断施肥技术，实现树体养分供需动态平衡，有效提升坐果率与果实综合品质</w:t>
            </w:r>
            <w:r>
              <w:rPr>
                <w:rFonts w:hint="eastAsia" w:cs="Times New Roman"/>
                <w:sz w:val="28"/>
                <w:szCs w:val="28"/>
              </w:rPr>
              <w:t>。</w:t>
            </w:r>
          </w:p>
          <w:p>
            <w:pPr>
              <w:pStyle w:val="6"/>
              <w:spacing w:line="480" w:lineRule="exact"/>
              <w:ind w:firstLine="560"/>
              <w:rPr>
                <w:rFonts w:hint="eastAsia" w:cs="Times New Roman"/>
                <w:sz w:val="28"/>
                <w:szCs w:val="28"/>
              </w:rPr>
            </w:pPr>
            <w:r>
              <w:rPr>
                <w:rFonts w:cs="Times New Roman"/>
                <w:sz w:val="28"/>
                <w:szCs w:val="28"/>
              </w:rPr>
              <w:t>设施农业。研究抗逆温室结构与智能环境调控技术，优化温室滴灌与水肥一体化技术，开发高光效种植与太阳能利用关键技术，研发集成沙漠戈壁温室果蔬绿色轻简化生产技术</w:t>
            </w:r>
            <w:r>
              <w:rPr>
                <w:rFonts w:hint="eastAsia" w:cs="Times New Roman"/>
                <w:sz w:val="28"/>
                <w:szCs w:val="28"/>
              </w:rPr>
              <w:t>，推进</w:t>
            </w:r>
            <w:r>
              <w:rPr>
                <w:rFonts w:cs="Times New Roman"/>
                <w:sz w:val="28"/>
                <w:szCs w:val="28"/>
              </w:rPr>
              <w:t>老旧低效设施大棚改造升级</w:t>
            </w:r>
            <w:r>
              <w:rPr>
                <w:rFonts w:hint="eastAsia" w:cs="Times New Roman"/>
                <w:sz w:val="28"/>
                <w:szCs w:val="28"/>
              </w:rPr>
              <w:t>。</w:t>
            </w:r>
          </w:p>
        </w:tc>
      </w:tr>
    </w:tbl>
    <w:p>
      <w:pPr>
        <w:pStyle w:val="10"/>
        <w:ind w:firstLine="640"/>
        <w:jc w:val="both"/>
        <w:rPr>
          <w:rFonts w:hint="eastAsia"/>
          <w:b w:val="0"/>
          <w:bCs w:val="0"/>
        </w:rPr>
      </w:pPr>
      <w:r>
        <w:rPr>
          <w:rFonts w:hint="eastAsia"/>
          <w:b w:val="0"/>
          <w:bCs w:val="0"/>
        </w:rPr>
        <w:t>五、农业节水增效与灌区现代化</w:t>
      </w:r>
    </w:p>
    <w:p>
      <w:pPr>
        <w:jc w:val="left"/>
        <w:rPr>
          <w:rFonts w:hint="eastAsia"/>
        </w:rPr>
      </w:pPr>
      <w:r>
        <w:rPr>
          <w:rFonts w:hint="eastAsia"/>
        </w:rPr>
        <w:t>聚焦主要粮棉果作物节水增效，强化农业节水关键技术集成和成果转化应用，推动农业用水方式由粗放利用向精准调控转变。加强与兵团科研平台、高校院所协同，积极引进应用先进节水技术成果，开展精准灌溉、林果高效用水、水肥一体化等技术示范，形成具有区域适应性的节水增效模式。结合高标准农田建设，推广智能灌溉、精准施肥、用水计量与墒情监测等技术，提升农业用水效率和节水管理水平。推进主要粮棉作物精准需水管理，完善农业用水监测、分析、调控机制，为农业稳产增产和水资源高效利用提供科技支撑。</w:t>
      </w:r>
    </w:p>
    <w:tbl>
      <w:tblPr>
        <w:tblStyle w:val="24"/>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pStyle w:val="4"/>
              <w:adjustRightInd/>
              <w:snapToGrid/>
              <w:spacing w:line="480" w:lineRule="exact"/>
              <w:ind w:firstLine="0" w:firstLineChars="0"/>
              <w:jc w:val="center"/>
              <w:rPr>
                <w:rFonts w:hint="eastAsia"/>
                <w:sz w:val="32"/>
                <w:szCs w:val="32"/>
                <w:lang w:eastAsia="zh-CN"/>
              </w:rPr>
            </w:pPr>
            <w:r>
              <w:rPr>
                <w:rFonts w:hint="eastAsia" w:ascii="Times New Roman" w:hAnsi="Times New Roman" w:eastAsia="黑体" w:cs="Times New Roman"/>
                <w:sz w:val="28"/>
                <w:szCs w:val="28"/>
                <w:lang w:eastAsia="zh-CN"/>
              </w:rPr>
              <w:t>专栏6  节水农业与灌区现代化重点方向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pStyle w:val="6"/>
              <w:adjustRightInd/>
              <w:spacing w:line="480" w:lineRule="exact"/>
              <w:ind w:firstLine="560"/>
              <w:rPr>
                <w:rFonts w:ascii="Times New Roman" w:hAnsi="Times New Roman" w:cs="Times New Roman"/>
                <w:sz w:val="28"/>
                <w:szCs w:val="28"/>
              </w:rPr>
            </w:pPr>
            <w:r>
              <w:rPr>
                <w:rFonts w:hint="eastAsia" w:ascii="Times New Roman" w:hAnsi="Times New Roman" w:cs="Times New Roman"/>
                <w:sz w:val="28"/>
                <w:szCs w:val="28"/>
              </w:rPr>
              <w:t>节水技术集成示范。围绕精准灌溉、林果高效用水、水肥一体化等重点领域，依托高标准农田建设，集中连片开展技术集成与示范应用。深化与兵团科研平台及高校院所协同，引进转化先进节水技术成果，建设节水技术核心示范区，形成可复制推广的区域适配模式。</w:t>
            </w:r>
          </w:p>
          <w:p>
            <w:pPr>
              <w:pStyle w:val="6"/>
              <w:adjustRightInd/>
              <w:spacing w:line="480" w:lineRule="exact"/>
              <w:ind w:firstLine="560"/>
              <w:rPr>
                <w:rFonts w:hint="eastAsia"/>
              </w:rPr>
            </w:pPr>
            <w:r>
              <w:rPr>
                <w:rFonts w:hint="eastAsia" w:ascii="Times New Roman" w:hAnsi="Times New Roman" w:cs="Times New Roman"/>
                <w:sz w:val="28"/>
                <w:szCs w:val="28"/>
              </w:rPr>
              <w:t>智慧灌溉与精准管理。推广智能灌溉与精准施肥技术，推进主要作物精准需水管理，健全农业用水监测、分析与调控体系。完善用水定额管理和计量设施配套，强化灌溉制度优化与墒情预报服务，提升农田水分利用效率和用水管理精细化水平。</w:t>
            </w:r>
          </w:p>
        </w:tc>
      </w:tr>
    </w:tbl>
    <w:p>
      <w:pPr>
        <w:pStyle w:val="10"/>
        <w:ind w:firstLine="640"/>
        <w:rPr>
          <w:rFonts w:hint="eastAsia"/>
          <w:b w:val="0"/>
          <w:bCs w:val="0"/>
        </w:rPr>
      </w:pPr>
      <w:r>
        <w:rPr>
          <w:rFonts w:hint="eastAsia"/>
          <w:b w:val="0"/>
          <w:bCs w:val="0"/>
        </w:rPr>
        <w:t>六、耕地质量提升与保护</w:t>
      </w:r>
    </w:p>
    <w:p>
      <w:pPr>
        <w:spacing w:after="156" w:afterLines="50"/>
        <w:rPr>
          <w:rFonts w:hint="eastAsia" w:cs="Times New Roman"/>
        </w:rPr>
      </w:pPr>
      <w:r>
        <w:rPr>
          <w:rFonts w:hint="eastAsia" w:cs="Times New Roman"/>
        </w:rPr>
        <w:t>围绕耕地保育关键技术体系建设，加强退化耕地治理和盐碱地综合改造利用，强化农业面源污染治理，推动耕地数量、质量、生态“三位一体”协同提升。聚焦土壤障碍因子消减、基础地力提升、耕地健康培育等关键环节，开展地力培肥、盐碱地改良、残膜污染防控等技术攻关与集成示范。推动耕地质量监测网络建设与智慧化管护，以科技创新支撑“藏粮于地”，坚决守牢粮食安全的“命根子”。</w:t>
      </w:r>
    </w:p>
    <w:tbl>
      <w:tblPr>
        <w:tblStyle w:val="24"/>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0"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7</w:t>
            </w:r>
            <w:r>
              <w:rPr>
                <w:rFonts w:ascii="Times New Roman" w:hAnsi="Times New Roman" w:eastAsia="黑体" w:cs="Times New Roman"/>
                <w:sz w:val="28"/>
                <w:szCs w:val="28"/>
                <w:lang w:eastAsia="zh-CN"/>
              </w:rPr>
              <w:t xml:space="preserve">  耕地质量提升</w:t>
            </w:r>
            <w:r>
              <w:rPr>
                <w:rFonts w:ascii="Times New Roman" w:hAnsi="Times New Roman" w:eastAsia="黑体" w:cs="Times New Roman"/>
                <w:bCs/>
                <w:sz w:val="28"/>
                <w:szCs w:val="28"/>
                <w:lang w:eastAsia="zh-CN"/>
              </w:rPr>
              <w:t>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0" w:type="dxa"/>
          </w:tcPr>
          <w:p>
            <w:pPr>
              <w:pStyle w:val="6"/>
              <w:spacing w:line="480" w:lineRule="exact"/>
              <w:ind w:firstLine="560"/>
              <w:rPr>
                <w:rFonts w:hint="eastAsia" w:cs="Times New Roman"/>
                <w:sz w:val="28"/>
                <w:szCs w:val="28"/>
              </w:rPr>
            </w:pPr>
            <w:r>
              <w:rPr>
                <w:rFonts w:hint="eastAsia" w:cs="Times New Roman"/>
                <w:sz w:val="28"/>
                <w:szCs w:val="28"/>
              </w:rPr>
              <w:t>残膜污染治理。完善废旧地膜“回收－加工－利用”全链条治理体系，推广加厚地膜与新型秸秆还田残膜回收一体机，提升农田残膜回收效率，积极探索残膜资源化利用途径，有效防治农田“白色污染”。</w:t>
            </w:r>
          </w:p>
          <w:p>
            <w:pPr>
              <w:pStyle w:val="6"/>
              <w:spacing w:line="480" w:lineRule="exact"/>
              <w:ind w:firstLine="560"/>
              <w:rPr>
                <w:rFonts w:hint="eastAsia" w:cs="Times New Roman"/>
                <w:sz w:val="28"/>
                <w:szCs w:val="28"/>
              </w:rPr>
            </w:pPr>
            <w:r>
              <w:rPr>
                <w:rFonts w:hint="eastAsia" w:cs="Times New Roman"/>
                <w:sz w:val="28"/>
                <w:szCs w:val="28"/>
              </w:rPr>
              <w:t>耕地质量监测。健全耕地质量监测网络，优化监测点位布局，完善土壤墒情与地力动态监测体系，强化监测数据采集分析与应用，为精准施肥、土壤改良和耕地保护提供科学依据。</w:t>
            </w:r>
          </w:p>
        </w:tc>
      </w:tr>
    </w:tbl>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20" w:name="_Toc32280"/>
      <w:r>
        <w:rPr>
          <w:rFonts w:hint="eastAsia" w:ascii="Times New Roman" w:hAnsi="Times New Roman" w:eastAsia="黑体" w:cs="Times New Roman"/>
          <w:bCs/>
        </w:rPr>
        <w:t>第二节 科技赋能特色优势产业提质增效</w:t>
      </w:r>
      <w:bookmarkEnd w:id="20"/>
    </w:p>
    <w:p>
      <w:pPr>
        <w:pStyle w:val="10"/>
        <w:ind w:firstLine="640"/>
        <w:rPr>
          <w:rFonts w:hint="eastAsia"/>
          <w:b w:val="0"/>
          <w:bCs w:val="0"/>
        </w:rPr>
      </w:pPr>
      <w:r>
        <w:rPr>
          <w:rFonts w:hint="eastAsia"/>
          <w:b w:val="0"/>
          <w:bCs w:val="0"/>
        </w:rPr>
        <w:t>一、农产品精深加工</w:t>
      </w:r>
    </w:p>
    <w:p>
      <w:pPr>
        <w:rPr>
          <w:rFonts w:hint="eastAsia"/>
        </w:rPr>
      </w:pPr>
      <w:r>
        <w:rPr>
          <w:rFonts w:hint="eastAsia"/>
        </w:rPr>
        <w:t>立足师市特色农业资源优势，以提升农产品附加值、延伸产业链为目标，强化农产品精深加工技术创新。聚焦粮油、果蔬、畜牧、林果、中药材等领域，重点开展黑小麦全谷物营养提质与健康食品开发、冷水鱼副产物高值化利用、混合NFC果蔬汁益生菌发酵、畜禽副产物综合利用、马铃薯主食化加工与副产物综合利用、辣椒番茄精深萃取与功能性制品开发、特色肉制品绿色保鲜与风味改良、艾草活性物提取及药食同源产品研发。推广低温压榨、膜分离、冻干、冷链储运等先进适用工艺，打造特色农产品全产业链加工体系，推动农产品加工向精深化、高值化、品牌化发展。</w:t>
      </w:r>
    </w:p>
    <w:tbl>
      <w:tblPr>
        <w:tblStyle w:val="2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1"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8</w:t>
            </w:r>
            <w:r>
              <w:rPr>
                <w:rFonts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农产品深加工</w:t>
            </w:r>
            <w:r>
              <w:rPr>
                <w:rFonts w:ascii="Times New Roman" w:hAnsi="Times New Roman" w:eastAsia="黑体" w:cs="Times New Roman"/>
                <w:bCs/>
                <w:sz w:val="28"/>
                <w:szCs w:val="28"/>
                <w:lang w:eastAsia="zh-CN"/>
              </w:rPr>
              <w:t>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1" w:type="dxa"/>
          </w:tcPr>
          <w:p>
            <w:pPr>
              <w:pStyle w:val="6"/>
              <w:spacing w:line="480" w:lineRule="exact"/>
              <w:ind w:firstLine="560"/>
              <w:rPr>
                <w:rFonts w:hint="eastAsia" w:cs="Times New Roman"/>
                <w:sz w:val="28"/>
                <w:szCs w:val="28"/>
              </w:rPr>
            </w:pPr>
            <w:r>
              <w:rPr>
                <w:rFonts w:hint="eastAsia" w:cs="Times New Roman"/>
                <w:sz w:val="28"/>
                <w:szCs w:val="28"/>
              </w:rPr>
              <w:t>全谷物及淀粉基食品加工技术。重点突破黑小麦麸皮膳食纤维提取及全谷物食品品质改良、马铃薯主食化加工及淀粉副产物综合利用等关键技术。</w:t>
            </w:r>
          </w:p>
          <w:p>
            <w:pPr>
              <w:pStyle w:val="6"/>
              <w:spacing w:line="480" w:lineRule="exact"/>
              <w:ind w:firstLine="560"/>
              <w:rPr>
                <w:rFonts w:hint="eastAsia" w:cs="Times New Roman"/>
                <w:sz w:val="28"/>
                <w:szCs w:val="28"/>
              </w:rPr>
            </w:pPr>
            <w:r>
              <w:rPr>
                <w:rFonts w:hint="eastAsia" w:cs="Times New Roman"/>
                <w:sz w:val="28"/>
                <w:szCs w:val="28"/>
              </w:rPr>
              <w:t>特色果蔬精深加工技术。集成示范超临界萃取、膜分离等适用技术，推进辣椒番茄精深萃取及功能性天然色素制品开发、葡萄及枸杞等特色浆果花青素与多酚类物质高效提取、混合NFC果蔬汁益生菌发酵及品质调控等关键技术研究。</w:t>
            </w:r>
          </w:p>
          <w:p>
            <w:pPr>
              <w:pStyle w:val="6"/>
              <w:spacing w:line="480" w:lineRule="exact"/>
              <w:ind w:firstLine="560"/>
              <w:rPr>
                <w:rFonts w:hint="eastAsia" w:cs="Times New Roman"/>
                <w:sz w:val="28"/>
                <w:szCs w:val="28"/>
              </w:rPr>
            </w:pPr>
            <w:r>
              <w:rPr>
                <w:rFonts w:hint="eastAsia" w:cs="Times New Roman"/>
                <w:sz w:val="28"/>
                <w:szCs w:val="28"/>
              </w:rPr>
              <w:t>棉副产品及特色生物资源高值化利用技术。推进棉籽蛋白精深加工及高附加值产品开发，探索开展畜禽血液梯次化利用及生物制品研发、艾草活性物提取及药食同源产品开发、甘草等道地药材精深加工等关键技术储备。</w:t>
            </w:r>
          </w:p>
          <w:p>
            <w:pPr>
              <w:pStyle w:val="6"/>
              <w:spacing w:line="480" w:lineRule="exact"/>
              <w:ind w:firstLine="560"/>
              <w:rPr>
                <w:rFonts w:hint="eastAsia"/>
              </w:rPr>
            </w:pPr>
            <w:r>
              <w:rPr>
                <w:rFonts w:hint="eastAsia" w:cs="Times New Roman"/>
                <w:sz w:val="28"/>
                <w:szCs w:val="28"/>
              </w:rPr>
              <w:t>特色肉制品与水产品品质提升技术。开展特色肉制品绿色保鲜与风味改良技术集成应用，推进冷水鱼副产物食品级利用及冷链品质控制关键技术研究。</w:t>
            </w:r>
          </w:p>
        </w:tc>
      </w:tr>
    </w:tbl>
    <w:p>
      <w:pPr>
        <w:pStyle w:val="10"/>
        <w:ind w:firstLine="640"/>
        <w:rPr>
          <w:rFonts w:hint="eastAsia"/>
          <w:b w:val="0"/>
          <w:bCs w:val="0"/>
        </w:rPr>
      </w:pPr>
      <w:r>
        <w:rPr>
          <w:rFonts w:hint="eastAsia"/>
          <w:b w:val="0"/>
          <w:bCs w:val="0"/>
        </w:rPr>
        <w:t>二、新材料</w:t>
      </w:r>
    </w:p>
    <w:p>
      <w:pPr>
        <w:rPr>
          <w:rFonts w:hint="eastAsia"/>
        </w:rPr>
      </w:pPr>
      <w:r>
        <w:rPr>
          <w:rFonts w:hint="eastAsia"/>
        </w:rPr>
        <w:t>聚焦电极箔电容、玻璃、铝基、硅基、铜基及新型建材等领域，推进新技术、新工艺、新产品产业化应用。开展高压、超高压电极箔和高比容电极箔化成技术，推进涂层箔工艺优化及低碳制造技术研发，发展电解电容器用中高压电极箔产品。推动Low-E玻璃多层镀膜、BIPV建筑光伏一体化玻璃开发及余热回收节能降碳技术应用；实施高纯铝制备提纯、铝基复合新材料及电极箔核心工艺优化；支持高纯硅低成本制备及工业硅、多晶硅节能降碳技术研发；结合区域资源禀赋，推进工业固废资源化利用技术研发，拓展新型建材产品门类，推动新材料产业向高端化、精细化、绿色化迈进。</w:t>
      </w:r>
    </w:p>
    <w:tbl>
      <w:tblPr>
        <w:tblStyle w:val="24"/>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2"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9</w:t>
            </w:r>
            <w:r>
              <w:rPr>
                <w:rFonts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 xml:space="preserve"> 新材料关键技术攻关</w:t>
            </w:r>
            <w:r>
              <w:rPr>
                <w:rFonts w:ascii="Times New Roman" w:hAnsi="Times New Roman" w:eastAsia="黑体" w:cs="Times New Roman"/>
                <w:bCs/>
                <w:sz w:val="28"/>
                <w:szCs w:val="28"/>
                <w:lang w:eastAsia="zh-CN"/>
              </w:rPr>
              <w:t>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2" w:type="dxa"/>
          </w:tcPr>
          <w:p>
            <w:pPr>
              <w:pStyle w:val="6"/>
              <w:spacing w:line="480" w:lineRule="exact"/>
              <w:ind w:firstLine="560"/>
              <w:rPr>
                <w:rFonts w:hint="eastAsia" w:cs="Times New Roman"/>
                <w:sz w:val="28"/>
                <w:szCs w:val="28"/>
              </w:rPr>
            </w:pPr>
            <w:r>
              <w:rPr>
                <w:rFonts w:hint="eastAsia" w:cs="Times New Roman"/>
                <w:sz w:val="28"/>
                <w:szCs w:val="28"/>
              </w:rPr>
              <w:t>电极箔与铝基新材料。重点突破特高压电极箔、高比容电极箔化成技术，推进涂层箔工艺优化及低碳制造技术研发，发展电解电容器用中高压电极箔产品。</w:t>
            </w:r>
          </w:p>
          <w:p>
            <w:pPr>
              <w:pStyle w:val="6"/>
              <w:spacing w:line="480" w:lineRule="exact"/>
              <w:ind w:firstLine="560"/>
              <w:rPr>
                <w:rFonts w:hint="eastAsia" w:cs="Times New Roman"/>
                <w:sz w:val="28"/>
                <w:szCs w:val="28"/>
              </w:rPr>
            </w:pPr>
            <w:r>
              <w:rPr>
                <w:rFonts w:hint="eastAsia" w:cs="Times New Roman"/>
                <w:sz w:val="28"/>
                <w:szCs w:val="28"/>
              </w:rPr>
              <w:t>玻璃与硅基新材料。推动Low-E玻璃、钢化玻璃等优质浮法玻璃产品开发，推进玻璃熔窑余热综合利用与智能化节能改造，支持高纯硅低成本制备及工业硅、多晶硅节能降碳技术研发。</w:t>
            </w:r>
          </w:p>
          <w:p>
            <w:pPr>
              <w:pStyle w:val="6"/>
              <w:spacing w:line="480" w:lineRule="exact"/>
              <w:ind w:firstLine="560"/>
              <w:rPr>
                <w:rFonts w:hint="eastAsia" w:cs="Times New Roman"/>
                <w:sz w:val="28"/>
                <w:szCs w:val="28"/>
              </w:rPr>
            </w:pPr>
            <w:r>
              <w:rPr>
                <w:rFonts w:hint="eastAsia" w:cs="Times New Roman"/>
                <w:sz w:val="28"/>
                <w:szCs w:val="28"/>
              </w:rPr>
              <w:t>铜基与新型建材。开展电解铜箔、高强高导铜合金等关键技术研发，推进纳米钙、活性钙等碳酸钙精细加工及下游产品开发，推动石灰石尾矿、冶炼废渣等工业固废资源化利用。</w:t>
            </w:r>
          </w:p>
        </w:tc>
      </w:tr>
    </w:tbl>
    <w:p>
      <w:pPr>
        <w:pStyle w:val="10"/>
        <w:ind w:firstLine="640"/>
        <w:rPr>
          <w:rFonts w:hint="eastAsia"/>
          <w:b w:val="0"/>
          <w:bCs w:val="0"/>
        </w:rPr>
      </w:pPr>
      <w:r>
        <w:rPr>
          <w:rFonts w:hint="eastAsia"/>
          <w:b w:val="0"/>
          <w:bCs w:val="0"/>
        </w:rPr>
        <w:t>三、新能源</w:t>
      </w:r>
    </w:p>
    <w:p>
      <w:pPr>
        <w:rPr>
          <w:rFonts w:hint="eastAsia"/>
        </w:rPr>
      </w:pPr>
      <w:r>
        <w:rPr>
          <w:rFonts w:hint="eastAsia"/>
        </w:rPr>
        <w:t>围绕新能源并网消纳、储能配套、电网调度等关键环节，推进源网荷储协同运行技术应用，探索“源—网—荷—储—用”全链条协调运行机制，提升新能源消纳能力和电网安全稳定运行水平。推进电化学储能等新型储能技术应用，探索集中式储能电站和分布式储能项目建设技术路径。推动“新能源+储能+调相机”技术集成应用，探索绿电直供、绿电直连等模式创新，提升绿色电力就地转化和高效利用水平。持续推进零碳园区、零碳工厂建设，扩大绿色电力证书应用覆盖范围，健全绿色低碳发展支撑体系，为绿色算力、特色工业和园区低碳转型提供有力支撑。</w:t>
      </w:r>
    </w:p>
    <w:tbl>
      <w:tblPr>
        <w:tblStyle w:val="24"/>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17"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10</w:t>
            </w:r>
            <w:r>
              <w:rPr>
                <w:rFonts w:ascii="Times New Roman" w:hAnsi="Times New Roman" w:eastAsia="黑体" w:cs="Times New Roman"/>
                <w:sz w:val="28"/>
                <w:szCs w:val="28"/>
                <w:lang w:eastAsia="zh-CN"/>
              </w:rPr>
              <w:t xml:space="preserve">  新能源关键技术攻关重点方向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8417" w:type="dxa"/>
          </w:tcPr>
          <w:p>
            <w:pPr>
              <w:pStyle w:val="6"/>
              <w:spacing w:line="480" w:lineRule="exact"/>
              <w:ind w:firstLine="560"/>
              <w:jc w:val="both"/>
              <w:rPr>
                <w:rFonts w:hint="eastAsia" w:cs="Times New Roman"/>
                <w:sz w:val="28"/>
                <w:szCs w:val="28"/>
              </w:rPr>
            </w:pPr>
            <w:r>
              <w:rPr>
                <w:rFonts w:hint="eastAsia" w:cs="Times New Roman"/>
                <w:sz w:val="28"/>
                <w:szCs w:val="28"/>
              </w:rPr>
              <w:t>源网荷储协同运行技术。开展源网荷储一体化系统协同运行技术应用，探索“源—网—荷—储—用”全链条协调运行机制，提升电网安全运行水平与新能源消纳能力。</w:t>
            </w:r>
          </w:p>
          <w:p>
            <w:pPr>
              <w:pStyle w:val="6"/>
              <w:spacing w:line="480" w:lineRule="exact"/>
              <w:ind w:firstLine="560"/>
              <w:jc w:val="both"/>
              <w:rPr>
                <w:rFonts w:hint="eastAsia" w:cs="Times New Roman"/>
                <w:sz w:val="28"/>
                <w:szCs w:val="28"/>
              </w:rPr>
            </w:pPr>
            <w:r>
              <w:rPr>
                <w:rFonts w:hint="eastAsia" w:cs="Times New Roman"/>
                <w:sz w:val="28"/>
                <w:szCs w:val="28"/>
              </w:rPr>
              <w:t>新型储能与并网技术。推进电化学储能等新型储能技术应用，探索集中式储能电站与分布式储能项目技术路径，提升新能源并网稳定运行能力。</w:t>
            </w:r>
          </w:p>
        </w:tc>
      </w:tr>
    </w:tbl>
    <w:p>
      <w:pPr>
        <w:pStyle w:val="10"/>
        <w:ind w:firstLine="640"/>
        <w:rPr>
          <w:rFonts w:hint="eastAsia"/>
          <w:b w:val="0"/>
          <w:bCs w:val="0"/>
        </w:rPr>
      </w:pPr>
      <w:r>
        <w:rPr>
          <w:rFonts w:hint="eastAsia"/>
          <w:b w:val="0"/>
          <w:bCs w:val="0"/>
        </w:rPr>
        <w:t>四、装备制造</w:t>
      </w:r>
    </w:p>
    <w:p>
      <w:pPr>
        <w:rPr>
          <w:rFonts w:hint="eastAsia"/>
        </w:rPr>
      </w:pPr>
      <w:r>
        <w:rPr>
          <w:rFonts w:hint="eastAsia"/>
        </w:rPr>
        <w:t xml:space="preserve">聚焦智能农机、工程机械等领域，推进装备制造产业技术迭代与转型升级。围绕师市农业现代化需求，重点推动特色农作物播种装备、整地装备、植保装备、籽粒作物收获装备、智能采摘装备等农机装备研发应用，集成北斗导航、物联网、智能控制技术，实现农机装备自动化、精准化作业。深化大数据、人工智能与装备制造业融合，推动机器人、智能传感、机器视觉等技术在智慧农业、智能巡检、设备运维等领域应用示范，推动装备制造产业向智能化、绿色化、服务化转型升级。  </w:t>
      </w:r>
    </w:p>
    <w:tbl>
      <w:tblPr>
        <w:tblStyle w:val="2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34"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11</w:t>
            </w:r>
            <w:r>
              <w:rPr>
                <w:rFonts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装备制造</w:t>
            </w:r>
            <w:r>
              <w:rPr>
                <w:rFonts w:ascii="Times New Roman" w:hAnsi="Times New Roman" w:eastAsia="黑体" w:cs="Times New Roman"/>
                <w:sz w:val="28"/>
                <w:szCs w:val="28"/>
                <w:lang w:eastAsia="zh-CN"/>
              </w:rPr>
              <w:t>关键技术攻关重点方向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4" w:type="dxa"/>
          </w:tcPr>
          <w:p>
            <w:pPr>
              <w:pStyle w:val="6"/>
              <w:spacing w:line="480" w:lineRule="exact"/>
              <w:ind w:firstLine="560"/>
              <w:rPr>
                <w:rFonts w:hint="eastAsia" w:cs="Times New Roman"/>
                <w:sz w:val="28"/>
                <w:szCs w:val="28"/>
              </w:rPr>
            </w:pPr>
            <w:r>
              <w:rPr>
                <w:rFonts w:hint="eastAsia" w:cs="Times New Roman"/>
                <w:sz w:val="28"/>
                <w:szCs w:val="28"/>
              </w:rPr>
              <w:t>智能农机装备技术集成应用。围绕棉花、畜牧等农业生产需求，集成应用北斗导航、物联网、智能控制等技术，推进播种、整地、植保、收获等环节农机装备智能化升级，提升农业机械化作业精度与效率。</w:t>
            </w:r>
          </w:p>
          <w:p>
            <w:pPr>
              <w:pStyle w:val="6"/>
              <w:spacing w:line="480" w:lineRule="exact"/>
              <w:ind w:firstLine="560"/>
              <w:rPr>
                <w:rFonts w:hint="eastAsia" w:cs="Times New Roman"/>
                <w:sz w:val="28"/>
                <w:szCs w:val="28"/>
              </w:rPr>
            </w:pPr>
            <w:r>
              <w:rPr>
                <w:rFonts w:hint="eastAsia" w:cs="Times New Roman"/>
                <w:sz w:val="28"/>
                <w:szCs w:val="28"/>
              </w:rPr>
              <w:t>农机装备智能化升级。深化人工智能、大数据与装备制造业融合，推动机器视觉、智能控制等技术在农机装备中的应用。开展农机装备智能化改造与精准化作业技术示范，提升装备可靠性与适应性。</w:t>
            </w:r>
          </w:p>
        </w:tc>
      </w:tr>
    </w:tbl>
    <w:p>
      <w:pPr>
        <w:pStyle w:val="10"/>
        <w:ind w:firstLine="640"/>
        <w:rPr>
          <w:rFonts w:hint="eastAsia"/>
          <w:b w:val="0"/>
          <w:bCs w:val="0"/>
        </w:rPr>
      </w:pPr>
      <w:r>
        <w:rPr>
          <w:rFonts w:hint="eastAsia"/>
          <w:b w:val="0"/>
          <w:bCs w:val="0"/>
        </w:rPr>
        <w:t>五、生物制造</w:t>
      </w:r>
    </w:p>
    <w:p>
      <w:pPr>
        <w:rPr>
          <w:rFonts w:hint="eastAsia"/>
        </w:rPr>
      </w:pPr>
      <w:r>
        <w:t>聚焦农业微生物、生物基材料、药食同源产品等领域，布局生物制造产业创新赛道。依托师市农林废弃物与特色生物资源，研发生物发酵、酶工程等关键技术。重点推进高性能菌种选育、益生菌发酵、绿色提纯等技术攻关，开发复合益生菌有机肥及有机饲料，推进农林副产物资源化循环利用。依托本地特色中药材，开展药食同源健康产品及生物制剂研发，探索培育生物制造特色增长点。</w:t>
      </w:r>
    </w:p>
    <w:tbl>
      <w:tblPr>
        <w:tblStyle w:val="24"/>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0"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12</w:t>
            </w:r>
            <w:r>
              <w:rPr>
                <w:rFonts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生物制造重点方向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0" w:type="dxa"/>
          </w:tcPr>
          <w:p>
            <w:pPr>
              <w:pStyle w:val="6"/>
              <w:spacing w:line="480" w:lineRule="exact"/>
              <w:ind w:firstLine="560"/>
              <w:jc w:val="both"/>
              <w:rPr>
                <w:rFonts w:hint="eastAsia" w:cs="Times New Roman"/>
                <w:sz w:val="28"/>
                <w:szCs w:val="28"/>
              </w:rPr>
            </w:pPr>
            <w:r>
              <w:rPr>
                <w:rFonts w:hint="eastAsia" w:cs="Times New Roman"/>
                <w:sz w:val="28"/>
                <w:szCs w:val="28"/>
              </w:rPr>
              <w:t>农业微生物与益生菌技术。依托新疆农牧业微生态产业技术创新研究院，开展高性能菌种选育、益生菌发酵等核心技术攻关。推动益生菌在棉花抗病提质、畜禽粪污资源化利用、土壤改良等领域的应用示范。建设益生菌菌剂生产线与有机肥加工中心，开发复合微生物有机肥产品。</w:t>
            </w:r>
          </w:p>
          <w:p>
            <w:pPr>
              <w:pStyle w:val="6"/>
              <w:spacing w:line="480" w:lineRule="exact"/>
              <w:ind w:firstLine="560"/>
              <w:jc w:val="both"/>
              <w:rPr>
                <w:rFonts w:hint="eastAsia" w:cs="Times New Roman"/>
                <w:sz w:val="28"/>
                <w:szCs w:val="28"/>
              </w:rPr>
            </w:pPr>
            <w:r>
              <w:rPr>
                <w:rFonts w:hint="eastAsia" w:cs="Times New Roman"/>
                <w:sz w:val="28"/>
                <w:szCs w:val="28"/>
              </w:rPr>
              <w:t>农林副产物高值化利用技术。以玉米芯、棉籽等农林副产物为原料，重点突破生物发酵饲料制备、棉籽蛋白精深加工等关键技术。集成应用生物合成、微生物发酵等前沿技术，推进农业废弃物资源化循环利用，实现“变废为宝”。</w:t>
            </w:r>
          </w:p>
        </w:tc>
      </w:tr>
    </w:tbl>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21" w:name="_Toc14508"/>
      <w:r>
        <w:rPr>
          <w:rFonts w:hint="eastAsia" w:ascii="Times New Roman" w:hAnsi="Times New Roman" w:eastAsia="黑体" w:cs="Times New Roman"/>
          <w:bCs/>
        </w:rPr>
        <w:t>第三节 科技推动服务业扩能提质</w:t>
      </w:r>
      <w:bookmarkEnd w:id="21"/>
    </w:p>
    <w:p>
      <w:pPr>
        <w:rPr>
          <w:rFonts w:hint="eastAsia"/>
        </w:rPr>
      </w:pPr>
      <w:r>
        <w:t>一、完善科技服务支撑体系</w:t>
      </w:r>
    </w:p>
    <w:p>
      <w:pPr>
        <w:rPr>
          <w:rFonts w:hint="eastAsia"/>
        </w:rPr>
      </w:pPr>
      <w:r>
        <w:t>完善检验检测认证、知识产权、科技咨询、技术服务等面向产业一线的科技服务供给，提升科技服务对产业发展的支撑能力。深入实施科技特派员制度，围绕棉花、玉米、葡萄等特色主导产业，组建专业化技术服务团队，开展技术培训、现场指导和示范推广，推动先进适用技术进团场、进企业、进基地，促进科技成果转化应用。</w:t>
      </w:r>
    </w:p>
    <w:p>
      <w:pPr>
        <w:rPr>
          <w:rFonts w:hint="eastAsia"/>
        </w:rPr>
      </w:pPr>
      <w:r>
        <w:t>二、推动文旅</w:t>
      </w:r>
      <w:r>
        <w:rPr>
          <w:rFonts w:hint="eastAsia"/>
        </w:rPr>
        <w:t>服务</w:t>
      </w:r>
      <w:r>
        <w:t>智慧化升级</w:t>
      </w:r>
    </w:p>
    <w:p>
      <w:pPr>
        <w:rPr>
          <w:rFonts w:hint="eastAsia"/>
        </w:rPr>
      </w:pPr>
      <w:r>
        <w:t>推动旅游服务业数字化、智慧化升级。围绕“古道文旅兴城”发展战略，促进文化和旅游深度融合，推进屯垦文化、红色文化、军垦文化等特色资源数字化保护和活化利用。用好“红星耀双河”陈列馆、“遇见双河”数字文化空间、古道温泉、怪石峪等重点文旅载体和景区，拓展智能导览、智慧票务、客流监测、线上展示、沉浸体验等应用场景，提升旅游体验、运营管理和公共服务水平。</w:t>
      </w:r>
    </w:p>
    <w:p>
      <w:pPr>
        <w:rPr>
          <w:rFonts w:hint="eastAsia"/>
        </w:rPr>
      </w:pPr>
      <w:r>
        <w:t>三、加快智慧物流技术应用</w:t>
      </w:r>
    </w:p>
    <w:p>
      <w:pPr>
        <w:rPr>
          <w:rFonts w:hint="eastAsia"/>
        </w:rPr>
      </w:pPr>
      <w:r>
        <w:t>发挥双河铁路专用线通道优势，衔接中欧班列图定始发线路，加快物流设施数字化、智能化改造，推进公铁多式联运发展，推广智能仓储、自动化装卸、智能调度、在途跟踪、全程可视化等技术装备和管理系统，提升物流组织效率、通道服务能力和供应链协同水平。</w:t>
      </w:r>
    </w:p>
    <w:tbl>
      <w:tblPr>
        <w:tblStyle w:val="24"/>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5" w:type="dxa"/>
          </w:tcPr>
          <w:p>
            <w:pPr>
              <w:pStyle w:val="4"/>
              <w:spacing w:line="480" w:lineRule="exact"/>
              <w:ind w:firstLine="0" w:firstLineChars="0"/>
              <w:jc w:val="center"/>
              <w:rPr>
                <w:rFonts w:ascii="Times New Roman" w:hAnsi="Times New Roman" w:eastAsia="仿宋_GB2312" w:cs="Times New Roman"/>
                <w:sz w:val="28"/>
                <w:szCs w:val="28"/>
                <w:lang w:eastAsia="zh-CN"/>
              </w:rPr>
            </w:pPr>
            <w:r>
              <w:rPr>
                <w:rFonts w:ascii="Times New Roman" w:hAnsi="Times New Roman" w:eastAsia="黑体" w:cs="Times New Roman"/>
                <w:sz w:val="28"/>
                <w:szCs w:val="28"/>
                <w:lang w:eastAsia="zh-CN"/>
              </w:rPr>
              <w:t>专栏</w:t>
            </w:r>
            <w:r>
              <w:rPr>
                <w:rFonts w:hint="eastAsia" w:ascii="Times New Roman" w:hAnsi="Times New Roman" w:eastAsia="黑体" w:cs="Times New Roman"/>
                <w:sz w:val="28"/>
                <w:szCs w:val="28"/>
                <w:lang w:eastAsia="zh-CN"/>
              </w:rPr>
              <w:t>13</w:t>
            </w:r>
            <w:r>
              <w:rPr>
                <w:rFonts w:ascii="Times New Roman" w:hAnsi="Times New Roman" w:eastAsia="黑体" w:cs="Times New Roman"/>
                <w:sz w:val="28"/>
                <w:szCs w:val="28"/>
                <w:lang w:eastAsia="zh-CN"/>
              </w:rPr>
              <w:t xml:space="preserve">  </w:t>
            </w:r>
            <w:r>
              <w:rPr>
                <w:rFonts w:hint="eastAsia" w:ascii="Times New Roman" w:hAnsi="Times New Roman" w:eastAsia="黑体" w:cs="Times New Roman"/>
                <w:sz w:val="28"/>
                <w:szCs w:val="28"/>
                <w:lang w:eastAsia="zh-CN"/>
              </w:rPr>
              <w:t>特色服务业扩能提质重点方向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5" w:type="dxa"/>
          </w:tcPr>
          <w:p>
            <w:pPr>
              <w:pStyle w:val="6"/>
              <w:spacing w:line="480" w:lineRule="exact"/>
              <w:ind w:firstLine="560"/>
              <w:jc w:val="both"/>
              <w:rPr>
                <w:rFonts w:hint="eastAsia" w:cs="Times New Roman"/>
                <w:sz w:val="28"/>
                <w:szCs w:val="28"/>
              </w:rPr>
            </w:pPr>
            <w:r>
              <w:rPr>
                <w:rFonts w:hint="eastAsia" w:cs="Times New Roman"/>
                <w:sz w:val="28"/>
                <w:szCs w:val="28"/>
              </w:rPr>
              <w:t>科技特派员服务提质。围绕棉花、玉米、葡萄、畜牧养殖等产业，建立科技需求和专家服务清单，组织科技特派员开展定点指导、技术培训和示范推广，建设一批科技服务示范点。</w:t>
            </w:r>
          </w:p>
          <w:p>
            <w:pPr>
              <w:pStyle w:val="6"/>
              <w:spacing w:line="480" w:lineRule="exact"/>
              <w:ind w:firstLine="560"/>
              <w:jc w:val="both"/>
              <w:rPr>
                <w:rFonts w:hint="eastAsia" w:cs="Times New Roman"/>
                <w:sz w:val="28"/>
                <w:szCs w:val="28"/>
              </w:rPr>
            </w:pPr>
            <w:r>
              <w:rPr>
                <w:rFonts w:hint="eastAsia" w:cs="Times New Roman"/>
                <w:sz w:val="28"/>
                <w:szCs w:val="28"/>
              </w:rPr>
              <w:t>文旅数字孪生与沉浸式体验技术应用。 围绕重点文旅载体和景区，推进数字孪生建模、沉浸式交互、虚实融合展示等技术在文化遗产保护与旅游体验中的集成应用，打造智慧文旅示范场景。</w:t>
            </w:r>
          </w:p>
          <w:p>
            <w:pPr>
              <w:pStyle w:val="6"/>
              <w:spacing w:line="480" w:lineRule="exact"/>
              <w:ind w:firstLine="560"/>
              <w:jc w:val="both"/>
              <w:rPr>
                <w:rFonts w:hint="eastAsia" w:cs="Times New Roman"/>
                <w:sz w:val="28"/>
                <w:szCs w:val="28"/>
              </w:rPr>
            </w:pPr>
            <w:r>
              <w:rPr>
                <w:rFonts w:hint="eastAsia" w:cs="Times New Roman"/>
                <w:sz w:val="28"/>
                <w:szCs w:val="28"/>
              </w:rPr>
              <w:t>多式联运智慧物流技术应用。围绕铁路货场、仓储节点和公铁联运场景，推动物流设施数字化升级，推广智能仓储、自动化装卸、车辆调度、货物跟踪、全程可视化等技术应用，提升货物集散、运输组织和供应链协同服务能力。</w:t>
            </w:r>
          </w:p>
        </w:tc>
      </w:tr>
    </w:tbl>
    <w:p>
      <w:pPr>
        <w:keepNext/>
        <w:keepLines/>
        <w:adjustRightInd/>
        <w:snapToGrid/>
        <w:spacing w:before="156" w:beforeLines="50" w:after="156" w:afterLines="50"/>
        <w:ind w:firstLine="0" w:firstLineChars="0"/>
        <w:jc w:val="center"/>
        <w:outlineLvl w:val="1"/>
        <w:rPr>
          <w:rFonts w:hint="eastAsia"/>
        </w:rPr>
      </w:pPr>
      <w:bookmarkStart w:id="22" w:name="_Toc22569"/>
      <w:r>
        <w:rPr>
          <w:rFonts w:hint="eastAsia" w:ascii="Times New Roman" w:hAnsi="Times New Roman" w:eastAsia="黑体" w:cs="Times New Roman"/>
          <w:bCs/>
        </w:rPr>
        <w:t>第四节 培育壮大新兴产业和未来产业</w:t>
      </w:r>
      <w:bookmarkEnd w:id="22"/>
    </w:p>
    <w:p>
      <w:pPr>
        <w:pStyle w:val="10"/>
        <w:ind w:firstLine="640"/>
        <w:rPr>
          <w:rFonts w:hint="eastAsia"/>
          <w:b w:val="0"/>
          <w:bCs w:val="0"/>
        </w:rPr>
      </w:pPr>
      <w:r>
        <w:rPr>
          <w:rFonts w:hint="eastAsia"/>
          <w:b w:val="0"/>
          <w:bCs w:val="0"/>
        </w:rPr>
        <w:t>一、低空经济</w:t>
      </w:r>
    </w:p>
    <w:p>
      <w:pPr>
        <w:rPr>
          <w:rFonts w:hint="eastAsia"/>
        </w:rPr>
      </w:pPr>
      <w:r>
        <w:rPr>
          <w:rFonts w:hint="eastAsia"/>
        </w:rPr>
        <w:t>立足师市农业现代化、边境巡护和应急处置需求，重点拓展无人机农林植保、病虫害监测、森林防火、巡查巡检、物资投送等应用场景。依托无人机应用管理平台，完善低空飞行保障与运营服务体系，提升低空装备规模化应用和市场化服务能力。推广无人机精准植保、病虫害监测等农林应用，推进无人机森林防火、搜救、物资投送等应急场景常态化运行。加强无人机驾驶员职业技能培训，培育低空经济专业人才，支持低空装备运维服务与场景创新。</w:t>
      </w:r>
    </w:p>
    <w:p>
      <w:pPr>
        <w:pStyle w:val="10"/>
        <w:ind w:firstLine="640"/>
        <w:rPr>
          <w:rFonts w:hint="eastAsia"/>
          <w:b w:val="0"/>
          <w:bCs w:val="0"/>
        </w:rPr>
      </w:pPr>
      <w:r>
        <w:rPr>
          <w:rFonts w:hint="eastAsia"/>
          <w:b w:val="0"/>
          <w:bCs w:val="0"/>
        </w:rPr>
        <w:t>二、绿色算力</w:t>
      </w:r>
    </w:p>
    <w:p>
      <w:pPr>
        <w:rPr>
          <w:rFonts w:hint="eastAsia"/>
        </w:rPr>
      </w:pPr>
      <w:r>
        <w:rPr>
          <w:rFonts w:hint="eastAsia"/>
        </w:rPr>
        <w:t>立足“东数西算”战略机遇和师市绿电资源优势，加快推进算力中心建设，打造北疆绿色算力重要节点。依托已建成投运的国产智算中心，构建“高效、低碳、安全、可控”的绿色算力供给体系。重点开展绿电与算力负荷智能匹配、储能协同算力调控、液冷节能降耗等关键技术应用，推动“算电协同”模式落地。深化人工智能大模型应用，提供“算力+算法+模型+应用”一体化服务，拓展智慧农业、智慧政务、智慧医疗、智慧文旅、智慧边防等特色场景，赋能传统产业数字化转型与智能化升级。推动绿色算力与实体经济深度融合，培育绿色算力服务和数据应用产业生态。</w:t>
      </w:r>
    </w:p>
    <w:p>
      <w:pPr>
        <w:pStyle w:val="10"/>
        <w:ind w:firstLine="640"/>
        <w:rPr>
          <w:rFonts w:hint="eastAsia"/>
          <w:b w:val="0"/>
          <w:bCs w:val="0"/>
          <w:color w:val="auto"/>
        </w:rPr>
      </w:pPr>
      <w:r>
        <w:rPr>
          <w:rFonts w:hint="eastAsia"/>
          <w:b w:val="0"/>
          <w:bCs w:val="0"/>
          <w:color w:val="auto"/>
        </w:rPr>
        <w:t>三、信息技术与人工智能</w:t>
      </w:r>
    </w:p>
    <w:p>
      <w:pPr>
        <w:rPr>
          <w:rFonts w:hint="eastAsia"/>
        </w:rPr>
      </w:pPr>
      <w:r>
        <w:rPr>
          <w:rFonts w:hint="eastAsia"/>
        </w:rPr>
        <w:t>紧扣数字经济发展战略，补齐数字基础设施短板，构建全域协同、开放共享、安全可控的数字创新体系。加快5G网络全域覆盖与千兆光网升级，推进算力网络互联互通。深化智慧农业云平台应用，依托国家级制种基地监管服务平台，推进遥感监测、精准种植、智能灌溉、产品溯源等技术应用，聚焦智能农机、墒情监测、病虫害预警等场景，提升农业生产数字化水平。支持企业实施生产过程智能管控、设备在线监测、能耗优化管理，推广工业互联网与大数据融合应用，推动制造业提质增效。拓展人工智能在教育、医疗、应急、城市运行等领域应用，提升公共服务效能与治理能力。强化网络安全防护和智慧政务支撑，开展计算机辅助工程分析与工艺设计技术引进示范，加快传统产业信息化改造，深化数据资源整合共享，以场景建设牵引技术落地，以示范应用带动整体跃升，推动数字技术与经济社会发展深度融合。</w:t>
      </w:r>
    </w:p>
    <w:p>
      <w:pPr>
        <w:keepNext/>
        <w:keepLines/>
        <w:adjustRightInd/>
        <w:snapToGrid/>
        <w:spacing w:before="156" w:beforeLines="50" w:after="156" w:afterLines="50"/>
        <w:ind w:firstLine="0" w:firstLineChars="0"/>
        <w:jc w:val="center"/>
        <w:outlineLvl w:val="1"/>
        <w:rPr>
          <w:rFonts w:hint="eastAsia" w:ascii="Times New Roman" w:hAnsi="Times New Roman" w:eastAsia="黑体" w:cs="Times New Roman"/>
          <w:bCs/>
          <w:lang w:val="en-US" w:eastAsia="zh-CN"/>
        </w:rPr>
      </w:pPr>
      <w:bookmarkStart w:id="23" w:name="_Toc16680"/>
      <w:bookmarkStart w:id="24" w:name="_Toc1592"/>
      <w:bookmarkStart w:id="25" w:name="_Toc28211"/>
      <w:r>
        <w:rPr>
          <w:rFonts w:hint="eastAsia" w:ascii="Times New Roman" w:hAnsi="Times New Roman" w:eastAsia="黑体" w:cs="Times New Roman"/>
          <w:bCs/>
        </w:rPr>
        <w:t xml:space="preserve">第五节 </w:t>
      </w:r>
      <w:bookmarkEnd w:id="23"/>
      <w:bookmarkEnd w:id="24"/>
      <w:bookmarkEnd w:id="25"/>
      <w:r>
        <w:rPr>
          <w:rFonts w:hint="eastAsia" w:ascii="Times New Roman" w:hAnsi="Times New Roman" w:eastAsia="黑体" w:cs="Times New Roman"/>
          <w:bCs/>
        </w:rPr>
        <w:t>□□□□□□□□□□□□</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26" w:name="_Toc10217"/>
      <w:r>
        <w:rPr>
          <w:rFonts w:hint="eastAsia" w:ascii="Times New Roman" w:hAnsi="Times New Roman" w:eastAsia="黑体" w:cs="Times New Roman"/>
          <w:bCs/>
        </w:rPr>
        <w:t xml:space="preserve">第六节 </w:t>
      </w:r>
      <w:bookmarkEnd w:id="26"/>
      <w:r>
        <w:rPr>
          <w:rFonts w:hint="eastAsia" w:ascii="Times New Roman" w:hAnsi="Times New Roman" w:eastAsia="黑体" w:cs="Times New Roman"/>
          <w:bCs/>
        </w:rPr>
        <w:t>科技赋能民生改善和社会治理</w:t>
      </w:r>
    </w:p>
    <w:p>
      <w:pPr>
        <w:pStyle w:val="10"/>
        <w:ind w:firstLine="640"/>
        <w:rPr>
          <w:rFonts w:hint="eastAsia"/>
          <w:b w:val="0"/>
          <w:bCs w:val="0"/>
        </w:rPr>
      </w:pPr>
      <w:r>
        <w:rPr>
          <w:rFonts w:hint="eastAsia"/>
          <w:b w:val="0"/>
          <w:bCs w:val="0"/>
        </w:rPr>
        <w:t>一、生态环境</w:t>
      </w:r>
    </w:p>
    <w:p>
      <w:pPr>
        <w:jc w:val="left"/>
        <w:rPr>
          <w:rFonts w:hint="eastAsia"/>
        </w:rPr>
      </w:pPr>
      <w:r>
        <w:rPr>
          <w:rFonts w:hint="eastAsia"/>
        </w:rPr>
        <w:t>围绕减污降碳协同增效、多污染物协同减排、固体废物综合治理、数智化环境监测与治理、生态保护修复等重点领域，强化先进技术引进与应用示范，提升生态环境治理科技支撑能力。深化新疆双河智慧环保平台应用，拓展碳监测、生态修复等功能模块，完善“监测预警—精准溯源—协同处置—效果评估”闭环管理体系，探索卫星遥感、无人机巡查等技术在环境监测领域的集成应用。深化兵地生态环境数据共享与联防联控机制，推动区域生态环境治理“一张网”建设。围绕工业窑炉节能改造、燃煤锅炉清洁替代、水资源梯次利用、工业固废资源化利用等领域，推广应用先进适用技术。围绕艾比湖湿地等重点生态区域，探索物联网、智能识别等技术在湿地生态监测、野生动植物保护中的应用。</w:t>
      </w:r>
    </w:p>
    <w:tbl>
      <w:tblPr>
        <w:tblStyle w:val="24"/>
        <w:tblW w:w="831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5" w:type="dxa"/>
          </w:tcPr>
          <w:p>
            <w:pPr>
              <w:spacing w:line="480" w:lineRule="exact"/>
              <w:ind w:firstLine="0" w:firstLineChars="0"/>
              <w:jc w:val="center"/>
              <w:rPr>
                <w:rFonts w:hint="eastAsia" w:cs="Times New Roman"/>
                <w:sz w:val="28"/>
                <w:szCs w:val="28"/>
                <w:shd w:val="clear" w:color="auto" w:fill="FFFFFF"/>
              </w:rPr>
            </w:pPr>
            <w:r>
              <w:rPr>
                <w:rFonts w:eastAsia="黑体" w:cs="Times New Roman"/>
                <w:bCs/>
                <w:sz w:val="28"/>
                <w:szCs w:val="28"/>
              </w:rPr>
              <w:t>专栏</w:t>
            </w:r>
            <w:r>
              <w:rPr>
                <w:rFonts w:hint="eastAsia" w:eastAsia="黑体" w:cs="Times New Roman"/>
                <w:bCs/>
                <w:sz w:val="28"/>
                <w:szCs w:val="28"/>
              </w:rPr>
              <w:t>15</w:t>
            </w:r>
            <w:r>
              <w:rPr>
                <w:rFonts w:eastAsia="黑体" w:cs="Times New Roman"/>
                <w:bCs/>
                <w:sz w:val="28"/>
                <w:szCs w:val="28"/>
              </w:rPr>
              <w:t xml:space="preserve">  </w:t>
            </w:r>
            <w:r>
              <w:rPr>
                <w:rFonts w:hint="eastAsia" w:eastAsia="黑体" w:cs="Times New Roman"/>
                <w:bCs/>
                <w:sz w:val="28"/>
                <w:szCs w:val="28"/>
              </w:rPr>
              <w:t>生态环境保护与修复方向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5" w:type="dxa"/>
          </w:tcPr>
          <w:p>
            <w:pPr>
              <w:pStyle w:val="6"/>
              <w:spacing w:line="480" w:lineRule="exact"/>
              <w:ind w:firstLine="560"/>
              <w:rPr>
                <w:rFonts w:hint="eastAsia" w:cs="Times New Roman"/>
                <w:sz w:val="28"/>
                <w:szCs w:val="28"/>
              </w:rPr>
            </w:pPr>
            <w:r>
              <w:rPr>
                <w:rFonts w:hint="eastAsia" w:cs="Times New Roman"/>
                <w:sz w:val="28"/>
                <w:szCs w:val="28"/>
              </w:rPr>
              <w:t>数智化环境监管技术应用。在现有智慧环保平台基础上，拓展碳监测、生态修复等功能模块，在重点区域开展卫星遥感、无人机巡查等技术应用示范。完善兵地生态环境数据共享机制，推动区域生态治理“一张网”建设。</w:t>
            </w:r>
          </w:p>
          <w:p>
            <w:pPr>
              <w:pStyle w:val="6"/>
              <w:spacing w:line="480" w:lineRule="exact"/>
              <w:ind w:firstLine="560"/>
              <w:rPr>
                <w:rFonts w:hint="eastAsia" w:cs="Times New Roman"/>
                <w:sz w:val="28"/>
                <w:szCs w:val="28"/>
              </w:rPr>
            </w:pPr>
            <w:r>
              <w:rPr>
                <w:rFonts w:hint="eastAsia" w:cs="Times New Roman"/>
                <w:sz w:val="28"/>
                <w:szCs w:val="28"/>
              </w:rPr>
              <w:t>减污降碳与固废资源化利用。在园区重点企业推广燃煤锅炉清洁替代、工业窑炉节能改造等技术应用，深化水资源梯次利用、工业废水处理回用及粉煤灰等工业固废资源化利用。</w:t>
            </w:r>
          </w:p>
          <w:p>
            <w:pPr>
              <w:pStyle w:val="6"/>
              <w:spacing w:line="480" w:lineRule="exact"/>
              <w:ind w:firstLine="560"/>
              <w:rPr>
                <w:rFonts w:hint="eastAsia" w:eastAsia="黑体" w:cs="Times New Roman"/>
                <w:b/>
                <w:bCs/>
                <w:sz w:val="28"/>
                <w:szCs w:val="28"/>
              </w:rPr>
            </w:pPr>
            <w:r>
              <w:rPr>
                <w:rFonts w:hint="eastAsia" w:cs="Times New Roman"/>
                <w:sz w:val="28"/>
                <w:szCs w:val="28"/>
              </w:rPr>
              <w:t>生态保护修复技术应用。围绕艾比湖湿地等重点生态区域，开展基于物联网的湿地生态监测技术应用，探索野生动植物智能识别与保护技术示范。</w:t>
            </w:r>
          </w:p>
        </w:tc>
      </w:tr>
    </w:tbl>
    <w:p>
      <w:pPr>
        <w:pStyle w:val="10"/>
        <w:ind w:firstLine="640"/>
        <w:rPr>
          <w:rFonts w:hint="eastAsia"/>
          <w:b w:val="0"/>
          <w:bCs w:val="0"/>
        </w:rPr>
      </w:pPr>
      <w:r>
        <w:rPr>
          <w:rFonts w:hint="eastAsia"/>
          <w:b w:val="0"/>
          <w:bCs w:val="0"/>
        </w:rPr>
        <w:t>二、平安建设</w:t>
      </w:r>
    </w:p>
    <w:p>
      <w:pPr>
        <w:spacing w:line="550" w:lineRule="exact"/>
        <w:rPr>
          <w:rFonts w:hint="eastAsia" w:cs="Times New Roman"/>
        </w:rPr>
      </w:pPr>
      <w:r>
        <w:rPr>
          <w:rFonts w:hint="eastAsia" w:cs="Times New Roman"/>
        </w:rPr>
        <w:t>围绕安全生产、自然灾害、生物安全与公共卫生、社会治安等领域，集成应用人工智能、大数据与物联网等先进技术，强化监测预警、风险防控与应急处置等关键技术与装备推广。推广全链条安全风险防控体系建设经验，完善地震、气象灾害等监测预警体系，健全传染病疫情监测预警与风险评估机制，深化数字政府运营指挥中心功能，拓展人工智能识别、视频巡查、大数据分析等技术在社会治安、城市管理、矛盾化解等领域的应用，健全兵地信息共享与应急联动机制，全面提升风险防控智能化水平与公共服务精准化能力。</w:t>
      </w:r>
    </w:p>
    <w:tbl>
      <w:tblPr>
        <w:tblStyle w:val="24"/>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5" w:type="dxa"/>
          </w:tcPr>
          <w:p>
            <w:pPr>
              <w:spacing w:line="480" w:lineRule="exact"/>
              <w:ind w:firstLine="0" w:firstLineChars="0"/>
              <w:jc w:val="center"/>
              <w:rPr>
                <w:rFonts w:hint="eastAsia" w:cs="Times New Roman"/>
                <w:sz w:val="28"/>
                <w:szCs w:val="28"/>
                <w:shd w:val="clear" w:color="auto" w:fill="FFFFFF"/>
              </w:rPr>
            </w:pPr>
            <w:r>
              <w:rPr>
                <w:rFonts w:eastAsia="黑体" w:cs="Times New Roman"/>
                <w:bCs/>
                <w:sz w:val="28"/>
                <w:szCs w:val="28"/>
              </w:rPr>
              <w:t>专栏</w:t>
            </w:r>
            <w:r>
              <w:rPr>
                <w:rFonts w:hint="eastAsia" w:eastAsia="黑体" w:cs="Times New Roman"/>
                <w:bCs/>
                <w:sz w:val="28"/>
                <w:szCs w:val="28"/>
              </w:rPr>
              <w:t>16 平安建设重点方向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pStyle w:val="6"/>
              <w:spacing w:line="480" w:lineRule="exact"/>
              <w:ind w:firstLine="560"/>
              <w:rPr>
                <w:rFonts w:hint="eastAsia" w:cs="Times New Roman"/>
                <w:sz w:val="28"/>
                <w:szCs w:val="28"/>
              </w:rPr>
            </w:pPr>
            <w:r>
              <w:rPr>
                <w:rFonts w:hint="eastAsia" w:cs="Times New Roman"/>
                <w:sz w:val="28"/>
                <w:szCs w:val="28"/>
              </w:rPr>
              <w:t>安全生产智慧化管控。推广全链条安全风险防控模式，重点开展设备运行状态实时监测、人员不规范作业行为智能识别、安全隐患精准排查与快速响应处置等关键技术和装备推广。</w:t>
            </w:r>
          </w:p>
          <w:p>
            <w:pPr>
              <w:pStyle w:val="6"/>
              <w:spacing w:line="480" w:lineRule="exact"/>
              <w:ind w:firstLine="560"/>
              <w:rPr>
                <w:rFonts w:hint="eastAsia" w:cs="Times New Roman"/>
                <w:sz w:val="28"/>
                <w:szCs w:val="28"/>
              </w:rPr>
            </w:pPr>
            <w:r>
              <w:rPr>
                <w:rFonts w:hint="eastAsia" w:cs="Times New Roman"/>
                <w:sz w:val="28"/>
                <w:szCs w:val="28"/>
              </w:rPr>
              <w:t>自然灾害监测预警。完善地震、气象、山洪等灾害监测预警体系，开展地质灾害监测预警技术应用，健全兵地信息共享与应急联动机制。</w:t>
            </w:r>
          </w:p>
          <w:p>
            <w:pPr>
              <w:pStyle w:val="6"/>
              <w:spacing w:line="480" w:lineRule="exact"/>
              <w:ind w:firstLine="560"/>
              <w:rPr>
                <w:rFonts w:hint="eastAsia" w:cs="Times New Roman"/>
                <w:sz w:val="28"/>
                <w:szCs w:val="28"/>
              </w:rPr>
            </w:pPr>
            <w:r>
              <w:rPr>
                <w:rFonts w:hint="eastAsia" w:cs="Times New Roman"/>
                <w:sz w:val="28"/>
                <w:szCs w:val="28"/>
              </w:rPr>
              <w:t>应急指挥与通信保障。依托现有BIM和数字政府指挥平台基础，重点加强应急通信保障能力建设，探索数字化应急指挥辅助决策技术应用。</w:t>
            </w:r>
          </w:p>
          <w:p>
            <w:pPr>
              <w:pStyle w:val="6"/>
              <w:spacing w:line="480" w:lineRule="exact"/>
              <w:ind w:firstLine="560"/>
              <w:rPr>
                <w:rFonts w:hint="eastAsia" w:eastAsia="黑体" w:cs="Times New Roman"/>
                <w:b/>
                <w:bCs/>
                <w:sz w:val="28"/>
                <w:szCs w:val="28"/>
              </w:rPr>
            </w:pPr>
            <w:r>
              <w:rPr>
                <w:rFonts w:hint="eastAsia" w:cs="Times New Roman"/>
                <w:sz w:val="28"/>
                <w:szCs w:val="28"/>
              </w:rPr>
              <w:t>公共卫生与生物安全。健全传染病疫情监测预警和风险评估机制，完善应急响应体系和队伍建设。提升流行病学调查、检验检测及应急处置能力。</w:t>
            </w:r>
          </w:p>
        </w:tc>
      </w:tr>
    </w:tbl>
    <w:p>
      <w:pPr>
        <w:pStyle w:val="10"/>
        <w:numPr>
          <w:ilvl w:val="0"/>
          <w:numId w:val="3"/>
        </w:numPr>
        <w:ind w:firstLine="640"/>
        <w:rPr>
          <w:rFonts w:hint="eastAsia"/>
          <w:b w:val="0"/>
          <w:bCs w:val="0"/>
        </w:rPr>
      </w:pPr>
      <w:r>
        <w:rPr>
          <w:rFonts w:hint="eastAsia"/>
          <w:b w:val="0"/>
          <w:bCs w:val="0"/>
        </w:rPr>
        <w:t>生命健康</w:t>
      </w:r>
    </w:p>
    <w:p>
      <w:pPr>
        <w:rPr>
          <w:rFonts w:hint="eastAsia"/>
        </w:rPr>
      </w:pPr>
      <w:r>
        <w:rPr>
          <w:rFonts w:hint="eastAsia" w:ascii="Times New Roman" w:hAnsi="Times New Roman" w:cs="Times New Roman"/>
        </w:rPr>
        <w:t>围绕重大疾病防治、智慧康养和中医药传承创新等领域，推进关键技术引进与应用示范，提升卫生健康科技支撑能力。发挥“中医适宜技术培训中心”平台作用，开展针刀治疗、运动康复等中医药适宜技术研究与推广，建设基层中医药人才培养基地。探索物联网、大数据技术在老年人健康监测、慢病管理、紧急救助等场景的应用，依托智慧养老运营管理服务平台，推进“社区+平台+终端”智慧康养服务模式示范。</w:t>
      </w:r>
    </w:p>
    <w:p>
      <w:pPr>
        <w:keepNext/>
        <w:keepLines/>
        <w:adjustRightInd/>
        <w:snapToGrid/>
        <w:spacing w:before="468" w:beforeLines="150" w:after="468" w:afterLines="150" w:line="240" w:lineRule="auto"/>
        <w:ind w:firstLine="0" w:firstLineChars="0"/>
        <w:jc w:val="center"/>
        <w:outlineLvl w:val="0"/>
        <w:rPr>
          <w:rFonts w:hint="eastAsia"/>
        </w:rPr>
      </w:pPr>
      <w:bookmarkStart w:id="27" w:name="_Toc2791"/>
      <w:r>
        <w:rPr>
          <w:rFonts w:hint="eastAsia" w:ascii="Times New Roman" w:hAnsi="Times New Roman" w:eastAsia="方正小标宋简体" w:cs="Times New Roman"/>
          <w:bCs/>
          <w:spacing w:val="-11"/>
          <w:sz w:val="36"/>
          <w:szCs w:val="36"/>
        </w:rPr>
        <w:t>第四章 提升师市体系化科技创新能力</w:t>
      </w:r>
      <w:bookmarkEnd w:id="27"/>
    </w:p>
    <w:p>
      <w:pPr>
        <w:rPr>
          <w:rFonts w:hint="eastAsia"/>
        </w:rPr>
      </w:pPr>
      <w:r>
        <w:rPr>
          <w:rFonts w:hint="eastAsia"/>
        </w:rPr>
        <w:t>坚持以科技创新引领产业创新，强化企业主体地位，贯通创新链产业链资金链人才链，推动关键技术攻关与成果转化协同发力，加快培育新质生产力，塑造高质量发展新动能。</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28" w:name="_Toc26278"/>
      <w:r>
        <w:rPr>
          <w:rFonts w:hint="eastAsia" w:ascii="Times New Roman" w:hAnsi="Times New Roman" w:eastAsia="黑体" w:cs="Times New Roman"/>
          <w:bCs/>
        </w:rPr>
        <w:t>第一节 强化企业科技创新主体地位</w:t>
      </w:r>
      <w:bookmarkEnd w:id="28"/>
    </w:p>
    <w:p>
      <w:pPr>
        <w:pStyle w:val="10"/>
        <w:ind w:firstLine="640"/>
        <w:rPr>
          <w:rFonts w:hint="eastAsia"/>
          <w:b w:val="0"/>
          <w:bCs w:val="0"/>
        </w:rPr>
      </w:pPr>
      <w:r>
        <w:rPr>
          <w:rFonts w:hint="eastAsia"/>
          <w:b w:val="0"/>
          <w:bCs w:val="0"/>
        </w:rPr>
        <w:t>一、加强科技型企业梯度培育</w:t>
      </w:r>
    </w:p>
    <w:p>
      <w:pPr>
        <w:rPr>
          <w:rFonts w:hint="eastAsia"/>
        </w:rPr>
      </w:pPr>
      <w:r>
        <w:t>建立健全覆盖科技型企业初创、成长、壮大全生命周期的发现、遴选、培育及动态跟踪机制，完善以专精特新“小巨人”企业为龙头，高新技术企业、专精特新中小企业为主干，科技型中小企业、创新型中小企业为基础的创新型企业集群梯度培育体系，推进大中小企业协同创新。实施“高升规，规升高”培育计划，推动具备升规潜力的规下高新技术企业加快升级为规上企业，支持规上工业企业转型为高新技术企业。</w:t>
      </w:r>
    </w:p>
    <w:p>
      <w:pPr>
        <w:pStyle w:val="10"/>
        <w:numPr>
          <w:ilvl w:val="0"/>
          <w:numId w:val="4"/>
        </w:numPr>
        <w:ind w:firstLine="640"/>
        <w:rPr>
          <w:rFonts w:hint="eastAsia" w:ascii="Times New Roman"/>
          <w:b w:val="0"/>
          <w:bCs w:val="0"/>
        </w:rPr>
      </w:pPr>
      <w:r>
        <w:rPr>
          <w:rFonts w:ascii="Times New Roman"/>
          <w:b w:val="0"/>
          <w:bCs w:val="0"/>
        </w:rPr>
        <w:t>分类施策强化企业创新</w:t>
      </w:r>
    </w:p>
    <w:p>
      <w:pPr>
        <w:rPr>
          <w:rFonts w:hint="eastAsia"/>
        </w:rPr>
      </w:pPr>
      <w:r>
        <w:rPr>
          <w:rFonts w:hint="eastAsia"/>
        </w:rPr>
        <w:t>强化国有企业考核的创新导向，提高研发投入、重大成果等创新指标权重，落实国有企业“五加、两减、一保障”一揽子考核、激励、容错政策。支持国有企业牵头实施一批具有战略性、全局性、前瞻性的科技项目，对符合条件的高层次科技人才实行特殊工资管理制度，对科研人员探索实行股权、分红等中长期激励措施，提升企业核心竞争力。鼓励有能力、有条件的民营企业加强自主创新，联合国有企业及高等学校、科研机构开展关键共性技术攻关、合作建设科技创新平台，积极引育优秀人才、先进技术和装备。</w:t>
      </w:r>
    </w:p>
    <w:p>
      <w:pPr>
        <w:pStyle w:val="10"/>
        <w:numPr>
          <w:ilvl w:val="0"/>
          <w:numId w:val="4"/>
        </w:numPr>
        <w:ind w:firstLine="640"/>
        <w:rPr>
          <w:rFonts w:hint="eastAsia" w:ascii="Times New Roman"/>
          <w:b w:val="0"/>
          <w:bCs w:val="0"/>
        </w:rPr>
      </w:pPr>
      <w:r>
        <w:rPr>
          <w:rFonts w:hint="eastAsia" w:ascii="Times New Roman"/>
          <w:b w:val="0"/>
          <w:bCs w:val="0"/>
        </w:rPr>
        <w:t>推动</w:t>
      </w:r>
      <w:r>
        <w:rPr>
          <w:rFonts w:ascii="Times New Roman"/>
          <w:b w:val="0"/>
          <w:bCs w:val="0"/>
        </w:rPr>
        <w:t>创新要素向企业集聚</w:t>
      </w:r>
    </w:p>
    <w:p>
      <w:pPr>
        <w:rPr>
          <w:rFonts w:hint="eastAsia" w:cs="Times New Roman"/>
          <w:color w:val="0000FF"/>
          <w:kern w:val="0"/>
        </w:rPr>
      </w:pPr>
      <w:r>
        <w:rPr>
          <w:rFonts w:hint="eastAsia" w:cs="Times New Roman"/>
          <w:kern w:val="0"/>
        </w:rPr>
        <w:t>支持企业牵头组建创新联合体，建设面向产业需求的共性技术服务平台，推动科研基础设施和大型科研仪器向企业开放共享。优化科技项目组织机制，提高企业牵头或参与科技攻关项目比例，推动企业主导的产学研融通创新。建立企业常态化参与科技创新决策机制，提升企业技术和管理专家在项目指南编制、评审和验收中的参与比例。推动人才、技术、资金、平台等创新要素加速向企业集聚，让企业真正成为创新决策、研发投入和成果转化的主体。</w:t>
      </w:r>
    </w:p>
    <w:tbl>
      <w:tblPr>
        <w:tblStyle w:val="24"/>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1" w:type="dxa"/>
          </w:tcPr>
          <w:p>
            <w:pPr>
              <w:pStyle w:val="10"/>
              <w:spacing w:line="480" w:lineRule="exact"/>
              <w:ind w:firstLine="560"/>
              <w:jc w:val="center"/>
              <w:rPr>
                <w:rFonts w:hint="eastAsia" w:ascii="Times New Roman"/>
                <w:b w:val="0"/>
                <w:bCs w:val="0"/>
                <w:sz w:val="30"/>
                <w:szCs w:val="30"/>
              </w:rPr>
            </w:pPr>
            <w:r>
              <w:rPr>
                <w:rFonts w:ascii="Times New Roman" w:eastAsia="黑体"/>
                <w:b w:val="0"/>
                <w:bCs w:val="0"/>
                <w:sz w:val="28"/>
                <w:szCs w:val="28"/>
              </w:rPr>
              <w:t>专栏</w:t>
            </w:r>
            <w:r>
              <w:rPr>
                <w:rFonts w:hint="eastAsia" w:ascii="Times New Roman" w:eastAsia="黑体"/>
                <w:b w:val="0"/>
                <w:bCs w:val="0"/>
                <w:sz w:val="28"/>
                <w:szCs w:val="28"/>
              </w:rPr>
              <w:t>17</w:t>
            </w:r>
            <w:r>
              <w:rPr>
                <w:rFonts w:ascii="Times New Roman" w:eastAsia="黑体"/>
                <w:b w:val="0"/>
                <w:bCs w:val="0"/>
                <w:sz w:val="28"/>
                <w:szCs w:val="28"/>
              </w:rPr>
              <w:t xml:space="preserve">  </w:t>
            </w:r>
            <w:r>
              <w:rPr>
                <w:rFonts w:hint="eastAsia" w:ascii="Times New Roman" w:eastAsia="黑体"/>
                <w:b w:val="0"/>
                <w:bCs w:val="0"/>
                <w:sz w:val="28"/>
                <w:szCs w:val="28"/>
              </w:rPr>
              <w:t>企业科技创新主体地位重点方向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1" w:type="dxa"/>
          </w:tcPr>
          <w:p>
            <w:pPr>
              <w:pStyle w:val="6"/>
              <w:spacing w:line="480" w:lineRule="exact"/>
              <w:ind w:firstLine="560"/>
              <w:rPr>
                <w:rFonts w:hint="eastAsia" w:cs="Times New Roman"/>
                <w:sz w:val="28"/>
                <w:szCs w:val="28"/>
              </w:rPr>
            </w:pPr>
            <w:r>
              <w:rPr>
                <w:rFonts w:hint="eastAsia" w:cs="Times New Roman"/>
                <w:sz w:val="28"/>
                <w:szCs w:val="28"/>
              </w:rPr>
              <w:t>企业梯次培育体系。遵循“初创企业—科技型中小企业—高新技术企业—专精特新企业—行业领军企业”成长路径，对处于不同发展阶段的企业实施差异化培育策略，形成创新型企业梯次成长格局。</w:t>
            </w:r>
          </w:p>
          <w:p>
            <w:pPr>
              <w:pStyle w:val="6"/>
              <w:spacing w:line="480" w:lineRule="exact"/>
              <w:ind w:firstLine="560"/>
              <w:rPr>
                <w:rFonts w:hint="eastAsia" w:cs="Times New Roman"/>
                <w:sz w:val="28"/>
                <w:szCs w:val="28"/>
              </w:rPr>
            </w:pPr>
            <w:r>
              <w:rPr>
                <w:rFonts w:hint="eastAsia" w:cs="Times New Roman"/>
                <w:sz w:val="28"/>
                <w:szCs w:val="28"/>
              </w:rPr>
              <w:t>国有企业创新活力激发。建立健全国有企业科技创新容错纠错机制，赋予科研人员职务科技成果所有权或长期使用权，推行“揭榜挂帅”“赛马”等竞争性项目组织方式，激发国有企业创新活力。</w:t>
            </w:r>
          </w:p>
          <w:p>
            <w:pPr>
              <w:pStyle w:val="6"/>
              <w:spacing w:line="480" w:lineRule="exact"/>
              <w:ind w:firstLine="560"/>
              <w:rPr>
                <w:rFonts w:hint="eastAsia" w:eastAsia="黑体" w:cs="Times New Roman"/>
                <w:sz w:val="32"/>
                <w:szCs w:val="32"/>
              </w:rPr>
            </w:pPr>
            <w:r>
              <w:rPr>
                <w:rFonts w:hint="eastAsia" w:cs="Times New Roman"/>
                <w:sz w:val="28"/>
                <w:szCs w:val="28"/>
              </w:rPr>
              <w:t>企业主导产学研融合。支持企业主导的产学研深度融合，鼓励企业作为技术需求提出方和成果转化承接方，与高校、科研院所建立联合实验室、技术研究中心等研发平台，开展订单式定向研发和定制化技术攻关。</w:t>
            </w:r>
          </w:p>
        </w:tc>
      </w:tr>
    </w:tbl>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29" w:name="_Toc28272"/>
      <w:r>
        <w:rPr>
          <w:rFonts w:hint="eastAsia" w:ascii="Times New Roman" w:hAnsi="Times New Roman" w:eastAsia="黑体" w:cs="Times New Roman"/>
          <w:bCs/>
        </w:rPr>
        <w:t xml:space="preserve">第二节 </w:t>
      </w:r>
      <w:bookmarkEnd w:id="29"/>
      <w:r>
        <w:rPr>
          <w:rFonts w:hint="eastAsia" w:ascii="Times New Roman" w:hAnsi="Times New Roman" w:eastAsia="黑体" w:cs="Times New Roman"/>
          <w:bCs/>
        </w:rPr>
        <w:t>推进高能级科技创新平台建设</w:t>
      </w:r>
    </w:p>
    <w:p>
      <w:pPr>
        <w:rPr>
          <w:rFonts w:hint="eastAsia"/>
        </w:rPr>
      </w:pPr>
      <w:r>
        <w:rPr>
          <w:rFonts w:hint="eastAsia"/>
        </w:rPr>
        <w:t>围绕师市重点产业和民生领域发展需求，整合优化现有创新平台资源布局，推动创新平台提质增效、提档升级。在现有师市级重点实验室、工程技术研究中心等创新平台基础上，聚焦新能源、新材料、农产品精深加工、生物制造、绿色算力等重点产业领域，加快培育建设一批兵团级重点实验室、工程技术研究中心和技术创新中心，力争实现兵团级创新平台“零的突破”。完善创新平台管理办法和运行机制，强化绩效评估与动态管理，引导平台围绕产业关键技术需求开展研发活动。支持企业联合高等院校、科研院所共建创新平台，推动产学研协同创新。加强创新平台开放共享，促进科研基础设施和大型仪器设备向社会开放服务。</w:t>
      </w:r>
    </w:p>
    <w:tbl>
      <w:tblPr>
        <w:tblStyle w:val="24"/>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1" w:type="dxa"/>
          </w:tcPr>
          <w:p>
            <w:pPr>
              <w:pStyle w:val="10"/>
              <w:spacing w:line="480" w:lineRule="exact"/>
              <w:ind w:firstLine="560"/>
              <w:jc w:val="center"/>
              <w:rPr>
                <w:rFonts w:hint="eastAsia" w:ascii="Times New Roman"/>
                <w:b w:val="0"/>
                <w:bCs w:val="0"/>
                <w:sz w:val="30"/>
                <w:szCs w:val="30"/>
              </w:rPr>
            </w:pPr>
            <w:r>
              <w:rPr>
                <w:rFonts w:ascii="Times New Roman" w:eastAsia="黑体"/>
                <w:b w:val="0"/>
                <w:bCs w:val="0"/>
                <w:sz w:val="28"/>
                <w:szCs w:val="28"/>
              </w:rPr>
              <w:t>专栏</w:t>
            </w:r>
            <w:r>
              <w:rPr>
                <w:rFonts w:hint="eastAsia" w:ascii="Times New Roman" w:eastAsia="黑体"/>
                <w:b w:val="0"/>
                <w:bCs w:val="0"/>
                <w:sz w:val="28"/>
                <w:szCs w:val="28"/>
              </w:rPr>
              <w:t>18</w:t>
            </w:r>
            <w:r>
              <w:rPr>
                <w:rFonts w:ascii="Times New Roman" w:eastAsia="黑体"/>
                <w:b w:val="0"/>
                <w:bCs w:val="0"/>
                <w:sz w:val="28"/>
                <w:szCs w:val="28"/>
              </w:rPr>
              <w:t xml:space="preserve">  </w:t>
            </w:r>
            <w:r>
              <w:rPr>
                <w:rFonts w:hint="eastAsia" w:ascii="Times New Roman" w:eastAsia="黑体"/>
                <w:b w:val="0"/>
                <w:bCs w:val="0"/>
                <w:sz w:val="28"/>
                <w:szCs w:val="28"/>
              </w:rPr>
              <w:t>科技创新平台建设重点方向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1" w:type="dxa"/>
          </w:tcPr>
          <w:p>
            <w:pPr>
              <w:pStyle w:val="6"/>
              <w:spacing w:line="480" w:lineRule="exact"/>
              <w:ind w:firstLine="560"/>
              <w:rPr>
                <w:rFonts w:hint="eastAsia" w:cs="Times New Roman"/>
                <w:sz w:val="28"/>
                <w:szCs w:val="28"/>
              </w:rPr>
            </w:pPr>
            <w:r>
              <w:rPr>
                <w:rFonts w:hint="eastAsia" w:cs="Times New Roman"/>
                <w:sz w:val="28"/>
                <w:szCs w:val="28"/>
              </w:rPr>
              <w:t>兵团级创新平台培育。围绕新能源、新材料、农产品精深加工等重点产业领域，对标兵团重点实验室、工程技术研究中心认定标准，遴选基础较好的师市级创新平台进行重点培育，力争“十五五”期间实现兵团级创新平台零的突破。</w:t>
            </w:r>
          </w:p>
          <w:p>
            <w:pPr>
              <w:pStyle w:val="6"/>
              <w:spacing w:line="480" w:lineRule="exact"/>
              <w:ind w:firstLine="560"/>
              <w:rPr>
                <w:rFonts w:hint="eastAsia" w:cs="Times New Roman"/>
                <w:sz w:val="28"/>
                <w:szCs w:val="28"/>
              </w:rPr>
            </w:pPr>
            <w:r>
              <w:rPr>
                <w:rFonts w:hint="eastAsia" w:cs="Times New Roman"/>
                <w:sz w:val="28"/>
                <w:szCs w:val="28"/>
              </w:rPr>
              <w:t>师市级创新平台提质增效。优化整合现有师市级重点实验室、工程技术研究中心等创新平台，强化绩效评估与动态管理，推动平台围绕产业关键技术需求开展研发活动。支持符合条件的企事业单位申报认定师市级重点实验室、工程技术研究中心、临床医学研究中心和新型研发机构。</w:t>
            </w:r>
          </w:p>
          <w:p>
            <w:pPr>
              <w:pStyle w:val="6"/>
              <w:spacing w:line="480" w:lineRule="exact"/>
              <w:ind w:firstLine="560"/>
              <w:rPr>
                <w:rFonts w:hint="eastAsia" w:eastAsia="黑体" w:cs="Times New Roman"/>
                <w:sz w:val="32"/>
                <w:szCs w:val="32"/>
              </w:rPr>
            </w:pPr>
            <w:r>
              <w:rPr>
                <w:rFonts w:hint="eastAsia" w:cs="Times New Roman"/>
                <w:sz w:val="28"/>
                <w:szCs w:val="28"/>
              </w:rPr>
              <w:t>产学研协同创新平台建设。支持企业与高等院校、科研院所共建联合实验室、技术研发中心等创新平台，推动产学研协同创新。依托阿拉山口—双河创新基地，吸引高校科研机构在师市设立分支机构或联合实验室。</w:t>
            </w:r>
          </w:p>
        </w:tc>
      </w:tr>
    </w:tbl>
    <w:p>
      <w:pPr>
        <w:keepNext/>
        <w:keepLines/>
        <w:adjustRightInd/>
        <w:snapToGrid/>
        <w:spacing w:before="156" w:beforeLines="50" w:after="156" w:afterLines="50"/>
        <w:ind w:firstLine="0" w:firstLineChars="0"/>
        <w:jc w:val="center"/>
        <w:outlineLvl w:val="1"/>
        <w:rPr>
          <w:rFonts w:hint="eastAsia"/>
        </w:rPr>
      </w:pPr>
      <w:bookmarkStart w:id="30" w:name="_Toc19056"/>
      <w:r>
        <w:rPr>
          <w:rFonts w:ascii="Times New Roman" w:hAnsi="Times New Roman" w:eastAsia="黑体" w:cs="Times New Roman"/>
          <w:bCs/>
        </w:rPr>
        <w:t>第</w:t>
      </w:r>
      <w:r>
        <w:rPr>
          <w:rFonts w:hint="eastAsia" w:ascii="Times New Roman" w:hAnsi="Times New Roman" w:eastAsia="黑体" w:cs="Times New Roman"/>
          <w:bCs/>
        </w:rPr>
        <w:t>三</w:t>
      </w:r>
      <w:r>
        <w:rPr>
          <w:rFonts w:ascii="Times New Roman" w:hAnsi="Times New Roman" w:eastAsia="黑体" w:cs="Times New Roman"/>
          <w:bCs/>
        </w:rPr>
        <w:t>节 深化科技体制机制改革</w:t>
      </w:r>
      <w:bookmarkEnd w:id="30"/>
    </w:p>
    <w:p>
      <w:pPr>
        <w:rPr>
          <w:rFonts w:hint="eastAsia"/>
        </w:rPr>
      </w:pPr>
      <w:r>
        <w:t>一、优化科技计划管理机制</w:t>
      </w:r>
    </w:p>
    <w:p>
      <w:pPr>
        <w:rPr>
          <w:rFonts w:hint="eastAsia"/>
        </w:rPr>
      </w:pPr>
      <w:r>
        <w:t>围绕现代农业、农产品精深加工、新能源、新材料、生物制造、绿色算力、口岸经济等领域，优化科技计划布局，建立重点突出、层次清晰、精准高效的项目体系</w:t>
      </w:r>
      <w:r>
        <w:rPr>
          <w:rFonts w:hint="eastAsia"/>
        </w:rPr>
        <w:t>，</w:t>
      </w:r>
      <w:r>
        <w:t>推动科技项目更多向重点产业、重点企业、重点园区和重点场景集聚。完善项目储备、立项评审、过程管理、验收评价全链条管理机制，强化财政科技资金统筹使用，提高资金配置效率和使用效益，推动科技计划与产业需求、企业需求、发展需求精准衔接。</w:t>
      </w:r>
    </w:p>
    <w:p>
      <w:pPr>
        <w:rPr>
          <w:rFonts w:hint="eastAsia"/>
        </w:rPr>
      </w:pPr>
      <w:r>
        <w:t>二、创新科技项目组织方式</w:t>
      </w:r>
    </w:p>
    <w:p>
      <w:pPr>
        <w:rPr>
          <w:rFonts w:hint="eastAsia"/>
        </w:rPr>
      </w:pPr>
      <w:r>
        <w:t>围绕师市产业链关键环节和企业技术瓶颈，探索实行“揭榜挂帅”“赛马制”“定向委托”“联合攻关”等项目组织方式，推动科技项目从“政府选题”向“需求出题、企业答题、市场验题”转变。提高企业牵头或参与科技项目比例，支持链主企业、骨干企业联合高校、科研院所、金融机构和产业链上下游企业组建创新联合体，开展关键共性技术攻关和成果转化应用。鼓励在农业提质增效、绿色低碳转型、智能化改造、算力应用、口岸物流等领域开放应用场景，以场景牵引技术迭代和产业升级。</w:t>
      </w:r>
    </w:p>
    <w:p>
      <w:pPr>
        <w:rPr>
          <w:rFonts w:hint="eastAsia"/>
        </w:rPr>
      </w:pPr>
      <w:r>
        <w:rPr>
          <w:rFonts w:hint="eastAsia"/>
        </w:rPr>
        <w:t>三、完善科技创新激励与保障机制</w:t>
      </w:r>
    </w:p>
    <w:p>
      <w:pPr>
        <w:rPr>
          <w:rFonts w:hint="eastAsia"/>
        </w:rPr>
      </w:pPr>
      <w:r>
        <w:rPr>
          <w:rFonts w:hint="eastAsia"/>
        </w:rPr>
        <w:t>遵循科研活动规律，健全鼓励创新、宽容失败、尽职免责制度，完善试错容错纠错机制和科研自由探索、颠覆性技术创新免责制度，推行包容审慎监管，保护各类主体创新创业积极性。健全以质量、绩效、贡献为导向的科技评价体系，突出创新价值、转化实效、产业贡献和社会效益，完善科技项目绩效评价和持续支持机制。强化评价结果运用，将项目绩效与后续支持、平台建设、企业培育、人才推荐、科技奖励等挂钩，积极推荐申报各级科学技术奖励，激发科研人员和企业创新活力，营造良好创新生态。</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1" w:name="_Toc20232"/>
      <w:r>
        <w:rPr>
          <w:rFonts w:ascii="Times New Roman" w:hAnsi="Times New Roman" w:eastAsia="黑体" w:cs="Times New Roman"/>
          <w:bCs/>
        </w:rPr>
        <w:t>第</w:t>
      </w:r>
      <w:r>
        <w:rPr>
          <w:rFonts w:hint="eastAsia" w:ascii="Times New Roman" w:hAnsi="Times New Roman" w:eastAsia="黑体" w:cs="Times New Roman"/>
          <w:bCs/>
        </w:rPr>
        <w:t>四</w:t>
      </w:r>
      <w:r>
        <w:rPr>
          <w:rFonts w:ascii="Times New Roman" w:hAnsi="Times New Roman" w:eastAsia="黑体" w:cs="Times New Roman"/>
          <w:bCs/>
        </w:rPr>
        <w:t xml:space="preserve">节 </w:t>
      </w:r>
      <w:bookmarkEnd w:id="31"/>
      <w:r>
        <w:rPr>
          <w:rFonts w:ascii="Times New Roman" w:hAnsi="Times New Roman" w:eastAsia="黑体" w:cs="Times New Roman"/>
          <w:bCs/>
        </w:rPr>
        <w:t>加快科技成果转化应用</w:t>
      </w:r>
    </w:p>
    <w:p>
      <w:pPr>
        <w:rPr>
          <w:rFonts w:hint="eastAsia"/>
        </w:rPr>
      </w:pPr>
      <w:r>
        <w:t>一、健全科技成果转化制度体系</w:t>
      </w:r>
    </w:p>
    <w:p>
      <w:pPr>
        <w:rPr>
          <w:rFonts w:hint="eastAsia"/>
        </w:rPr>
      </w:pPr>
      <w:r>
        <w:t>健全科技成果登记、评价、交易、转化、应用全流程服务机制，落实科技成果转化激励政策。支持高校、科研院所和企业依法开展成果转让、许可、合作开发和产业化应用，探索“先使用后付费”等转化模式，推动成果供给、技术需求、金融服务和应用场景有效衔接。强化政策集成和部门协同，打通成果确权、价值评估、交易流转、收益分配等关键环节，充分激发科研人员、创新团队和企业转化科技成果的积极性，推动更多科技成果在师市转化为现实生产力。</w:t>
      </w:r>
    </w:p>
    <w:p>
      <w:pPr>
        <w:rPr>
          <w:rFonts w:hint="eastAsia"/>
        </w:rPr>
      </w:pPr>
      <w:r>
        <w:t>二、推动成果供给与产业需求精准匹配</w:t>
      </w:r>
    </w:p>
    <w:p>
      <w:pPr>
        <w:rPr>
          <w:rFonts w:hint="eastAsia"/>
        </w:rPr>
      </w:pPr>
      <w:r>
        <w:t>坚持产业需求导向和应用场景牵引，围绕现代农业、农产品精深加工、新能源、新材料、生物制造、绿色算力、口岸经济等重点领域，系统梳理可转化成果，同步摸排重点园区、重点企业技术需求，建立成果供给、技术需求和转化项目清单。依托双河经开区等载体，常态化开展成果发布、技术路演、项目对接、专家入企和场景对接活动，推动先进适用技术向产业链关键环节集聚。聚焦企业生产经营中的堵点、痛点和难点，组织实施一批“小切口、见效快、带动强”的成果转化项目，提升科技创新对产业升级的支撑能力。</w:t>
      </w:r>
    </w:p>
    <w:p>
      <w:pPr>
        <w:rPr>
          <w:rFonts w:hint="eastAsia"/>
        </w:rPr>
      </w:pPr>
      <w:r>
        <w:t>三、培育成果转化专业服务体系</w:t>
      </w:r>
    </w:p>
    <w:p>
      <w:pPr>
        <w:rPr>
          <w:rFonts w:hint="eastAsia"/>
        </w:rPr>
      </w:pPr>
      <w:r>
        <w:t>培育专业化、市场化科技成果转化服务体系，支持发展技术转移机构、知识产权运营机构和科技咨询服务机构，壮大技术经理人、技术经纪人、科技评估师等专业队伍。围绕成果评价、技术评估、知识产权布局、商务谈判、投融资对接、项目落地等环节，提供全链条服务。鼓励企业牵头联合高校、科研院所和服务机构建设成果转化示范基地，推动农业新品种、绿色种养技术、农产品加工技术、智能制造技术、节能降碳技术等在师市加快落地应用。</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2" w:name="_Toc24421"/>
      <w:r>
        <w:rPr>
          <w:rFonts w:ascii="Times New Roman" w:hAnsi="Times New Roman" w:eastAsia="黑体" w:cs="Times New Roman"/>
          <w:bCs/>
        </w:rPr>
        <w:t>第</w:t>
      </w:r>
      <w:r>
        <w:rPr>
          <w:rFonts w:hint="eastAsia" w:ascii="Times New Roman" w:hAnsi="Times New Roman" w:eastAsia="黑体" w:cs="Times New Roman"/>
          <w:bCs/>
        </w:rPr>
        <w:t>五</w:t>
      </w:r>
      <w:r>
        <w:rPr>
          <w:rFonts w:ascii="Times New Roman" w:hAnsi="Times New Roman" w:eastAsia="黑体" w:cs="Times New Roman"/>
          <w:bCs/>
        </w:rPr>
        <w:t>节 强化科技金融支撑作用</w:t>
      </w:r>
      <w:bookmarkEnd w:id="32"/>
    </w:p>
    <w:p>
      <w:pPr>
        <w:rPr>
          <w:rFonts w:hint="eastAsia"/>
        </w:rPr>
      </w:pPr>
      <w:r>
        <w:rPr>
          <w:rFonts w:hint="eastAsia"/>
        </w:rPr>
        <w:t>一、</w:t>
      </w:r>
      <w:r>
        <w:t>提升科技信贷精准供给能力</w:t>
      </w:r>
    </w:p>
    <w:p>
      <w:pPr>
        <w:rPr>
          <w:rFonts w:hint="eastAsia"/>
        </w:rPr>
      </w:pPr>
      <w:r>
        <w:t>鼓励银行业金融机构运用数字金融手段创新科技信贷产品和服务，覆盖科技型企业全生命周期融资需求。推广“专精特新贷”“科技成果转化贷”“知识产权质押贷”“人才贷”“研发贷”等特色产品，发展信用贷款、中长期贷款、无还本续贷和知识产权质押融资。推广“创新积分制”，赋能金融机构开展精准化信贷服务。</w:t>
      </w:r>
    </w:p>
    <w:p>
      <w:pPr>
        <w:numPr>
          <w:ilvl w:val="0"/>
          <w:numId w:val="5"/>
        </w:numPr>
        <w:rPr>
          <w:rFonts w:hint="eastAsia"/>
        </w:rPr>
      </w:pPr>
      <w:r>
        <w:t>拓宽科技企业直接融资渠道</w:t>
      </w:r>
    </w:p>
    <w:p>
      <w:pPr>
        <w:rPr>
          <w:rFonts w:hint="eastAsia"/>
        </w:rPr>
      </w:pPr>
      <w:r>
        <w:t>支持符合条件的科技型企业发行科技创新公司债券、科创票据、资产支持证券等直接融资产品。培育推动科技型企业在新三板、区域性股权市场挂牌融资，提升资本市场对科技创新的支撑能力。引导创业投资基金、产业投资基金等加大对种子期、初创期科技型企业支持力度，培育壮大长期资本、耐心资本，坚持投早、投小、投长期、投硬科技，促进创新链、产业链、资金链深度融合。</w:t>
      </w:r>
    </w:p>
    <w:p>
      <w:pPr>
        <w:rPr>
          <w:rFonts w:hint="eastAsia"/>
        </w:rPr>
      </w:pPr>
      <w:r>
        <w:t>三、完善科技金融政策协同机制</w:t>
      </w:r>
    </w:p>
    <w:p>
      <w:pPr>
        <w:rPr>
          <w:rFonts w:hint="eastAsia"/>
        </w:rPr>
      </w:pPr>
      <w:r>
        <w:t>推动研发费用加计扣除、高新技术企业税收优惠、技术交易税收优惠等政策直达快享，强化财政奖补、融资担保、风险补偿、贷款贴息等政策协同，降低企业创新成本和融资成本。健全政银企常态化对接机制，建立科技型企业融资需求清单和重点企业服务台账，提升科技金融服务质效。</w:t>
      </w:r>
    </w:p>
    <w:p>
      <w:pPr>
        <w:keepNext/>
        <w:keepLines/>
        <w:adjustRightInd/>
        <w:snapToGrid/>
        <w:spacing w:before="156" w:beforeLines="50" w:after="156" w:afterLines="50"/>
        <w:ind w:firstLine="0" w:firstLineChars="0"/>
        <w:jc w:val="center"/>
        <w:outlineLvl w:val="1"/>
        <w:rPr>
          <w:rFonts w:hint="eastAsia"/>
        </w:rPr>
      </w:pPr>
      <w:bookmarkStart w:id="33" w:name="_Toc23569"/>
      <w:r>
        <w:rPr>
          <w:rFonts w:ascii="Times New Roman" w:hAnsi="Times New Roman" w:eastAsia="黑体" w:cs="Times New Roman"/>
          <w:bCs/>
        </w:rPr>
        <w:t>第</w:t>
      </w:r>
      <w:r>
        <w:rPr>
          <w:rFonts w:hint="eastAsia" w:ascii="Times New Roman" w:hAnsi="Times New Roman" w:eastAsia="黑体" w:cs="Times New Roman"/>
          <w:bCs/>
        </w:rPr>
        <w:t>六</w:t>
      </w:r>
      <w:r>
        <w:rPr>
          <w:rFonts w:ascii="Times New Roman" w:hAnsi="Times New Roman" w:eastAsia="黑体" w:cs="Times New Roman"/>
          <w:bCs/>
        </w:rPr>
        <w:t xml:space="preserve">节 </w:t>
      </w:r>
      <w:bookmarkEnd w:id="33"/>
      <w:r>
        <w:rPr>
          <w:rFonts w:ascii="Times New Roman" w:hAnsi="Times New Roman" w:eastAsia="黑体" w:cs="Times New Roman"/>
          <w:bCs/>
        </w:rPr>
        <w:t>培养集聚高水平科技创新人才</w:t>
      </w:r>
    </w:p>
    <w:p>
      <w:pPr>
        <w:rPr>
          <w:rFonts w:hint="eastAsia"/>
        </w:rPr>
      </w:pPr>
      <w:r>
        <w:t>一、提升高层次人才引进质效</w:t>
      </w:r>
    </w:p>
    <w:p>
      <w:pPr>
        <w:rPr>
          <w:rFonts w:hint="eastAsia"/>
        </w:rPr>
      </w:pPr>
      <w:r>
        <w:t>坚持人才引领驱动，统筹教育科技人才一体推进，深入实施人才兴师市战略，擦亮“智汇双河”特色人才品牌，以“引才提质、育才固本、用才增效、留才暖心”为主线，聚焦师市主导产业、重点领域和重大创新平台建设需求，构建引育留用全链条人才工作体系。实施“百名硕博进双河”等专项行动，靶向引进高层次科技领军人才、创新团队、青年科技人才、高技能人才和急需紧缺人才。完善柔性引才、项目引才、平台引才机制，吸引退休专家、行业领军人才参与关键技术攻关和重点项目合作，借助援疆省市高校、石河子大学、兵团农科院等创新资源赋能师市高质量发展。</w:t>
      </w:r>
    </w:p>
    <w:p>
      <w:pPr>
        <w:rPr>
          <w:rFonts w:hint="eastAsia"/>
        </w:rPr>
      </w:pPr>
      <w:r>
        <w:t>二、加强本土科技人才培育</w:t>
      </w:r>
    </w:p>
    <w:p>
      <w:pPr>
        <w:rPr>
          <w:rFonts w:hint="eastAsia"/>
        </w:rPr>
      </w:pPr>
      <w:r>
        <w:t>坚持本土培养与外部引进并重，依托高校、科研院所、职业院校、骨干企业和园区平台，深化产教融合、科教融汇，推进“人才+项目”培养模式和“团队带团队、专家带骨干、师傅带徒弟”帮带机制，培育一批懂技术、善创新、能转化、扎根师市的本土专业技术人才、青年科研骨干和产业技能人才。强化企业用才育才主体地位，支持企业与高校、科研院所、双河职业技术学院共建研发平台、实训基地和人才培养载体，开展订单式、项目制、联合式培养，促进人才链、创新链、产业链深度融合。</w:t>
      </w:r>
    </w:p>
    <w:p>
      <w:pPr>
        <w:rPr>
          <w:rFonts w:hint="eastAsia"/>
        </w:rPr>
      </w:pPr>
      <w:r>
        <w:t>三、优化人才发展服务生态</w:t>
      </w:r>
    </w:p>
    <w:p>
      <w:pPr>
        <w:rPr>
          <w:rFonts w:hint="eastAsia"/>
        </w:rPr>
      </w:pPr>
      <w:r>
        <w:t>健全以创新能力、质量、实效、贡献为导向的科技人才评价和激励机制，完善职称评审、岗位聘用、项目支持、成果转化收益分配等制度，强化青年科技人才培育扶持。健全人才服务保障体系，精准解决住房、子女教育、医疗保障等实际需求，营造尊重人才、关爱人才、成就人才的良好生态，打造结构合理、梯次衔接、扎根师市、支撑有力的科技创新人才队伍，为培育发展新质生产力提供坚实人才支撑。</w:t>
      </w:r>
    </w:p>
    <w:p>
      <w:pPr>
        <w:keepNext/>
        <w:keepLines/>
        <w:adjustRightInd/>
        <w:snapToGrid/>
        <w:spacing w:before="468" w:beforeLines="150" w:after="468" w:afterLines="150" w:line="240" w:lineRule="auto"/>
        <w:ind w:firstLine="0" w:firstLineChars="0"/>
        <w:jc w:val="center"/>
        <w:outlineLvl w:val="0"/>
        <w:rPr>
          <w:rFonts w:ascii="Times New Roman" w:hAnsi="Times New Roman" w:eastAsia="方正小标宋简体" w:cs="Times New Roman"/>
          <w:bCs/>
          <w:spacing w:val="-11"/>
          <w:sz w:val="36"/>
          <w:szCs w:val="36"/>
        </w:rPr>
      </w:pPr>
      <w:bookmarkStart w:id="34" w:name="_Toc1075"/>
      <w:r>
        <w:rPr>
          <w:rFonts w:hint="eastAsia" w:ascii="Times New Roman" w:hAnsi="Times New Roman" w:eastAsia="方正小标宋简体" w:cs="Times New Roman"/>
          <w:bCs/>
          <w:spacing w:val="-11"/>
          <w:sz w:val="36"/>
          <w:szCs w:val="36"/>
        </w:rPr>
        <w:t xml:space="preserve">第五章 </w:t>
      </w:r>
      <w:bookmarkEnd w:id="34"/>
      <w:r>
        <w:rPr>
          <w:rFonts w:hint="eastAsia" w:ascii="Times New Roman" w:hAnsi="Times New Roman" w:eastAsia="方正小标宋简体" w:cs="Times New Roman"/>
          <w:bCs/>
          <w:spacing w:val="-11"/>
          <w:sz w:val="36"/>
          <w:szCs w:val="36"/>
        </w:rPr>
        <w:t>构建协同开放科技创新新格局</w:t>
      </w:r>
    </w:p>
    <w:p>
      <w:pPr>
        <w:jc w:val="left"/>
        <w:rPr>
          <w:rFonts w:hint="eastAsia"/>
        </w:rPr>
      </w:pPr>
      <w:r>
        <w:rPr>
          <w:rFonts w:hint="eastAsia"/>
        </w:rPr>
        <w:t>坚持开放合作、协同共赢，统筹推进兵地融合、援疆合作与中亚交流，构建内外联动、双向互济的开放合作体系，在更大范围汇聚资源、更广领域拓展空间、更深层次融入区域创新格局，以协同开放为师市科技创新注入新动能。</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5" w:name="_Toc31497"/>
      <w:r>
        <w:rPr>
          <w:rFonts w:hint="eastAsia" w:ascii="Times New Roman" w:hAnsi="Times New Roman" w:eastAsia="黑体" w:cs="Times New Roman"/>
          <w:bCs/>
        </w:rPr>
        <w:t xml:space="preserve">第一节 </w:t>
      </w:r>
      <w:bookmarkEnd w:id="35"/>
      <w:r>
        <w:rPr>
          <w:rFonts w:hint="eastAsia" w:ascii="Times New Roman" w:hAnsi="Times New Roman" w:eastAsia="黑体" w:cs="Times New Roman"/>
          <w:bCs/>
          <w:lang w:val="en-US" w:eastAsia="zh-CN"/>
        </w:rPr>
        <w:t>□□□□□□□□□</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6" w:name="_Toc11205"/>
      <w:bookmarkStart w:id="47" w:name="_GoBack"/>
      <w:bookmarkEnd w:id="47"/>
      <w:r>
        <w:rPr>
          <w:rFonts w:hint="eastAsia" w:ascii="Times New Roman" w:hAnsi="Times New Roman" w:eastAsia="黑体" w:cs="Times New Roman"/>
          <w:bCs/>
        </w:rPr>
        <w:t xml:space="preserve">第二节 </w:t>
      </w:r>
      <w:bookmarkEnd w:id="36"/>
      <w:r>
        <w:rPr>
          <w:rFonts w:hint="eastAsia" w:ascii="Times New Roman" w:hAnsi="Times New Roman" w:eastAsia="黑体" w:cs="Times New Roman"/>
          <w:bCs/>
        </w:rPr>
        <w:t>深化援疆科技交流合作</w:t>
      </w:r>
    </w:p>
    <w:p>
      <w:pPr>
        <w:jc w:val="left"/>
        <w:rPr>
          <w:rFonts w:hint="eastAsia"/>
        </w:rPr>
      </w:pPr>
      <w:r>
        <w:rPr>
          <w:rFonts w:hint="eastAsia"/>
        </w:rPr>
        <w:t>坚持把科技援疆作为集聚创新资源、补齐创新短板、增强发展后劲的重要抓手，紧扣产业发展和民生改善需求，推动科技援疆由项目支持向能力建设拓展、由短期帮扶向长效合作深化。围绕现代农业、农产品加工、节水灌溉、生态治理等重点领域，深化与援疆省市高校、科研院所和科技型企业协同创新，组织开展关键技术攻关、成果转化和示范推广，推动先进适用技术落地应用。依托园区、重点企业和农业示范基地，推进专家工作站、技术服务中心、成果转化基地等载体建设，提升科技援疆平台承载能力。健全科技成果供需对接机制，强化本地科技人才培养，完善交流培训、驻点指导、联合攻关等机制，提高科技援疆精准性和实效性。</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7" w:name="_Toc28939"/>
      <w:r>
        <w:rPr>
          <w:rFonts w:hint="eastAsia" w:ascii="Times New Roman" w:hAnsi="Times New Roman" w:eastAsia="黑体" w:cs="Times New Roman"/>
          <w:bCs/>
        </w:rPr>
        <w:t xml:space="preserve">第三节 </w:t>
      </w:r>
      <w:bookmarkEnd w:id="37"/>
      <w:r>
        <w:rPr>
          <w:rFonts w:hint="eastAsia" w:ascii="Times New Roman" w:hAnsi="Times New Roman" w:eastAsia="黑体" w:cs="Times New Roman"/>
          <w:bCs/>
        </w:rPr>
        <w:t>拓展中亚科技合作网络</w:t>
      </w:r>
    </w:p>
    <w:p>
      <w:pPr>
        <w:jc w:val="left"/>
        <w:rPr>
          <w:rFonts w:hint="eastAsia"/>
        </w:rPr>
      </w:pPr>
      <w:r>
        <w:rPr>
          <w:rFonts w:hint="eastAsia" w:hAnsi="仿宋_GB2312" w:cs="仿宋_GB2312"/>
        </w:rPr>
        <w:t>深度融入“一带一路”科技创新合作，稳步拓展对中亚国家科技交流与产业合作，打造向西开放科技合作前沿窗口。依托口岸通道优势，推动智能温室、节水灌溉设备、智能农机等优势产品出口，促进农业科技成果与技术服务走向中亚市场。积极搭建跨境科技合作载体，对接中国—中亚国际技术转移中心功能，聚焦农业种养、农产品加工、生态环保等领域，推动技术交流、联合研发与成果转化合作。围绕中亚地区农业技术需求，组织企业开展技术推介与项目对接，推动合作意向转化为具体项目。深化跨境科技人才交流，拓展创新要素跨境流通渠道，构建互利共赢、务实高效的中亚科技合作网络。</w:t>
      </w:r>
    </w:p>
    <w:p>
      <w:pPr>
        <w:keepNext/>
        <w:keepLines/>
        <w:adjustRightInd/>
        <w:snapToGrid/>
        <w:spacing w:before="468" w:beforeLines="150" w:after="468" w:afterLines="150" w:line="240" w:lineRule="auto"/>
        <w:ind w:firstLine="0" w:firstLineChars="0"/>
        <w:jc w:val="center"/>
        <w:outlineLvl w:val="0"/>
        <w:rPr>
          <w:rFonts w:ascii="Times New Roman" w:hAnsi="Times New Roman" w:eastAsia="方正小标宋简体" w:cs="Times New Roman"/>
          <w:bCs/>
          <w:spacing w:val="-11"/>
          <w:sz w:val="36"/>
          <w:szCs w:val="36"/>
        </w:rPr>
      </w:pPr>
      <w:bookmarkStart w:id="38" w:name="_Toc5429"/>
      <w:r>
        <w:rPr>
          <w:rFonts w:hint="eastAsia" w:ascii="Times New Roman" w:hAnsi="Times New Roman" w:eastAsia="方正小标宋简体" w:cs="Times New Roman"/>
          <w:bCs/>
          <w:spacing w:val="-11"/>
          <w:sz w:val="36"/>
          <w:szCs w:val="36"/>
        </w:rPr>
        <w:t>第六章 推进师市科学技术普及工作</w:t>
      </w:r>
      <w:bookmarkEnd w:id="38"/>
    </w:p>
    <w:p>
      <w:pPr>
        <w:ind w:firstLine="0" w:firstLineChars="0"/>
        <w:jc w:val="left"/>
        <w:rPr>
          <w:rFonts w:ascii="Times New Roman" w:hAnsi="Times New Roman" w:cs="Times New Roman"/>
        </w:rPr>
      </w:pPr>
      <w:r>
        <w:rPr>
          <w:rFonts w:hint="eastAsia"/>
        </w:rPr>
        <w:t xml:space="preserve">   </w:t>
      </w:r>
      <w:r>
        <w:rPr>
          <w:rFonts w:ascii="Times New Roman" w:hAnsi="Times New Roman" w:cs="Times New Roman"/>
        </w:rPr>
        <w:t>充分发挥科普价值引领作用，大力弘扬科学精神和科学家精神，推动科普工作全面融入师市经济社会发展全局，以科普提质赋能全民科学素质提升，筑牢高质量发展群众基础。</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39" w:name="_Toc7538"/>
      <w:r>
        <w:rPr>
          <w:rFonts w:hint="eastAsia" w:ascii="Times New Roman" w:hAnsi="Times New Roman" w:eastAsia="黑体" w:cs="Times New Roman"/>
          <w:bCs/>
        </w:rPr>
        <w:t xml:space="preserve">第一节 </w:t>
      </w:r>
      <w:bookmarkEnd w:id="39"/>
      <w:r>
        <w:rPr>
          <w:rFonts w:hint="eastAsia" w:ascii="Times New Roman" w:hAnsi="Times New Roman" w:eastAsia="黑体" w:cs="Times New Roman"/>
          <w:bCs/>
        </w:rPr>
        <w:t xml:space="preserve"> 壮大科学普及人才队伍</w:t>
      </w:r>
    </w:p>
    <w:p>
      <w:pPr>
        <w:jc w:val="left"/>
        <w:rPr>
          <w:rFonts w:ascii="Times New Roman" w:hAnsi="Times New Roman" w:eastAsia="黑体" w:cs="Times New Roman"/>
          <w:bCs/>
        </w:rPr>
      </w:pPr>
      <w:r>
        <w:rPr>
          <w:rFonts w:hint="eastAsia"/>
        </w:rPr>
        <w:t>健全专兼结合、多方协同的科普人才队伍体系，夯实科普工作人力支撑。建立专职科普人才常态化培养机制，定期面向职业学院、科研院所、科普场馆等从业人员开展专业培训，提升专职科普人员业务能力与服务水平。拓展兼职科普人才队伍，充分发挥医院院长、学校校长、农技站站长</w:t>
      </w:r>
      <w:r>
        <w:rPr>
          <w:rFonts w:ascii="Times New Roman" w:hAnsi="Times New Roman" w:cs="Times New Roman"/>
        </w:rPr>
        <w:t>“三长”</w:t>
      </w:r>
      <w:r>
        <w:rPr>
          <w:rFonts w:hint="eastAsia"/>
        </w:rPr>
        <w:t>专业优势，带动医疗卫生人员、中小学科学教师、农业技术人员等基层科技工作者广泛参与科普工作。整合优质科普资源，组建由科普专家、科技志愿者、科技特派员共同构成的科普志愿服务团队，完善协同服务模式，推动科普服务下沉基层、覆盖全域。</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0" w:name="_Toc29820"/>
      <w:r>
        <w:rPr>
          <w:rFonts w:hint="eastAsia" w:ascii="Times New Roman" w:hAnsi="Times New Roman" w:eastAsia="黑体" w:cs="Times New Roman"/>
          <w:bCs/>
        </w:rPr>
        <w:t>第二节 优化拓展科学普及基础设施</w:t>
      </w:r>
      <w:bookmarkEnd w:id="40"/>
    </w:p>
    <w:p>
      <w:pPr>
        <w:jc w:val="left"/>
        <w:rPr>
          <w:rFonts w:hint="eastAsia"/>
        </w:rPr>
      </w:pPr>
      <w:r>
        <w:rPr>
          <w:rFonts w:hint="eastAsia"/>
        </w:rPr>
        <w:t>统筹规划、全域布局科普基础设施，完善科普阵地服务体系。将科普基础设施建设纳入师市城市发展总体规划，推进师市科技馆设备更新，推动跨区域联建科技馆，促进科技馆与博物馆、文化馆等文化场馆资源融合、功能共享、协同运营。深化兵地共建，加快推进团场社区科普馆（室）、科普大篷车、团场中学科技馆标准化建设，补齐基层科普阵地短板。培育专业化、市场化科普服务力量，推动科普与文化、旅游、体育等产业深度融合，丰富多层次、多品类、沉浸式优质科普产品与服务供给。鼓励企业加大科普投入，搭建科技研发与市场推广一体化科普平台，拓展科普传播载体，构建全域覆盖、普惠共享的科普基础设施网络。</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1" w:name="_Toc30286"/>
      <w:r>
        <w:rPr>
          <w:rFonts w:hint="eastAsia" w:ascii="Times New Roman" w:hAnsi="Times New Roman" w:eastAsia="黑体" w:cs="Times New Roman"/>
          <w:bCs/>
        </w:rPr>
        <w:t>第三节 全面提升全民科学素质</w:t>
      </w:r>
      <w:bookmarkEnd w:id="41"/>
    </w:p>
    <w:p>
      <w:pPr>
        <w:rPr>
          <w:rFonts w:hint="eastAsia"/>
        </w:rPr>
      </w:pPr>
      <w:r>
        <w:rPr>
          <w:rFonts w:hint="eastAsia"/>
        </w:rPr>
        <w:t>实施全民科学素质提升行动，聚焦青少年、团场职工、城镇劳动者、老年人、领导干部和公务员五大重点人群，精准发力、分类施策，全面提升全民科学素养。</w:t>
      </w:r>
      <w:r>
        <w:t>持续组织全国科普日、科技活动周、“三下乡”“科普进社区”，创新创业大赛等重要活动，提高公众对科学知识的认识和兴趣，营造热爱科学、崇尚创新的社会氛围。大力弘扬科学精神、科学家精神、兵团精神和老兵精神，铸牢中华民族共同体意识，强化“五个认同”，引导各族群众树立科学文明健康的生产生活方式，为维护社会稳定和长治久安厚植科学文化基础。</w:t>
      </w:r>
      <w:r>
        <w:rPr>
          <w:rFonts w:hint="eastAsia"/>
        </w:rPr>
        <w:t xml:space="preserve"> </w:t>
      </w:r>
    </w:p>
    <w:p>
      <w:pPr>
        <w:rPr>
          <w:rFonts w:hint="eastAsia"/>
        </w:rPr>
      </w:pPr>
      <w:r>
        <w:rPr>
          <w:rFonts w:hint="eastAsia"/>
        </w:rPr>
        <w:t>依托科技馆、科普大篷车、陈列馆等阵地，常态化开展青少年科普实践活动，激发科学兴趣、培育创新意识、塑造科学思维。强化团场职工与城镇劳动者科学素养与职业技能融合培育，加强技工教育培训，弘扬工匠精神，打造高素质技能人才队伍。针对老年群体，普及健康养生、智能技术、网络安全、应急避险等知识，提升老年人现代生活适应能力与风险防范能力。将科普内容纳入干部教育培训体系，强化科学发展理念，提升领导干部和公务员科学决策、科学履职水平，全面营造崇尚科学、参与创新的良好社会氛围。</w:t>
      </w:r>
    </w:p>
    <w:p>
      <w:pPr>
        <w:keepNext/>
        <w:keepLines/>
        <w:adjustRightInd/>
        <w:snapToGrid/>
        <w:spacing w:before="468" w:beforeLines="150" w:after="312" w:afterLines="100" w:line="240" w:lineRule="auto"/>
        <w:ind w:firstLine="0" w:firstLineChars="0"/>
        <w:jc w:val="center"/>
        <w:outlineLvl w:val="0"/>
        <w:rPr>
          <w:rFonts w:ascii="Times New Roman" w:hAnsi="Times New Roman" w:eastAsia="方正小标宋简体" w:cs="Times New Roman"/>
          <w:bCs/>
          <w:spacing w:val="-11"/>
          <w:sz w:val="36"/>
          <w:szCs w:val="36"/>
        </w:rPr>
      </w:pPr>
      <w:bookmarkStart w:id="42" w:name="_Toc6520"/>
      <w:r>
        <w:rPr>
          <w:rFonts w:hint="eastAsia" w:ascii="Times New Roman" w:hAnsi="Times New Roman" w:eastAsia="方正小标宋简体" w:cs="Times New Roman"/>
          <w:bCs/>
          <w:spacing w:val="-11"/>
          <w:sz w:val="36"/>
          <w:szCs w:val="36"/>
        </w:rPr>
        <w:t>第七章 保障措施</w:t>
      </w:r>
      <w:bookmarkEnd w:id="42"/>
    </w:p>
    <w:p>
      <w:pPr>
        <w:rPr>
          <w:rFonts w:hint="eastAsia"/>
        </w:rPr>
      </w:pPr>
      <w:r>
        <w:rPr>
          <w:rFonts w:hint="eastAsia"/>
        </w:rPr>
        <w:t>坚持系统思维、统筹推进，强化组织、资金、机制、评估、宣传等全方位保障，构建衔接顺畅、保障有力、运转高效的规划实施保障体系，确保“十五五”科技创新各项目标任务落地落实。</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3" w:name="_Toc15823"/>
      <w:r>
        <w:rPr>
          <w:rFonts w:hint="eastAsia" w:ascii="Times New Roman" w:hAnsi="Times New Roman" w:eastAsia="黑体" w:cs="Times New Roman"/>
          <w:bCs/>
        </w:rPr>
        <w:t>第一节 加强党的全面领导</w:t>
      </w:r>
      <w:bookmarkEnd w:id="43"/>
    </w:p>
    <w:p>
      <w:pPr>
        <w:rPr>
          <w:rFonts w:hint="eastAsia"/>
        </w:rPr>
      </w:pPr>
      <w:r>
        <w:rPr>
          <w:rFonts w:hint="eastAsia"/>
        </w:rPr>
        <w:t>加强党对科技创新工作的全面领导，完整准确全面贯彻新时代党的治疆方略，增强“四个意识”、坚定“四个自信”、做到“两个维护”，确保师市科技创新工作始终沿着正确政治方向推进。强化师市党委在科技创新工作中的顶层设计、战略谋划、政策引导和资源统筹作用，健全协同高效的决策指挥体系和组织实施体系。充分发挥各级党组织领导作用和战斗堡垒作用，激励干部担当作为，调动科研院所、企业、科技人员和社会各界参与规划实施的积极性，凝聚推动科技创新发展的工作合力。</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4" w:name="_Toc20537"/>
      <w:r>
        <w:rPr>
          <w:rFonts w:hint="eastAsia" w:ascii="Times New Roman" w:hAnsi="Times New Roman" w:eastAsia="黑体" w:cs="Times New Roman"/>
          <w:bCs/>
        </w:rPr>
        <w:t>第二节 强化科技投入保障</w:t>
      </w:r>
      <w:bookmarkEnd w:id="44"/>
    </w:p>
    <w:p>
      <w:pPr>
        <w:rPr>
          <w:rFonts w:hint="eastAsia"/>
        </w:rPr>
      </w:pPr>
      <w:r>
        <w:rPr>
          <w:rFonts w:hint="eastAsia"/>
        </w:rPr>
        <w:t>建立财政科技投入稳定增长机制，推动财政科技支出占一般公共预算支出比重稳步提升，优化财政科技资金配置，重点支持关键技术攻关、创新平台建设、科技成果转化、科技人才引育等领域，优先保障农产品精深加工、微生物技术应用、新能源新材料、数字经济等特色优势产业创新需求。完善财政科技投入方式，综合运用直接补助、以奖代补、后补助等方式，引导企业和社会资本加大研发投入，落实研发费用加计扣除等税收优惠政策，降低企业创新成本。强化财政科技资金全过程绩效管理，健全事前评估、事中监控、事后评价闭环机制，推动绩效评价结果与资金安排挂钩，提高资金使用效益。</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5" w:name="_Toc24540"/>
      <w:r>
        <w:rPr>
          <w:rFonts w:hint="eastAsia" w:ascii="Times New Roman" w:hAnsi="Times New Roman" w:eastAsia="黑体" w:cs="Times New Roman"/>
          <w:bCs/>
        </w:rPr>
        <w:t>第三节 完善实施评估机制</w:t>
      </w:r>
      <w:bookmarkEnd w:id="45"/>
    </w:p>
    <w:p>
      <w:pPr>
        <w:rPr>
          <w:rFonts w:hint="eastAsia"/>
        </w:rPr>
      </w:pPr>
      <w:r>
        <w:rPr>
          <w:rFonts w:hint="eastAsia"/>
        </w:rPr>
        <w:t>充分发挥师市科技委办公室协调指导作用，建立由师市科技局牵头、相关部门协同推进的规划实施机制，做好规划任务分解、部门分工和责任落实。围绕规划目标指标、重点任务、重大项目和创新平台建设，建立任务清单、项目清单、责任清单，实行台账管理、节点调度、跟踪问效。健全规划实施监测评估和动态调整机制，按照年度总结、中期评估、总结评估要求，开展动态监测和第三方评估，强化结果运用。根据科技发展动态和师市经济社会发展需求变化，按程序调整规划指标、目标和重点任务，确保规划实施与发展形势相适应。</w:t>
      </w:r>
    </w:p>
    <w:p>
      <w:pPr>
        <w:keepNext/>
        <w:keepLines/>
        <w:adjustRightInd/>
        <w:snapToGrid/>
        <w:spacing w:before="156" w:beforeLines="50" w:after="156" w:afterLines="50"/>
        <w:ind w:firstLine="0" w:firstLineChars="0"/>
        <w:jc w:val="center"/>
        <w:outlineLvl w:val="1"/>
        <w:rPr>
          <w:rFonts w:ascii="Times New Roman" w:hAnsi="Times New Roman" w:eastAsia="黑体" w:cs="Times New Roman"/>
          <w:bCs/>
        </w:rPr>
      </w:pPr>
      <w:bookmarkStart w:id="46" w:name="_Toc19647"/>
      <w:r>
        <w:rPr>
          <w:rFonts w:hint="eastAsia" w:ascii="Times New Roman" w:hAnsi="Times New Roman" w:eastAsia="黑体" w:cs="Times New Roman"/>
          <w:bCs/>
        </w:rPr>
        <w:t>第四节 加强科技政策宣传推广</w:t>
      </w:r>
      <w:bookmarkEnd w:id="46"/>
    </w:p>
    <w:p>
      <w:pPr>
        <w:rPr>
          <w:rFonts w:hint="eastAsia"/>
        </w:rPr>
      </w:pPr>
      <w:r>
        <w:rPr>
          <w:rFonts w:hint="eastAsia"/>
        </w:rPr>
        <w:t>构建全方位、多层次、常态化的科技政策宣传推广体系，打通政策落地“最后一公里”。整合线上线下资源，依托科技政策“一站式”服务平台、政务新媒体、园区和团场服务窗口等载体，开展政策巡回宣讲，推动宣传渠道全覆盖。创新宣传方式，通过典型案例、图文解读、短视频、操作指南等形式，面向企业、科研人员等不同群体，提供差异化、精准化政策解读，提升政策知晓度和可及性。建立宣传推广、政策兑现、诉求反馈、跟踪问效闭环机制，持续优化政策供给，形成全渠道覆盖、精准化解读、常态化推进的宣传工作格局。</w:t>
      </w: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6FAA80-CEA7-4520-854A-E7B066FAC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C2A6406-BEBF-4F9F-B009-09EADEBA30DC}"/>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embedRegular r:id="rId3" w:fontKey="{297A6BF5-79A4-4426-909F-B4A2949935B3}"/>
  </w:font>
  <w:font w:name="楷体_GB2312">
    <w:panose1 w:val="02010609030101010101"/>
    <w:charset w:val="86"/>
    <w:family w:val="auto"/>
    <w:pitch w:val="default"/>
    <w:sig w:usb0="00000001" w:usb1="080E0000" w:usb2="00000000" w:usb3="00000000" w:csb0="00040000" w:csb1="00000000"/>
    <w:embedRegular r:id="rId4" w:fontKey="{E240D5D5-B1D3-4989-BE24-953233DFFF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9AC46"/>
    <w:multiLevelType w:val="singleLevel"/>
    <w:tmpl w:val="9539AC46"/>
    <w:lvl w:ilvl="0" w:tentative="0">
      <w:start w:val="1"/>
      <w:numFmt w:val="chineseCounting"/>
      <w:suff w:val="space"/>
      <w:lvlText w:val="第%1节"/>
      <w:lvlJc w:val="left"/>
      <w:rPr>
        <w:rFonts w:hint="eastAsia"/>
      </w:rPr>
    </w:lvl>
  </w:abstractNum>
  <w:abstractNum w:abstractNumId="1">
    <w:nsid w:val="AC1804C7"/>
    <w:multiLevelType w:val="singleLevel"/>
    <w:tmpl w:val="AC1804C7"/>
    <w:lvl w:ilvl="0" w:tentative="0">
      <w:start w:val="2"/>
      <w:numFmt w:val="chineseCounting"/>
      <w:suff w:val="nothing"/>
      <w:lvlText w:val="%1、"/>
      <w:lvlJc w:val="left"/>
      <w:rPr>
        <w:rFonts w:hint="eastAsia"/>
      </w:rPr>
    </w:lvl>
  </w:abstractNum>
  <w:abstractNum w:abstractNumId="2">
    <w:nsid w:val="C296BA38"/>
    <w:multiLevelType w:val="singleLevel"/>
    <w:tmpl w:val="C296BA38"/>
    <w:lvl w:ilvl="0" w:tentative="0">
      <w:start w:val="1"/>
      <w:numFmt w:val="chineseCounting"/>
      <w:pStyle w:val="9"/>
      <w:suff w:val="space"/>
      <w:lvlText w:val="第%1节"/>
      <w:lvlJc w:val="left"/>
      <w:rPr>
        <w:rFonts w:hint="eastAsia"/>
      </w:rPr>
    </w:lvl>
  </w:abstractNum>
  <w:abstractNum w:abstractNumId="3">
    <w:nsid w:val="E562BC1B"/>
    <w:multiLevelType w:val="singleLevel"/>
    <w:tmpl w:val="E562BC1B"/>
    <w:lvl w:ilvl="0" w:tentative="0">
      <w:start w:val="2"/>
      <w:numFmt w:val="chineseCounting"/>
      <w:suff w:val="nothing"/>
      <w:lvlText w:val="%1、"/>
      <w:lvlJc w:val="left"/>
      <w:rPr>
        <w:rFonts w:hint="eastAsia"/>
      </w:rPr>
    </w:lvl>
  </w:abstractNum>
  <w:abstractNum w:abstractNumId="4">
    <w:nsid w:val="194B3A0F"/>
    <w:multiLevelType w:val="singleLevel"/>
    <w:tmpl w:val="194B3A0F"/>
    <w:lvl w:ilvl="0" w:tentative="0">
      <w:start w:val="3"/>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B5"/>
    <w:rsid w:val="000019FB"/>
    <w:rsid w:val="001411B3"/>
    <w:rsid w:val="001C0599"/>
    <w:rsid w:val="001F03E9"/>
    <w:rsid w:val="002403D3"/>
    <w:rsid w:val="00282CDC"/>
    <w:rsid w:val="00353FB5"/>
    <w:rsid w:val="00377268"/>
    <w:rsid w:val="00520CBC"/>
    <w:rsid w:val="005C4B35"/>
    <w:rsid w:val="006032F8"/>
    <w:rsid w:val="006A09F1"/>
    <w:rsid w:val="0072790C"/>
    <w:rsid w:val="00835F11"/>
    <w:rsid w:val="009C7899"/>
    <w:rsid w:val="00A812C6"/>
    <w:rsid w:val="00A8220E"/>
    <w:rsid w:val="00AB6213"/>
    <w:rsid w:val="00BC4C0F"/>
    <w:rsid w:val="00CC5334"/>
    <w:rsid w:val="00D0681C"/>
    <w:rsid w:val="00D3051F"/>
    <w:rsid w:val="00D74289"/>
    <w:rsid w:val="00E271C7"/>
    <w:rsid w:val="00E3165B"/>
    <w:rsid w:val="00E625BC"/>
    <w:rsid w:val="00FE4037"/>
    <w:rsid w:val="00FE5DE6"/>
    <w:rsid w:val="01146B4A"/>
    <w:rsid w:val="01F66ABD"/>
    <w:rsid w:val="022278B2"/>
    <w:rsid w:val="0247556A"/>
    <w:rsid w:val="027F3A06"/>
    <w:rsid w:val="03B317D2"/>
    <w:rsid w:val="03D746CC"/>
    <w:rsid w:val="04D17C54"/>
    <w:rsid w:val="063E0A32"/>
    <w:rsid w:val="06AB431A"/>
    <w:rsid w:val="06E635A4"/>
    <w:rsid w:val="077E558A"/>
    <w:rsid w:val="07FA4FA7"/>
    <w:rsid w:val="08BB636A"/>
    <w:rsid w:val="0955726C"/>
    <w:rsid w:val="09BB582A"/>
    <w:rsid w:val="09CB4CD3"/>
    <w:rsid w:val="0A9B28F7"/>
    <w:rsid w:val="0ADD081A"/>
    <w:rsid w:val="0B557B3C"/>
    <w:rsid w:val="0B6E6278"/>
    <w:rsid w:val="0B792C38"/>
    <w:rsid w:val="0D896A37"/>
    <w:rsid w:val="0DD405FA"/>
    <w:rsid w:val="10817E99"/>
    <w:rsid w:val="10CF32FA"/>
    <w:rsid w:val="10D64689"/>
    <w:rsid w:val="12144E5B"/>
    <w:rsid w:val="122D61EC"/>
    <w:rsid w:val="12F84AF4"/>
    <w:rsid w:val="13E7095B"/>
    <w:rsid w:val="14005579"/>
    <w:rsid w:val="1441006B"/>
    <w:rsid w:val="15233C15"/>
    <w:rsid w:val="154871D8"/>
    <w:rsid w:val="1568787A"/>
    <w:rsid w:val="1615355E"/>
    <w:rsid w:val="179A3C08"/>
    <w:rsid w:val="19805192"/>
    <w:rsid w:val="1A4822DF"/>
    <w:rsid w:val="1C9A0C60"/>
    <w:rsid w:val="1ECC7835"/>
    <w:rsid w:val="1EF53F2C"/>
    <w:rsid w:val="1FED72F9"/>
    <w:rsid w:val="20653333"/>
    <w:rsid w:val="2089115D"/>
    <w:rsid w:val="20E24984"/>
    <w:rsid w:val="214D44F3"/>
    <w:rsid w:val="217F0425"/>
    <w:rsid w:val="21C1459A"/>
    <w:rsid w:val="221C3EC6"/>
    <w:rsid w:val="229E2B2D"/>
    <w:rsid w:val="23502079"/>
    <w:rsid w:val="23AE0B4E"/>
    <w:rsid w:val="24396FD9"/>
    <w:rsid w:val="24AD52A9"/>
    <w:rsid w:val="25457290"/>
    <w:rsid w:val="25946DBD"/>
    <w:rsid w:val="25C91C6F"/>
    <w:rsid w:val="25CD160D"/>
    <w:rsid w:val="268D5392"/>
    <w:rsid w:val="27856069"/>
    <w:rsid w:val="29002960"/>
    <w:rsid w:val="2919115F"/>
    <w:rsid w:val="2AE17B94"/>
    <w:rsid w:val="2B1971F4"/>
    <w:rsid w:val="2D1265F1"/>
    <w:rsid w:val="2D260D3C"/>
    <w:rsid w:val="2DDF2977"/>
    <w:rsid w:val="2E4F2F2D"/>
    <w:rsid w:val="2EE1627B"/>
    <w:rsid w:val="2EEB70FA"/>
    <w:rsid w:val="2F120BC6"/>
    <w:rsid w:val="2FAC6889"/>
    <w:rsid w:val="301A4F4F"/>
    <w:rsid w:val="30AC4667"/>
    <w:rsid w:val="30CA539A"/>
    <w:rsid w:val="311C359A"/>
    <w:rsid w:val="320D7387"/>
    <w:rsid w:val="3502519D"/>
    <w:rsid w:val="35305866"/>
    <w:rsid w:val="368F2A60"/>
    <w:rsid w:val="37B95FE7"/>
    <w:rsid w:val="37C91FA2"/>
    <w:rsid w:val="37D84B4B"/>
    <w:rsid w:val="37F8035E"/>
    <w:rsid w:val="384004B6"/>
    <w:rsid w:val="38A30A45"/>
    <w:rsid w:val="38A50319"/>
    <w:rsid w:val="391B523E"/>
    <w:rsid w:val="39965EB4"/>
    <w:rsid w:val="3A0E1EEE"/>
    <w:rsid w:val="3BA174BE"/>
    <w:rsid w:val="3CA64660"/>
    <w:rsid w:val="3CB23005"/>
    <w:rsid w:val="3CD13DD3"/>
    <w:rsid w:val="3D281519"/>
    <w:rsid w:val="3D8F1106"/>
    <w:rsid w:val="3E197BF0"/>
    <w:rsid w:val="3E3809FA"/>
    <w:rsid w:val="3E6D50FB"/>
    <w:rsid w:val="3E72041F"/>
    <w:rsid w:val="3F3C6285"/>
    <w:rsid w:val="401B7113"/>
    <w:rsid w:val="40FF1BB1"/>
    <w:rsid w:val="4110378B"/>
    <w:rsid w:val="41662610"/>
    <w:rsid w:val="416C231C"/>
    <w:rsid w:val="42B15B0D"/>
    <w:rsid w:val="430B346F"/>
    <w:rsid w:val="439C056B"/>
    <w:rsid w:val="43BB30E7"/>
    <w:rsid w:val="440A7BCA"/>
    <w:rsid w:val="443B5B14"/>
    <w:rsid w:val="44DF4BB3"/>
    <w:rsid w:val="452D1DC2"/>
    <w:rsid w:val="459C4852"/>
    <w:rsid w:val="45EC7588"/>
    <w:rsid w:val="45EF0E26"/>
    <w:rsid w:val="46860C43"/>
    <w:rsid w:val="46AE0CE1"/>
    <w:rsid w:val="477F61D9"/>
    <w:rsid w:val="48BF2D31"/>
    <w:rsid w:val="496658A3"/>
    <w:rsid w:val="4A897A9B"/>
    <w:rsid w:val="4A9621B8"/>
    <w:rsid w:val="4B5C0D0B"/>
    <w:rsid w:val="4BF52FA9"/>
    <w:rsid w:val="4CC8272E"/>
    <w:rsid w:val="4D21678B"/>
    <w:rsid w:val="4D3006A2"/>
    <w:rsid w:val="4E766588"/>
    <w:rsid w:val="4EE71234"/>
    <w:rsid w:val="501F0559"/>
    <w:rsid w:val="507E34D2"/>
    <w:rsid w:val="522B768A"/>
    <w:rsid w:val="54111402"/>
    <w:rsid w:val="54E83610"/>
    <w:rsid w:val="550C6D0E"/>
    <w:rsid w:val="551C775D"/>
    <w:rsid w:val="55621614"/>
    <w:rsid w:val="556E7FB9"/>
    <w:rsid w:val="55E069DD"/>
    <w:rsid w:val="56466840"/>
    <w:rsid w:val="564C7BCE"/>
    <w:rsid w:val="567F4ED4"/>
    <w:rsid w:val="570A1F63"/>
    <w:rsid w:val="57D8072B"/>
    <w:rsid w:val="582C1DBE"/>
    <w:rsid w:val="598522B0"/>
    <w:rsid w:val="59EC3BA2"/>
    <w:rsid w:val="5A1E1ADB"/>
    <w:rsid w:val="5A44753A"/>
    <w:rsid w:val="5A821E11"/>
    <w:rsid w:val="5B3475AF"/>
    <w:rsid w:val="5B8A71CF"/>
    <w:rsid w:val="5B9B762E"/>
    <w:rsid w:val="5C07081F"/>
    <w:rsid w:val="5C454A72"/>
    <w:rsid w:val="5CA35F2A"/>
    <w:rsid w:val="5CA40764"/>
    <w:rsid w:val="5D283143"/>
    <w:rsid w:val="5D4336AB"/>
    <w:rsid w:val="5D7B2C4E"/>
    <w:rsid w:val="5DA56542"/>
    <w:rsid w:val="5E281679"/>
    <w:rsid w:val="5E331DA0"/>
    <w:rsid w:val="5F8D3732"/>
    <w:rsid w:val="5F930AF8"/>
    <w:rsid w:val="5FB6281C"/>
    <w:rsid w:val="6031230F"/>
    <w:rsid w:val="60824919"/>
    <w:rsid w:val="60C50CA9"/>
    <w:rsid w:val="62AC3ECF"/>
    <w:rsid w:val="635A1B7D"/>
    <w:rsid w:val="648D5F82"/>
    <w:rsid w:val="64E42416"/>
    <w:rsid w:val="65055BE3"/>
    <w:rsid w:val="65E16585"/>
    <w:rsid w:val="662B15AE"/>
    <w:rsid w:val="669C425A"/>
    <w:rsid w:val="671958AB"/>
    <w:rsid w:val="67780823"/>
    <w:rsid w:val="677B6565"/>
    <w:rsid w:val="69960847"/>
    <w:rsid w:val="6B5A607B"/>
    <w:rsid w:val="6BA240C1"/>
    <w:rsid w:val="6C094140"/>
    <w:rsid w:val="6CC22541"/>
    <w:rsid w:val="6E2B5F27"/>
    <w:rsid w:val="6F1928EC"/>
    <w:rsid w:val="6FCC3E02"/>
    <w:rsid w:val="70A67126"/>
    <w:rsid w:val="71026BB4"/>
    <w:rsid w:val="71AB7A47"/>
    <w:rsid w:val="73010267"/>
    <w:rsid w:val="736B3932"/>
    <w:rsid w:val="73E13BF4"/>
    <w:rsid w:val="748C0004"/>
    <w:rsid w:val="749173C8"/>
    <w:rsid w:val="74A569D0"/>
    <w:rsid w:val="74DB6895"/>
    <w:rsid w:val="75575F1C"/>
    <w:rsid w:val="77013BBF"/>
    <w:rsid w:val="772749AC"/>
    <w:rsid w:val="77C46274"/>
    <w:rsid w:val="780627F5"/>
    <w:rsid w:val="78511348"/>
    <w:rsid w:val="78911745"/>
    <w:rsid w:val="78B33DB1"/>
    <w:rsid w:val="78CC09CF"/>
    <w:rsid w:val="78FF6FF6"/>
    <w:rsid w:val="79C42B56"/>
    <w:rsid w:val="7B7A714B"/>
    <w:rsid w:val="7C4579C7"/>
    <w:rsid w:val="7D3E5C13"/>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640" w:firstLineChars="200"/>
      <w:jc w:val="both"/>
    </w:pPr>
    <w:rPr>
      <w:rFonts w:ascii="仿宋_GB2312" w:hAnsi="黑体" w:eastAsia="仿宋_GB2312" w:cstheme="minorBidi"/>
      <w:kern w:val="2"/>
      <w:sz w:val="32"/>
      <w:szCs w:val="32"/>
      <w:lang w:val="en-US" w:eastAsia="zh-CN" w:bidi="ar-SA"/>
    </w:rPr>
  </w:style>
  <w:style w:type="paragraph" w:styleId="8">
    <w:name w:val="heading 1"/>
    <w:basedOn w:val="1"/>
    <w:next w:val="1"/>
    <w:link w:val="29"/>
    <w:qFormat/>
    <w:uiPriority w:val="0"/>
    <w:pPr>
      <w:jc w:val="center"/>
      <w:outlineLvl w:val="0"/>
    </w:pPr>
    <w:rPr>
      <w:rFonts w:ascii="黑体" w:eastAsia="黑体"/>
    </w:rPr>
  </w:style>
  <w:style w:type="paragraph" w:styleId="9">
    <w:name w:val="heading 2"/>
    <w:basedOn w:val="1"/>
    <w:next w:val="1"/>
    <w:link w:val="30"/>
    <w:unhideWhenUsed/>
    <w:qFormat/>
    <w:uiPriority w:val="9"/>
    <w:pPr>
      <w:numPr>
        <w:ilvl w:val="0"/>
        <w:numId w:val="1"/>
      </w:numPr>
      <w:ind w:firstLine="0" w:firstLineChars="0"/>
      <w:jc w:val="center"/>
      <w:outlineLvl w:val="1"/>
    </w:pPr>
    <w:rPr>
      <w:b/>
      <w:bCs/>
    </w:rPr>
  </w:style>
  <w:style w:type="paragraph" w:styleId="10">
    <w:name w:val="heading 3"/>
    <w:basedOn w:val="1"/>
    <w:next w:val="1"/>
    <w:link w:val="31"/>
    <w:unhideWhenUsed/>
    <w:qFormat/>
    <w:uiPriority w:val="9"/>
    <w:pPr>
      <w:ind w:firstLine="643"/>
      <w:jc w:val="left"/>
      <w:outlineLvl w:val="2"/>
    </w:pPr>
    <w:rPr>
      <w:rFonts w:cstheme="majorBidi"/>
      <w:b/>
      <w:bCs/>
      <w:color w:val="000000" w:themeColor="text1"/>
      <w14:textFill>
        <w14:solidFill>
          <w14:schemeClr w14:val="tx1"/>
        </w14:solidFill>
      </w14:textFill>
    </w:rPr>
  </w:style>
  <w:style w:type="paragraph" w:styleId="11">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12">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13">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14">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5">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6">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0" w:line="360" w:lineRule="auto"/>
      <w:ind w:left="0" w:leftChars="0" w:firstLine="420"/>
    </w:pPr>
    <w:rPr>
      <w:color w:val="000000"/>
      <w:kern w:val="0"/>
    </w:rPr>
  </w:style>
  <w:style w:type="paragraph" w:styleId="3">
    <w:name w:val="Body Text Indent"/>
    <w:basedOn w:val="1"/>
    <w:next w:val="1"/>
    <w:qFormat/>
    <w:uiPriority w:val="0"/>
    <w:pPr>
      <w:spacing w:after="120"/>
      <w:ind w:left="420" w:leftChars="200"/>
    </w:pPr>
  </w:style>
  <w:style w:type="paragraph" w:styleId="4">
    <w:name w:val="Body Text First Indent"/>
    <w:basedOn w:val="5"/>
    <w:next w:val="6"/>
    <w:qFormat/>
    <w:uiPriority w:val="0"/>
    <w:pPr>
      <w:ind w:firstLine="420" w:firstLineChars="100"/>
    </w:pPr>
  </w:style>
  <w:style w:type="paragraph" w:styleId="5">
    <w:name w:val="Body Text"/>
    <w:basedOn w:val="1"/>
    <w:next w:val="1"/>
    <w:semiHidden/>
    <w:qFormat/>
    <w:uiPriority w:val="0"/>
    <w:rPr>
      <w:rFonts w:ascii="仿宋" w:hAnsi="仿宋" w:eastAsia="仿宋" w:cs="仿宋"/>
      <w:sz w:val="29"/>
      <w:szCs w:val="29"/>
      <w:lang w:eastAsia="en-US"/>
    </w:rPr>
  </w:style>
  <w:style w:type="paragraph" w:styleId="6">
    <w:name w:val="footer"/>
    <w:basedOn w:val="1"/>
    <w:next w:val="7"/>
    <w:link w:val="48"/>
    <w:unhideWhenUsed/>
    <w:qFormat/>
    <w:uiPriority w:val="99"/>
    <w:pPr>
      <w:tabs>
        <w:tab w:val="center" w:pos="4153"/>
        <w:tab w:val="right" w:pos="8306"/>
      </w:tabs>
      <w:jc w:val="left"/>
    </w:pPr>
    <w:rPr>
      <w:sz w:val="18"/>
      <w:szCs w:val="18"/>
    </w:rPr>
  </w:style>
  <w:style w:type="paragraph" w:styleId="7">
    <w:name w:val="header"/>
    <w:basedOn w:val="1"/>
    <w:next w:val="1"/>
    <w:link w:val="47"/>
    <w:unhideWhenUsed/>
    <w:qFormat/>
    <w:uiPriority w:val="99"/>
    <w:pPr>
      <w:tabs>
        <w:tab w:val="center" w:pos="4153"/>
        <w:tab w:val="right" w:pos="8306"/>
      </w:tabs>
      <w:jc w:val="center"/>
    </w:pPr>
    <w:rPr>
      <w:sz w:val="18"/>
      <w:szCs w:val="18"/>
    </w:rPr>
  </w:style>
  <w:style w:type="paragraph" w:styleId="17">
    <w:name w:val="annotation text"/>
    <w:basedOn w:val="1"/>
    <w:semiHidden/>
    <w:unhideWhenUsed/>
    <w:qFormat/>
    <w:uiPriority w:val="99"/>
    <w:pPr>
      <w:jc w:val="left"/>
    </w:pPr>
  </w:style>
  <w:style w:type="paragraph" w:styleId="18">
    <w:name w:val="toc 1"/>
    <w:basedOn w:val="1"/>
    <w:next w:val="1"/>
    <w:semiHidden/>
    <w:unhideWhenUsed/>
    <w:qFormat/>
    <w:uiPriority w:val="39"/>
  </w:style>
  <w:style w:type="paragraph" w:styleId="19">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semiHidden/>
    <w:unhideWhenUsed/>
    <w:qFormat/>
    <w:uiPriority w:val="39"/>
    <w:pPr>
      <w:ind w:left="420" w:leftChars="200"/>
    </w:pPr>
  </w:style>
  <w:style w:type="paragraph" w:styleId="21">
    <w:name w:val="Normal (Web)"/>
    <w:basedOn w:val="1"/>
    <w:semiHidden/>
    <w:unhideWhenUsed/>
    <w:qFormat/>
    <w:uiPriority w:val="99"/>
    <w:pPr>
      <w:spacing w:beforeAutospacing="1" w:afterAutospacing="1"/>
      <w:jc w:val="left"/>
    </w:pPr>
    <w:rPr>
      <w:rFonts w:cs="Times New Roman"/>
      <w:kern w:val="0"/>
      <w:sz w:val="24"/>
    </w:rPr>
  </w:style>
  <w:style w:type="paragraph" w:styleId="22">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Emphasis"/>
    <w:basedOn w:val="25"/>
    <w:qFormat/>
    <w:uiPriority w:val="20"/>
    <w:rPr>
      <w:i/>
    </w:rPr>
  </w:style>
  <w:style w:type="character" w:styleId="28">
    <w:name w:val="Hyperlink"/>
    <w:basedOn w:val="25"/>
    <w:semiHidden/>
    <w:unhideWhenUsed/>
    <w:qFormat/>
    <w:uiPriority w:val="99"/>
    <w:rPr>
      <w:color w:val="0000FF"/>
      <w:u w:val="single"/>
    </w:rPr>
  </w:style>
  <w:style w:type="character" w:customStyle="1" w:styleId="29">
    <w:name w:val="标题 1 字符"/>
    <w:link w:val="8"/>
    <w:qFormat/>
    <w:uiPriority w:val="0"/>
    <w:rPr>
      <w:rFonts w:ascii="黑体" w:hAnsi="黑体" w:eastAsia="黑体" w:cstheme="minorBidi"/>
      <w:kern w:val="2"/>
      <w:sz w:val="32"/>
      <w:szCs w:val="32"/>
      <w:lang w:val="en-US" w:eastAsia="zh-CN" w:bidi="ar-SA"/>
    </w:rPr>
  </w:style>
  <w:style w:type="character" w:customStyle="1" w:styleId="30">
    <w:name w:val="标题 2 字符"/>
    <w:link w:val="9"/>
    <w:semiHidden/>
    <w:qFormat/>
    <w:uiPriority w:val="9"/>
    <w:rPr>
      <w:rFonts w:ascii="仿宋_GB2312" w:hAnsi="黑体" w:eastAsia="仿宋_GB2312" w:cstheme="minorBidi"/>
      <w:b/>
      <w:bCs/>
      <w:kern w:val="2"/>
      <w:sz w:val="32"/>
      <w:szCs w:val="32"/>
      <w:lang w:val="en-US" w:eastAsia="zh-CN" w:bidi="ar-SA"/>
    </w:rPr>
  </w:style>
  <w:style w:type="character" w:customStyle="1" w:styleId="31">
    <w:name w:val="标题 3 字符"/>
    <w:link w:val="10"/>
    <w:semiHidden/>
    <w:qFormat/>
    <w:uiPriority w:val="9"/>
    <w:rPr>
      <w:rFonts w:ascii="仿宋_GB2312" w:hAnsi="黑体" w:eastAsia="仿宋_GB2312" w:cstheme="majorBidi"/>
      <w:b/>
      <w:bCs/>
      <w:color w:val="000000" w:themeColor="text1"/>
      <w:kern w:val="2"/>
      <w:sz w:val="32"/>
      <w:szCs w:val="32"/>
      <w:lang w:val="en-US" w:eastAsia="zh-CN" w:bidi="ar-SA"/>
      <w14:textFill>
        <w14:solidFill>
          <w14:schemeClr w14:val="tx1"/>
        </w14:solidFill>
      </w14:textFill>
    </w:rPr>
  </w:style>
  <w:style w:type="character" w:customStyle="1" w:styleId="32">
    <w:name w:val="标题 4 字符"/>
    <w:basedOn w:val="25"/>
    <w:link w:val="11"/>
    <w:semiHidden/>
    <w:qFormat/>
    <w:uiPriority w:val="9"/>
    <w:rPr>
      <w:rFonts w:cstheme="majorBidi"/>
      <w:color w:val="2F5597" w:themeColor="accent1" w:themeShade="BF"/>
      <w:sz w:val="28"/>
      <w:szCs w:val="28"/>
    </w:rPr>
  </w:style>
  <w:style w:type="character" w:customStyle="1" w:styleId="33">
    <w:name w:val="标题 5 字符"/>
    <w:basedOn w:val="25"/>
    <w:link w:val="12"/>
    <w:semiHidden/>
    <w:qFormat/>
    <w:uiPriority w:val="9"/>
    <w:rPr>
      <w:rFonts w:cstheme="majorBidi"/>
      <w:color w:val="2F5597" w:themeColor="accent1" w:themeShade="BF"/>
      <w:sz w:val="24"/>
      <w:szCs w:val="24"/>
    </w:rPr>
  </w:style>
  <w:style w:type="character" w:customStyle="1" w:styleId="34">
    <w:name w:val="标题 6 字符"/>
    <w:basedOn w:val="25"/>
    <w:link w:val="13"/>
    <w:semiHidden/>
    <w:qFormat/>
    <w:uiPriority w:val="9"/>
    <w:rPr>
      <w:rFonts w:cstheme="majorBidi"/>
      <w:b/>
      <w:bCs/>
      <w:color w:val="2F5597" w:themeColor="accent1" w:themeShade="BF"/>
    </w:rPr>
  </w:style>
  <w:style w:type="character" w:customStyle="1" w:styleId="35">
    <w:name w:val="标题 7 字符"/>
    <w:basedOn w:val="25"/>
    <w:link w:val="14"/>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15"/>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6"/>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2"/>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25"/>
    <w:link w:val="44"/>
    <w:qFormat/>
    <w:uiPriority w:val="30"/>
    <w:rPr>
      <w:i/>
      <w:iCs/>
      <w:color w:val="2F5597" w:themeColor="accent1" w:themeShade="BF"/>
    </w:rPr>
  </w:style>
  <w:style w:type="character" w:customStyle="1" w:styleId="46">
    <w:name w:val="明显参考1"/>
    <w:basedOn w:val="25"/>
    <w:qFormat/>
    <w:uiPriority w:val="32"/>
    <w:rPr>
      <w:b/>
      <w:bCs/>
      <w:smallCaps/>
      <w:color w:val="2F5597" w:themeColor="accent1" w:themeShade="BF"/>
      <w:spacing w:val="5"/>
    </w:rPr>
  </w:style>
  <w:style w:type="character" w:customStyle="1" w:styleId="47">
    <w:name w:val="页眉 字符"/>
    <w:basedOn w:val="25"/>
    <w:link w:val="7"/>
    <w:qFormat/>
    <w:uiPriority w:val="99"/>
    <w:rPr>
      <w:sz w:val="18"/>
      <w:szCs w:val="18"/>
    </w:rPr>
  </w:style>
  <w:style w:type="character" w:customStyle="1" w:styleId="48">
    <w:name w:val="页脚 字符"/>
    <w:basedOn w:val="25"/>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FC748-2B80-4B49-8F9C-B944B6E9F2F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11791</Words>
  <Characters>11910</Characters>
  <Lines>567</Lines>
  <Paragraphs>320</Paragraphs>
  <TotalTime>5</TotalTime>
  <ScaleCrop>false</ScaleCrop>
  <LinksUpToDate>false</LinksUpToDate>
  <CharactersWithSpaces>23381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2025-07-28T02:19:00Z</dcterms:created>
  <dc:creator>卫刚 马</dc:creator>
  <cp:lastModifiedBy>孙。</cp:lastModifiedBy>
  <cp:lastPrinted>2026-04-28T04:23:00Z</cp:lastPrinted>
  <dcterms:modified xsi:type="dcterms:W3CDTF">2026-07-09T10:14:54Z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eyJoZGlkIjoiZTkzZmY4NjAxMWMxYjllMjM2NDE2NTMxM2Y0MWNjOTUiLCJ1c2VySWQiOiIxNzAxNjQzNjY4In0=</vt:lpwstr>
  </property>
  <property fmtid="{D5CDD505-2E9C-101B-9397-08002B2CF9AE}" pid="3" name="KSOProductBuildVer">
    <vt:lpwstr>2052-11.1.0.10009</vt:lpwstr>
  </property>
  <property fmtid="{D5CDD505-2E9C-101B-9397-08002B2CF9AE}" pid="4" name="ICV">
    <vt:lpwstr>FE44F23CC9E543598D2B835A257084F6_13</vt:lpwstr>
  </property>
</Properties>
</file>