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FBE3">
      <w:pPr>
        <w:keepNext w:val="0"/>
        <w:keepLines w:val="0"/>
        <w:pageBreakBefore w:val="0"/>
        <w:widowControl/>
        <w:kinsoku/>
        <w:wordWrap/>
        <w:overflowPunct/>
        <w:topLinePunct w:val="0"/>
        <w:autoSpaceDE/>
        <w:autoSpaceDN/>
        <w:bidi w:val="0"/>
        <w:snapToGrid/>
        <w:spacing w:before="0" w:after="0" w:line="560" w:lineRule="exact"/>
        <w:jc w:val="center"/>
        <w:rPr>
          <w:rFonts w:ascii="Times New Roman" w:hAnsi="Times New Roman" w:eastAsia="方正小标宋简体"/>
          <w:color w:val="000000"/>
          <w:kern w:val="2"/>
          <w:sz w:val="44"/>
          <w:szCs w:val="44"/>
          <w:lang w:val="en-US" w:eastAsia="zh-CN" w:bidi="ar-SA"/>
        </w:rPr>
      </w:pPr>
    </w:p>
    <w:p w14:paraId="77594841">
      <w:pPr>
        <w:keepNext w:val="0"/>
        <w:keepLines w:val="0"/>
        <w:pageBreakBefore w:val="0"/>
        <w:widowControl/>
        <w:kinsoku/>
        <w:wordWrap/>
        <w:overflowPunct/>
        <w:topLinePunct w:val="0"/>
        <w:autoSpaceDE/>
        <w:autoSpaceDN/>
        <w:bidi w:val="0"/>
        <w:snapToGrid/>
        <w:spacing w:before="0" w:after="0" w:line="560" w:lineRule="exact"/>
        <w:jc w:val="center"/>
        <w:rPr>
          <w:rFonts w:ascii="Times New Roman" w:hAnsi="Times New Roman" w:eastAsia="方正小标宋简体"/>
          <w:color w:val="000000"/>
          <w:kern w:val="2"/>
          <w:sz w:val="44"/>
          <w:szCs w:val="44"/>
          <w:lang w:val="en-US" w:eastAsia="zh-CN" w:bidi="ar-SA"/>
        </w:rPr>
      </w:pPr>
    </w:p>
    <w:p w14:paraId="3A8939D0">
      <w:pPr>
        <w:keepNext w:val="0"/>
        <w:keepLines w:val="0"/>
        <w:pageBreakBefore w:val="0"/>
        <w:widowControl/>
        <w:kinsoku/>
        <w:wordWrap/>
        <w:overflowPunct/>
        <w:topLinePunct w:val="0"/>
        <w:autoSpaceDE/>
        <w:autoSpaceDN/>
        <w:bidi w:val="0"/>
        <w:snapToGrid/>
        <w:spacing w:before="0" w:after="0" w:line="560" w:lineRule="exact"/>
        <w:jc w:val="center"/>
        <w:rPr>
          <w:rFonts w:ascii="Times New Roman" w:hAnsi="Times New Roman" w:eastAsia="方正小标宋简体"/>
          <w:color w:val="000000"/>
          <w:kern w:val="2"/>
          <w:sz w:val="44"/>
          <w:szCs w:val="44"/>
          <w:lang w:val="en-US" w:eastAsia="zh-CN" w:bidi="ar-SA"/>
        </w:rPr>
      </w:pPr>
      <w:r>
        <w:rPr>
          <w:rFonts w:ascii="Times New Roman" w:hAnsi="Times New Roman" w:eastAsia="方正小标宋简体"/>
          <w:color w:val="000000"/>
          <w:kern w:val="2"/>
          <w:sz w:val="44"/>
          <w:szCs w:val="44"/>
          <w:lang w:val="en-US" w:eastAsia="zh-CN" w:bidi="ar-SA"/>
        </w:rPr>
        <w:t>第五师双河市</w:t>
      </w:r>
      <w:r>
        <w:rPr>
          <w:rFonts w:hint="eastAsia" w:ascii="Times New Roman" w:hAnsi="Times New Roman" w:eastAsia="方正小标宋简体"/>
          <w:color w:val="000000"/>
          <w:kern w:val="2"/>
          <w:sz w:val="44"/>
          <w:szCs w:val="44"/>
          <w:lang w:val="en-US" w:eastAsia="zh-CN" w:bidi="ar-SA"/>
        </w:rPr>
        <w:t>“</w:t>
      </w:r>
      <w:r>
        <w:rPr>
          <w:rFonts w:ascii="Times New Roman" w:hAnsi="Times New Roman" w:eastAsia="方正小标宋简体"/>
          <w:color w:val="000000"/>
          <w:kern w:val="2"/>
          <w:sz w:val="44"/>
          <w:szCs w:val="44"/>
          <w:lang w:val="en-US" w:eastAsia="zh-CN" w:bidi="ar-SA"/>
        </w:rPr>
        <w:t>十五五</w:t>
      </w:r>
      <w:r>
        <w:rPr>
          <w:rFonts w:hint="eastAsia" w:ascii="Times New Roman" w:hAnsi="Times New Roman" w:eastAsia="方正小标宋简体"/>
          <w:color w:val="000000"/>
          <w:kern w:val="2"/>
          <w:sz w:val="44"/>
          <w:szCs w:val="44"/>
          <w:lang w:val="en-US" w:eastAsia="zh-CN" w:bidi="ar-SA"/>
        </w:rPr>
        <w:t>”</w:t>
      </w:r>
      <w:r>
        <w:rPr>
          <w:rFonts w:ascii="Times New Roman" w:hAnsi="Times New Roman" w:eastAsia="方正小标宋简体"/>
          <w:color w:val="000000"/>
          <w:kern w:val="2"/>
          <w:sz w:val="44"/>
          <w:szCs w:val="44"/>
          <w:lang w:val="en-US" w:eastAsia="zh-CN" w:bidi="ar-SA"/>
        </w:rPr>
        <w:t>商务发展规划</w:t>
      </w:r>
    </w:p>
    <w:p w14:paraId="6404582F">
      <w:pPr>
        <w:spacing w:line="560" w:lineRule="exact"/>
        <w:ind w:firstLine="0" w:firstLineChars="0"/>
        <w:jc w:val="center"/>
        <w:rPr>
          <w:rFonts w:hint="eastAsia" w:ascii="楷体_GB2312" w:hAnsi="楷体_GB2312" w:eastAsia="楷体_GB2312"/>
          <w:sz w:val="32"/>
          <w:szCs w:val="32"/>
          <w:lang w:eastAsia="zh-CN"/>
        </w:rPr>
      </w:pPr>
      <w:r>
        <w:rPr>
          <w:rFonts w:hint="eastAsia" w:ascii="楷体_GB2312" w:hAnsi="楷体_GB2312" w:eastAsia="楷体_GB2312"/>
          <w:sz w:val="32"/>
          <w:szCs w:val="32"/>
          <w:lang w:eastAsia="zh-CN"/>
        </w:rPr>
        <w:t>（征求意见稿）</w:t>
      </w:r>
    </w:p>
    <w:p w14:paraId="0484F0E8">
      <w:pPr>
        <w:spacing w:line="560" w:lineRule="exact"/>
        <w:ind w:firstLine="0" w:firstLineChars="0"/>
        <w:rPr>
          <w:rFonts w:ascii="Times New Roman" w:hAnsi="Times New Roman"/>
          <w:color w:val="000000"/>
          <w:lang w:val="en-US" w:eastAsia="zh-CN"/>
        </w:rPr>
      </w:pPr>
    </w:p>
    <w:p w14:paraId="5D53C933">
      <w:pPr>
        <w:spacing w:line="560" w:lineRule="exact"/>
        <w:ind w:firstLine="0" w:firstLineChars="0"/>
        <w:jc w:val="center"/>
        <w:rPr>
          <w:rFonts w:ascii="Times New Roman" w:hAnsi="Times New Roman" w:eastAsia="仿宋_GB2312"/>
          <w:color w:val="000000"/>
          <w:kern w:val="2"/>
          <w:sz w:val="32"/>
          <w:szCs w:val="32"/>
          <w:lang w:val="en-US" w:eastAsia="zh-CN" w:bidi="ar-SA"/>
        </w:rPr>
      </w:pPr>
    </w:p>
    <w:p w14:paraId="0C3F102D">
      <w:pPr>
        <w:spacing w:line="560" w:lineRule="exact"/>
        <w:ind w:firstLine="0" w:firstLineChars="0"/>
        <w:jc w:val="center"/>
        <w:rPr>
          <w:rFonts w:ascii="Times New Roman" w:hAnsi="Times New Roman" w:eastAsia="楷体_GB2312"/>
          <w:color w:val="000000"/>
          <w:lang w:val="en-US" w:eastAsia="zh-CN"/>
        </w:rPr>
      </w:pPr>
    </w:p>
    <w:p w14:paraId="23A59DB4">
      <w:pPr>
        <w:spacing w:line="560" w:lineRule="exact"/>
        <w:ind w:firstLine="0" w:firstLineChars="0"/>
        <w:jc w:val="center"/>
        <w:rPr>
          <w:rFonts w:ascii="Times New Roman" w:hAnsi="Times New Roman"/>
          <w:color w:val="000000"/>
          <w:lang w:val="en-US" w:eastAsia="zh-CN"/>
        </w:rPr>
      </w:pPr>
    </w:p>
    <w:p w14:paraId="3035079F">
      <w:pPr>
        <w:spacing w:line="560" w:lineRule="exact"/>
        <w:ind w:firstLine="0" w:firstLineChars="0"/>
        <w:jc w:val="center"/>
        <w:rPr>
          <w:rFonts w:ascii="Times New Roman" w:hAnsi="Times New Roman"/>
          <w:color w:val="000000"/>
          <w:lang w:val="en-US" w:eastAsia="zh-CN"/>
        </w:rPr>
      </w:pPr>
    </w:p>
    <w:p w14:paraId="203CE153">
      <w:pPr>
        <w:spacing w:line="560" w:lineRule="exact"/>
        <w:ind w:firstLine="0" w:firstLineChars="0"/>
        <w:jc w:val="center"/>
        <w:rPr>
          <w:rFonts w:ascii="Times New Roman" w:hAnsi="Times New Roman"/>
          <w:color w:val="000000"/>
          <w:lang w:val="en-US" w:eastAsia="zh-CN"/>
        </w:rPr>
      </w:pPr>
    </w:p>
    <w:p w14:paraId="1CC77F21">
      <w:pPr>
        <w:spacing w:line="560" w:lineRule="exact"/>
        <w:ind w:firstLine="0" w:firstLineChars="0"/>
        <w:jc w:val="center"/>
        <w:rPr>
          <w:rFonts w:ascii="Times New Roman" w:hAnsi="Times New Roman"/>
          <w:color w:val="000000"/>
          <w:lang w:val="en-US" w:eastAsia="zh-CN"/>
        </w:rPr>
      </w:pPr>
    </w:p>
    <w:p w14:paraId="4E71162C">
      <w:pPr>
        <w:spacing w:line="560" w:lineRule="exact"/>
        <w:ind w:firstLine="0" w:firstLineChars="0"/>
        <w:jc w:val="center"/>
        <w:rPr>
          <w:rFonts w:ascii="Times New Roman" w:hAnsi="Times New Roman"/>
          <w:color w:val="000000"/>
          <w:lang w:val="en-US" w:eastAsia="zh-CN"/>
        </w:rPr>
      </w:pPr>
    </w:p>
    <w:p w14:paraId="763DA1CB">
      <w:pPr>
        <w:spacing w:line="560" w:lineRule="exact"/>
        <w:ind w:firstLine="0" w:firstLineChars="0"/>
        <w:jc w:val="center"/>
        <w:rPr>
          <w:rFonts w:ascii="Times New Roman" w:hAnsi="Times New Roman"/>
          <w:color w:val="000000"/>
          <w:lang w:val="en-US" w:eastAsia="zh-CN"/>
        </w:rPr>
      </w:pPr>
    </w:p>
    <w:p w14:paraId="399FB8B3">
      <w:pPr>
        <w:spacing w:line="560" w:lineRule="exact"/>
        <w:ind w:firstLine="0" w:firstLineChars="0"/>
        <w:jc w:val="center"/>
        <w:rPr>
          <w:rFonts w:ascii="Times New Roman" w:hAnsi="Times New Roman"/>
          <w:color w:val="000000"/>
          <w:lang w:val="en-US" w:eastAsia="zh-CN"/>
        </w:rPr>
      </w:pPr>
    </w:p>
    <w:p w14:paraId="7F60B282">
      <w:pPr>
        <w:spacing w:line="560" w:lineRule="exact"/>
        <w:ind w:firstLine="0" w:firstLineChars="0"/>
        <w:jc w:val="center"/>
        <w:rPr>
          <w:rFonts w:ascii="Times New Roman" w:hAnsi="Times New Roman"/>
          <w:color w:val="000000"/>
          <w:lang w:val="en-US" w:eastAsia="zh-CN"/>
        </w:rPr>
      </w:pPr>
    </w:p>
    <w:p w14:paraId="39937FFF">
      <w:pPr>
        <w:spacing w:line="560" w:lineRule="exact"/>
        <w:ind w:firstLine="0" w:firstLineChars="0"/>
        <w:jc w:val="center"/>
        <w:rPr>
          <w:rFonts w:ascii="Times New Roman" w:hAnsi="Times New Roman"/>
          <w:color w:val="000000"/>
          <w:lang w:val="en-US" w:eastAsia="zh-CN"/>
        </w:rPr>
      </w:pPr>
    </w:p>
    <w:p w14:paraId="2AE5C966">
      <w:pPr>
        <w:spacing w:line="560" w:lineRule="exact"/>
        <w:ind w:firstLine="0" w:firstLineChars="0"/>
        <w:jc w:val="center"/>
        <w:rPr>
          <w:rFonts w:ascii="Times New Roman" w:hAnsi="Times New Roman"/>
          <w:color w:val="000000"/>
          <w:lang w:val="en-US" w:eastAsia="zh-CN"/>
        </w:rPr>
      </w:pPr>
    </w:p>
    <w:p w14:paraId="34F806A1">
      <w:pPr>
        <w:spacing w:line="560" w:lineRule="exact"/>
        <w:ind w:firstLine="0" w:firstLineChars="0"/>
        <w:jc w:val="center"/>
        <w:rPr>
          <w:rFonts w:ascii="Times New Roman" w:hAnsi="Times New Roman"/>
          <w:color w:val="000000"/>
          <w:lang w:val="en-US" w:eastAsia="zh-CN"/>
        </w:rPr>
      </w:pPr>
    </w:p>
    <w:p w14:paraId="2034B6B1">
      <w:pPr>
        <w:widowControl/>
        <w:spacing w:line="560" w:lineRule="exact"/>
        <w:ind w:firstLine="0" w:firstLineChars="0"/>
        <w:jc w:val="center"/>
        <w:outlineLvl w:val="9"/>
        <w:rPr>
          <w:rFonts w:ascii="Times New Roman" w:hAnsi="Times New Roman" w:eastAsia="楷体_GB2312"/>
          <w:b w:val="0"/>
          <w:bCs w:val="0"/>
          <w:color w:val="000000"/>
          <w:spacing w:val="23"/>
          <w:position w:val="2"/>
          <w:sz w:val="32"/>
          <w:szCs w:val="32"/>
          <w:lang w:val="en-US" w:eastAsia="zh-CN"/>
        </w:rPr>
      </w:pPr>
      <w:r>
        <w:rPr>
          <w:rFonts w:ascii="Times New Roman" w:hAnsi="Times New Roman" w:eastAsia="楷体_GB2312"/>
          <w:b w:val="0"/>
          <w:bCs w:val="0"/>
          <w:color w:val="000000"/>
          <w:spacing w:val="23"/>
          <w:position w:val="2"/>
          <w:sz w:val="32"/>
          <w:szCs w:val="32"/>
          <w:lang w:val="en-US" w:eastAsia="zh-CN"/>
        </w:rPr>
        <w:t>新疆生产建设兵团第五师商务局</w:t>
      </w:r>
    </w:p>
    <w:p w14:paraId="7A41F853">
      <w:pPr>
        <w:widowControl/>
        <w:spacing w:line="560" w:lineRule="exact"/>
        <w:ind w:firstLine="0" w:firstLineChars="0"/>
        <w:jc w:val="center"/>
        <w:outlineLvl w:val="9"/>
        <w:rPr>
          <w:rFonts w:ascii="Times New Roman" w:hAnsi="Times New Roman" w:eastAsia="楷体_GB2312"/>
          <w:b w:val="0"/>
          <w:bCs w:val="0"/>
          <w:color w:val="000000"/>
          <w:szCs w:val="32"/>
          <w:lang w:val="en-US" w:eastAsia="zh-CN"/>
        </w:rPr>
      </w:pPr>
      <w:r>
        <w:rPr>
          <w:rFonts w:ascii="Times New Roman" w:hAnsi="Times New Roman" w:eastAsia="楷体_GB2312"/>
          <w:b w:val="0"/>
          <w:bCs w:val="0"/>
          <w:color w:val="000000"/>
          <w:szCs w:val="32"/>
          <w:lang w:val="en-US" w:eastAsia="zh-CN"/>
        </w:rPr>
        <w:t>2026年4月</w:t>
      </w:r>
    </w:p>
    <w:p w14:paraId="6D100776">
      <w:pPr>
        <w:pStyle w:val="6"/>
        <w:spacing w:before="0" w:after="156" w:line="560" w:lineRule="exact"/>
        <w:ind w:firstLine="0" w:firstLineChars="0"/>
        <w:jc w:val="center"/>
        <w:outlineLvl w:val="9"/>
        <w:rPr>
          <w:rFonts w:ascii="Times New Roman" w:hAnsi="Times New Roman" w:eastAsia="楷体_GB2312"/>
          <w:b w:val="0"/>
          <w:bCs w:val="0"/>
          <w:color w:val="000000"/>
          <w:szCs w:val="32"/>
          <w:lang w:val="en-US" w:eastAsia="zh-CN"/>
        </w:rPr>
        <w:sectPr>
          <w:endnotePr>
            <w:numFmt w:val="decimal"/>
          </w:endnotePr>
          <w:pgSz w:w="11911" w:h="16838"/>
          <w:pgMar w:top="1984" w:right="1587" w:bottom="1984" w:left="1531" w:header="0" w:footer="0" w:gutter="0"/>
          <w:pgBorders>
            <w:top w:val="none" w:sz="0" w:space="0"/>
            <w:left w:val="none" w:sz="0" w:space="0"/>
            <w:bottom w:val="none" w:sz="0" w:space="0"/>
            <w:right w:val="none" w:sz="0" w:space="0"/>
          </w:pgBorders>
          <w:pgNumType w:fmt="decimal" w:start="1"/>
          <w:cols w:space="720" w:num="1"/>
          <w:rtlGutter w:val="0"/>
          <w:docGrid w:linePitch="312" w:charSpace="0"/>
        </w:sectPr>
      </w:pPr>
    </w:p>
    <w:p w14:paraId="7796FF69">
      <w:pPr>
        <w:spacing w:before="0" w:after="0" w:line="240" w:lineRule="auto"/>
        <w:ind w:left="0" w:leftChars="0" w:right="0" w:rightChars="0" w:firstLine="0" w:firstLineChars="0"/>
        <w:jc w:val="center"/>
        <w:rPr>
          <w:rFonts w:hint="eastAsia" w:ascii="黑体" w:hAnsi="黑体" w:eastAsia="黑体"/>
          <w:sz w:val="36"/>
          <w:szCs w:val="36"/>
        </w:rPr>
      </w:pPr>
      <w:r>
        <w:rPr>
          <w:rFonts w:hint="eastAsia" w:ascii="黑体" w:hAnsi="黑体" w:eastAsia="黑体"/>
          <w:sz w:val="36"/>
          <w:szCs w:val="36"/>
        </w:rPr>
        <w:t>目</w:t>
      </w:r>
      <w:r>
        <w:rPr>
          <w:rFonts w:hint="eastAsia" w:ascii="黑体" w:hAnsi="黑体" w:eastAsia="黑体"/>
          <w:sz w:val="36"/>
          <w:szCs w:val="36"/>
          <w:lang w:val="en-US" w:eastAsia="zh-CN"/>
        </w:rPr>
        <w:t xml:space="preserve"> </w:t>
      </w:r>
      <w:r>
        <w:rPr>
          <w:rFonts w:hint="eastAsia" w:ascii="黑体" w:hAnsi="黑体" w:eastAsia="黑体"/>
          <w:sz w:val="36"/>
          <w:szCs w:val="36"/>
        </w:rPr>
        <w:t>录</w:t>
      </w:r>
    </w:p>
    <w:p w14:paraId="07F3B8E2">
      <w:pPr>
        <w:pStyle w:val="33"/>
        <w:tabs>
          <w:tab w:val="right" w:leader="dot" w:pos="8737"/>
        </w:tabs>
        <w:rPr>
          <w:lang w:val="en-US" w:eastAsia="zh-CN"/>
        </w:rPr>
      </w:pPr>
      <w:r>
        <w:rPr>
          <w:lang w:val="en-US" w:eastAsia="zh-CN"/>
        </w:rPr>
        <w:fldChar w:fldCharType="begin"/>
      </w:r>
      <w:r>
        <w:rPr>
          <w:lang w:val="en-US" w:eastAsia="zh-CN"/>
        </w:rPr>
        <w:instrText xml:space="preserve">TOC \o "1-3" \h \u </w:instrText>
      </w:r>
      <w:r>
        <w:rPr>
          <w:lang w:val="en-US" w:eastAsia="zh-CN"/>
        </w:rPr>
        <w:fldChar w:fldCharType="separate"/>
      </w:r>
      <w:r>
        <w:rPr>
          <w:lang w:val="en-US" w:eastAsia="zh-CN"/>
        </w:rPr>
        <w:fldChar w:fldCharType="begin"/>
      </w:r>
      <w:r>
        <w:rPr>
          <w:lang w:val="en-US" w:eastAsia="zh-CN"/>
        </w:rPr>
        <w:instrText xml:space="preserve"> HYPERLINK \l _Toc18247 </w:instrText>
      </w:r>
      <w:r>
        <w:rPr>
          <w:lang w:val="en-US" w:eastAsia="zh-CN"/>
        </w:rPr>
        <w:fldChar w:fldCharType="separate"/>
      </w:r>
      <w:r>
        <w:rPr>
          <w:lang w:val="en-US" w:eastAsia="zh-CN"/>
        </w:rPr>
        <w:t>第一章 发展基础与面临形势</w:t>
      </w:r>
      <w:r>
        <w:tab/>
      </w:r>
      <w:r>
        <w:fldChar w:fldCharType="begin"/>
      </w:r>
      <w:r>
        <w:instrText xml:space="preserve"> PAGEREF _Toc18247 \h </w:instrText>
      </w:r>
      <w:r>
        <w:fldChar w:fldCharType="separate"/>
      </w:r>
      <w:r>
        <w:t>1</w:t>
      </w:r>
      <w:r>
        <w:fldChar w:fldCharType="end"/>
      </w:r>
      <w:r>
        <w:rPr>
          <w:lang w:val="en-US" w:eastAsia="zh-CN"/>
        </w:rPr>
        <w:fldChar w:fldCharType="end"/>
      </w:r>
    </w:p>
    <w:p w14:paraId="6C61EF5D">
      <w:pPr>
        <w:pStyle w:val="23"/>
        <w:tabs>
          <w:tab w:val="right" w:leader="dot" w:pos="8737"/>
        </w:tabs>
        <w:rPr>
          <w:lang w:val="en-US" w:eastAsia="zh-CN"/>
        </w:rPr>
      </w:pPr>
      <w:r>
        <w:rPr>
          <w:lang w:val="en-US" w:eastAsia="zh-CN"/>
        </w:rPr>
        <w:fldChar w:fldCharType="begin"/>
      </w:r>
      <w:r>
        <w:rPr>
          <w:lang w:val="en-US" w:eastAsia="zh-CN"/>
        </w:rPr>
        <w:instrText xml:space="preserve"> HYPERLINK \l _Toc27030 </w:instrText>
      </w:r>
      <w:r>
        <w:rPr>
          <w:lang w:val="en-US" w:eastAsia="zh-CN"/>
        </w:rPr>
        <w:fldChar w:fldCharType="separate"/>
      </w:r>
      <w:r>
        <w:rPr>
          <w:lang w:val="en-US" w:eastAsia="zh-CN"/>
        </w:rPr>
        <w:t>第一节 发展基础</w:t>
      </w:r>
      <w:r>
        <w:tab/>
      </w:r>
      <w:r>
        <w:fldChar w:fldCharType="begin"/>
      </w:r>
      <w:r>
        <w:instrText xml:space="preserve"> PAGEREF _Toc27030 \h </w:instrText>
      </w:r>
      <w:r>
        <w:fldChar w:fldCharType="separate"/>
      </w:r>
      <w:r>
        <w:t>1</w:t>
      </w:r>
      <w:r>
        <w:fldChar w:fldCharType="end"/>
      </w:r>
      <w:r>
        <w:rPr>
          <w:lang w:val="en-US" w:eastAsia="zh-CN"/>
        </w:rPr>
        <w:fldChar w:fldCharType="end"/>
      </w:r>
    </w:p>
    <w:p w14:paraId="24554F27">
      <w:pPr>
        <w:pStyle w:val="23"/>
        <w:tabs>
          <w:tab w:val="right" w:leader="dot" w:pos="8737"/>
        </w:tabs>
        <w:rPr>
          <w:lang w:val="en-US" w:eastAsia="zh-CN"/>
        </w:rPr>
      </w:pPr>
      <w:r>
        <w:rPr>
          <w:lang w:val="en-US" w:eastAsia="zh-CN"/>
        </w:rPr>
        <w:fldChar w:fldCharType="begin"/>
      </w:r>
      <w:r>
        <w:rPr>
          <w:lang w:val="en-US" w:eastAsia="zh-CN"/>
        </w:rPr>
        <w:instrText xml:space="preserve"> HYPERLINK \l _Toc26070 </w:instrText>
      </w:r>
      <w:r>
        <w:rPr>
          <w:lang w:val="en-US" w:eastAsia="zh-CN"/>
        </w:rPr>
        <w:fldChar w:fldCharType="separate"/>
      </w:r>
      <w:r>
        <w:rPr>
          <w:lang w:val="en-US" w:eastAsia="zh-CN"/>
        </w:rPr>
        <w:t>第二节 发展形势</w:t>
      </w:r>
      <w:r>
        <w:tab/>
      </w:r>
      <w:r>
        <w:fldChar w:fldCharType="begin"/>
      </w:r>
      <w:r>
        <w:instrText xml:space="preserve"> PAGEREF _Toc26070 \h </w:instrText>
      </w:r>
      <w:r>
        <w:fldChar w:fldCharType="separate"/>
      </w:r>
      <w:r>
        <w:t>3</w:t>
      </w:r>
      <w:r>
        <w:fldChar w:fldCharType="end"/>
      </w:r>
      <w:r>
        <w:rPr>
          <w:lang w:val="en-US" w:eastAsia="zh-CN"/>
        </w:rPr>
        <w:fldChar w:fldCharType="end"/>
      </w:r>
    </w:p>
    <w:p w14:paraId="4BF19A0F">
      <w:pPr>
        <w:pStyle w:val="23"/>
        <w:tabs>
          <w:tab w:val="right" w:leader="dot" w:pos="8737"/>
        </w:tabs>
        <w:rPr>
          <w:lang w:val="en-US" w:eastAsia="zh-CN"/>
        </w:rPr>
      </w:pPr>
      <w:r>
        <w:rPr>
          <w:lang w:val="en-US" w:eastAsia="zh-CN"/>
        </w:rPr>
        <w:fldChar w:fldCharType="begin"/>
      </w:r>
      <w:r>
        <w:rPr>
          <w:lang w:val="en-US" w:eastAsia="zh-CN"/>
        </w:rPr>
        <w:instrText xml:space="preserve"> HYPERLINK \l _Toc27265 </w:instrText>
      </w:r>
      <w:r>
        <w:rPr>
          <w:lang w:val="en-US" w:eastAsia="zh-CN"/>
        </w:rPr>
        <w:fldChar w:fldCharType="separate"/>
      </w:r>
      <w:r>
        <w:rPr>
          <w:lang w:val="en-US" w:eastAsia="zh-CN"/>
        </w:rPr>
        <w:t>第三节 指导思想</w:t>
      </w:r>
      <w:r>
        <w:tab/>
      </w:r>
      <w:r>
        <w:fldChar w:fldCharType="begin"/>
      </w:r>
      <w:r>
        <w:instrText xml:space="preserve"> PAGEREF _Toc27265 \h </w:instrText>
      </w:r>
      <w:r>
        <w:fldChar w:fldCharType="separate"/>
      </w:r>
      <w:r>
        <w:t>5</w:t>
      </w:r>
      <w:r>
        <w:fldChar w:fldCharType="end"/>
      </w:r>
      <w:r>
        <w:rPr>
          <w:lang w:val="en-US" w:eastAsia="zh-CN"/>
        </w:rPr>
        <w:fldChar w:fldCharType="end"/>
      </w:r>
    </w:p>
    <w:p w14:paraId="720EDA9E">
      <w:pPr>
        <w:pStyle w:val="23"/>
        <w:tabs>
          <w:tab w:val="right" w:leader="dot" w:pos="8737"/>
        </w:tabs>
        <w:rPr>
          <w:lang w:val="en-US" w:eastAsia="zh-CN"/>
        </w:rPr>
      </w:pPr>
      <w:r>
        <w:rPr>
          <w:lang w:val="en-US" w:eastAsia="zh-CN"/>
        </w:rPr>
        <w:fldChar w:fldCharType="begin"/>
      </w:r>
      <w:r>
        <w:rPr>
          <w:lang w:val="en-US" w:eastAsia="zh-CN"/>
        </w:rPr>
        <w:instrText xml:space="preserve"> HYPERLINK \l _Toc18285 </w:instrText>
      </w:r>
      <w:r>
        <w:rPr>
          <w:lang w:val="en-US" w:eastAsia="zh-CN"/>
        </w:rPr>
        <w:fldChar w:fldCharType="separate"/>
      </w:r>
      <w:r>
        <w:rPr>
          <w:lang w:val="en-US" w:eastAsia="zh-CN"/>
        </w:rPr>
        <w:t>第四节 基本原则</w:t>
      </w:r>
      <w:r>
        <w:tab/>
      </w:r>
      <w:r>
        <w:fldChar w:fldCharType="begin"/>
      </w:r>
      <w:r>
        <w:instrText xml:space="preserve"> PAGEREF _Toc18285 \h </w:instrText>
      </w:r>
      <w:r>
        <w:fldChar w:fldCharType="separate"/>
      </w:r>
      <w:r>
        <w:t>5</w:t>
      </w:r>
      <w:r>
        <w:fldChar w:fldCharType="end"/>
      </w:r>
      <w:r>
        <w:rPr>
          <w:lang w:val="en-US" w:eastAsia="zh-CN"/>
        </w:rPr>
        <w:fldChar w:fldCharType="end"/>
      </w:r>
    </w:p>
    <w:p w14:paraId="4629DA5E">
      <w:pPr>
        <w:pStyle w:val="23"/>
        <w:tabs>
          <w:tab w:val="right" w:leader="dot" w:pos="8737"/>
        </w:tabs>
        <w:rPr>
          <w:lang w:val="en-US" w:eastAsia="zh-CN"/>
        </w:rPr>
      </w:pPr>
      <w:r>
        <w:rPr>
          <w:lang w:val="en-US" w:eastAsia="zh-CN"/>
        </w:rPr>
        <w:fldChar w:fldCharType="begin"/>
      </w:r>
      <w:r>
        <w:rPr>
          <w:lang w:val="en-US" w:eastAsia="zh-CN"/>
        </w:rPr>
        <w:instrText xml:space="preserve"> HYPERLINK \l _Toc10838 </w:instrText>
      </w:r>
      <w:r>
        <w:rPr>
          <w:lang w:val="en-US" w:eastAsia="zh-CN"/>
        </w:rPr>
        <w:fldChar w:fldCharType="separate"/>
      </w:r>
      <w:r>
        <w:rPr>
          <w:lang w:val="en-US" w:eastAsia="zh-CN"/>
        </w:rPr>
        <w:t>第五节 发展目标</w:t>
      </w:r>
      <w:r>
        <w:tab/>
      </w:r>
      <w:r>
        <w:fldChar w:fldCharType="begin"/>
      </w:r>
      <w:r>
        <w:instrText xml:space="preserve"> PAGEREF _Toc10838 \h </w:instrText>
      </w:r>
      <w:r>
        <w:fldChar w:fldCharType="separate"/>
      </w:r>
      <w:r>
        <w:t>6</w:t>
      </w:r>
      <w:r>
        <w:fldChar w:fldCharType="end"/>
      </w:r>
      <w:r>
        <w:rPr>
          <w:lang w:val="en-US" w:eastAsia="zh-CN"/>
        </w:rPr>
        <w:fldChar w:fldCharType="end"/>
      </w:r>
    </w:p>
    <w:p w14:paraId="551437CD">
      <w:pPr>
        <w:pStyle w:val="33"/>
        <w:tabs>
          <w:tab w:val="right" w:leader="dot" w:pos="8737"/>
        </w:tabs>
        <w:rPr>
          <w:lang w:val="en-US" w:eastAsia="zh-CN"/>
        </w:rPr>
      </w:pPr>
      <w:r>
        <w:rPr>
          <w:lang w:val="en-US" w:eastAsia="zh-CN"/>
        </w:rPr>
        <w:fldChar w:fldCharType="begin"/>
      </w:r>
      <w:r>
        <w:rPr>
          <w:lang w:val="en-US" w:eastAsia="zh-CN"/>
        </w:rPr>
        <w:instrText xml:space="preserve"> HYPERLINK \l _Toc9541 </w:instrText>
      </w:r>
      <w:r>
        <w:rPr>
          <w:lang w:val="en-US" w:eastAsia="zh-CN"/>
        </w:rPr>
        <w:fldChar w:fldCharType="separate"/>
      </w:r>
      <w:r>
        <w:t>第</w:t>
      </w:r>
      <w:r>
        <w:rPr>
          <w:lang w:eastAsia="zh-CN"/>
        </w:rPr>
        <w:t>二</w:t>
      </w:r>
      <w:r>
        <w:t>章 完善现代商业体系 促进内贸流通发展</w:t>
      </w:r>
      <w:r>
        <w:tab/>
      </w:r>
      <w:r>
        <w:fldChar w:fldCharType="begin"/>
      </w:r>
      <w:r>
        <w:instrText xml:space="preserve"> PAGEREF _Toc9541 \h </w:instrText>
      </w:r>
      <w:r>
        <w:fldChar w:fldCharType="separate"/>
      </w:r>
      <w:r>
        <w:t>8</w:t>
      </w:r>
      <w:r>
        <w:fldChar w:fldCharType="end"/>
      </w:r>
      <w:r>
        <w:rPr>
          <w:lang w:val="en-US" w:eastAsia="zh-CN"/>
        </w:rPr>
        <w:fldChar w:fldCharType="end"/>
      </w:r>
    </w:p>
    <w:p w14:paraId="54D21EC8">
      <w:pPr>
        <w:pStyle w:val="23"/>
        <w:tabs>
          <w:tab w:val="right" w:leader="dot" w:pos="8737"/>
        </w:tabs>
        <w:rPr>
          <w:lang w:val="en-US" w:eastAsia="zh-CN"/>
        </w:rPr>
      </w:pPr>
      <w:r>
        <w:rPr>
          <w:lang w:val="en-US" w:eastAsia="zh-CN"/>
        </w:rPr>
        <w:fldChar w:fldCharType="begin"/>
      </w:r>
      <w:r>
        <w:rPr>
          <w:lang w:val="en-US" w:eastAsia="zh-CN"/>
        </w:rPr>
        <w:instrText xml:space="preserve"> HYPERLINK \l _Toc22374 </w:instrText>
      </w:r>
      <w:r>
        <w:rPr>
          <w:lang w:val="en-US" w:eastAsia="zh-CN"/>
        </w:rPr>
        <w:fldChar w:fldCharType="separate"/>
      </w:r>
      <w:r>
        <w:rPr>
          <w:lang w:val="en-US" w:eastAsia="zh-CN"/>
        </w:rPr>
        <w:t>第一节 推动消费扩容提质升级</w:t>
      </w:r>
      <w:r>
        <w:tab/>
      </w:r>
      <w:r>
        <w:fldChar w:fldCharType="begin"/>
      </w:r>
      <w:r>
        <w:instrText xml:space="preserve"> PAGEREF _Toc22374 \h </w:instrText>
      </w:r>
      <w:r>
        <w:fldChar w:fldCharType="separate"/>
      </w:r>
      <w:r>
        <w:t>8</w:t>
      </w:r>
      <w:r>
        <w:fldChar w:fldCharType="end"/>
      </w:r>
      <w:r>
        <w:rPr>
          <w:lang w:val="en-US" w:eastAsia="zh-CN"/>
        </w:rPr>
        <w:fldChar w:fldCharType="end"/>
      </w:r>
    </w:p>
    <w:p w14:paraId="1987B1EB">
      <w:pPr>
        <w:pStyle w:val="23"/>
        <w:tabs>
          <w:tab w:val="right" w:leader="dot" w:pos="8737"/>
        </w:tabs>
        <w:rPr>
          <w:lang w:val="en-US" w:eastAsia="zh-CN"/>
        </w:rPr>
      </w:pPr>
      <w:r>
        <w:rPr>
          <w:lang w:val="en-US" w:eastAsia="zh-CN"/>
        </w:rPr>
        <w:fldChar w:fldCharType="begin"/>
      </w:r>
      <w:r>
        <w:rPr>
          <w:lang w:val="en-US" w:eastAsia="zh-CN"/>
        </w:rPr>
        <w:instrText xml:space="preserve"> HYPERLINK \l _Toc28259 </w:instrText>
      </w:r>
      <w:r>
        <w:rPr>
          <w:lang w:val="en-US" w:eastAsia="zh-CN"/>
        </w:rPr>
        <w:fldChar w:fldCharType="separate"/>
      </w:r>
      <w:r>
        <w:rPr>
          <w:lang w:val="en-US" w:eastAsia="zh-CN"/>
        </w:rPr>
        <w:t>第二节 优化现代商贸流通体系</w:t>
      </w:r>
      <w:r>
        <w:tab/>
      </w:r>
      <w:r>
        <w:fldChar w:fldCharType="begin"/>
      </w:r>
      <w:r>
        <w:instrText xml:space="preserve"> PAGEREF _Toc28259 \h </w:instrText>
      </w:r>
      <w:r>
        <w:fldChar w:fldCharType="separate"/>
      </w:r>
      <w:r>
        <w:t>10</w:t>
      </w:r>
      <w:r>
        <w:fldChar w:fldCharType="end"/>
      </w:r>
      <w:r>
        <w:rPr>
          <w:lang w:val="en-US" w:eastAsia="zh-CN"/>
        </w:rPr>
        <w:fldChar w:fldCharType="end"/>
      </w:r>
    </w:p>
    <w:p w14:paraId="055D6DA1">
      <w:pPr>
        <w:pStyle w:val="23"/>
        <w:tabs>
          <w:tab w:val="right" w:leader="dot" w:pos="8737"/>
        </w:tabs>
        <w:rPr>
          <w:lang w:val="en-US" w:eastAsia="zh-CN"/>
        </w:rPr>
      </w:pPr>
      <w:r>
        <w:rPr>
          <w:lang w:val="en-US" w:eastAsia="zh-CN"/>
        </w:rPr>
        <w:fldChar w:fldCharType="begin"/>
      </w:r>
      <w:r>
        <w:rPr>
          <w:lang w:val="en-US" w:eastAsia="zh-CN"/>
        </w:rPr>
        <w:instrText xml:space="preserve"> HYPERLINK \l _Toc7867 </w:instrText>
      </w:r>
      <w:r>
        <w:rPr>
          <w:lang w:val="en-US" w:eastAsia="zh-CN"/>
        </w:rPr>
        <w:fldChar w:fldCharType="separate"/>
      </w:r>
      <w:r>
        <w:rPr>
          <w:lang w:val="en-US" w:eastAsia="zh-CN"/>
        </w:rPr>
        <w:t>第三节 培育壮大市场主体规模</w:t>
      </w:r>
      <w:r>
        <w:tab/>
      </w:r>
      <w:r>
        <w:fldChar w:fldCharType="begin"/>
      </w:r>
      <w:r>
        <w:instrText xml:space="preserve"> PAGEREF _Toc7867 \h </w:instrText>
      </w:r>
      <w:r>
        <w:fldChar w:fldCharType="separate"/>
      </w:r>
      <w:r>
        <w:t>11</w:t>
      </w:r>
      <w:r>
        <w:fldChar w:fldCharType="end"/>
      </w:r>
      <w:r>
        <w:rPr>
          <w:lang w:val="en-US" w:eastAsia="zh-CN"/>
        </w:rPr>
        <w:fldChar w:fldCharType="end"/>
      </w:r>
    </w:p>
    <w:p w14:paraId="44789E8E">
      <w:pPr>
        <w:pStyle w:val="33"/>
        <w:tabs>
          <w:tab w:val="right" w:leader="dot" w:pos="8737"/>
        </w:tabs>
        <w:rPr>
          <w:lang w:val="en-US" w:eastAsia="zh-CN"/>
        </w:rPr>
      </w:pPr>
      <w:r>
        <w:rPr>
          <w:lang w:val="en-US" w:eastAsia="zh-CN"/>
        </w:rPr>
        <w:fldChar w:fldCharType="begin"/>
      </w:r>
      <w:r>
        <w:rPr>
          <w:lang w:val="en-US" w:eastAsia="zh-CN"/>
        </w:rPr>
        <w:instrText xml:space="preserve"> HYPERLINK \l _Toc30073 </w:instrText>
      </w:r>
      <w:r>
        <w:rPr>
          <w:lang w:val="en-US" w:eastAsia="zh-CN"/>
        </w:rPr>
        <w:fldChar w:fldCharType="separate"/>
      </w:r>
      <w:r>
        <w:rPr>
          <w:lang w:val="en-US" w:eastAsia="zh-CN"/>
        </w:rPr>
        <w:t>第三章 培育壮大外向经济 提升对外开放水平</w:t>
      </w:r>
      <w:r>
        <w:tab/>
      </w:r>
      <w:r>
        <w:fldChar w:fldCharType="begin"/>
      </w:r>
      <w:r>
        <w:instrText xml:space="preserve"> PAGEREF _Toc30073 \h </w:instrText>
      </w:r>
      <w:r>
        <w:fldChar w:fldCharType="separate"/>
      </w:r>
      <w:r>
        <w:t>14</w:t>
      </w:r>
      <w:r>
        <w:fldChar w:fldCharType="end"/>
      </w:r>
      <w:r>
        <w:rPr>
          <w:lang w:val="en-US" w:eastAsia="zh-CN"/>
        </w:rPr>
        <w:fldChar w:fldCharType="end"/>
      </w:r>
    </w:p>
    <w:p w14:paraId="752B7AD7">
      <w:pPr>
        <w:pStyle w:val="23"/>
        <w:tabs>
          <w:tab w:val="right" w:leader="dot" w:pos="8737"/>
        </w:tabs>
        <w:rPr>
          <w:lang w:val="en-US" w:eastAsia="zh-CN"/>
        </w:rPr>
      </w:pPr>
      <w:r>
        <w:rPr>
          <w:lang w:val="en-US" w:eastAsia="zh-CN"/>
        </w:rPr>
        <w:fldChar w:fldCharType="begin"/>
      </w:r>
      <w:r>
        <w:rPr>
          <w:lang w:val="en-US" w:eastAsia="zh-CN"/>
        </w:rPr>
        <w:instrText xml:space="preserve"> HYPERLINK \l _Toc8927 </w:instrText>
      </w:r>
      <w:r>
        <w:rPr>
          <w:lang w:val="en-US" w:eastAsia="zh-CN"/>
        </w:rPr>
        <w:fldChar w:fldCharType="separate"/>
      </w:r>
      <w:r>
        <w:rPr>
          <w:lang w:val="en-US" w:eastAsia="zh-CN"/>
        </w:rPr>
        <w:t>第一节 提升对外贸易质效</w:t>
      </w:r>
      <w:r>
        <w:tab/>
      </w:r>
      <w:r>
        <w:fldChar w:fldCharType="begin"/>
      </w:r>
      <w:r>
        <w:instrText xml:space="preserve"> PAGEREF _Toc8927 \h </w:instrText>
      </w:r>
      <w:r>
        <w:fldChar w:fldCharType="separate"/>
      </w:r>
      <w:r>
        <w:t>14</w:t>
      </w:r>
      <w:r>
        <w:fldChar w:fldCharType="end"/>
      </w:r>
      <w:r>
        <w:rPr>
          <w:lang w:val="en-US" w:eastAsia="zh-CN"/>
        </w:rPr>
        <w:fldChar w:fldCharType="end"/>
      </w:r>
    </w:p>
    <w:p w14:paraId="13D342B2">
      <w:pPr>
        <w:pStyle w:val="23"/>
        <w:tabs>
          <w:tab w:val="right" w:leader="dot" w:pos="8737"/>
        </w:tabs>
        <w:rPr>
          <w:lang w:val="en-US" w:eastAsia="zh-CN"/>
        </w:rPr>
      </w:pPr>
      <w:r>
        <w:rPr>
          <w:lang w:val="en-US" w:eastAsia="zh-CN"/>
        </w:rPr>
        <w:fldChar w:fldCharType="begin"/>
      </w:r>
      <w:r>
        <w:rPr>
          <w:lang w:val="en-US" w:eastAsia="zh-CN"/>
        </w:rPr>
        <w:instrText xml:space="preserve"> HYPERLINK \l _Toc2815 </w:instrText>
      </w:r>
      <w:r>
        <w:rPr>
          <w:lang w:val="en-US" w:eastAsia="zh-CN"/>
        </w:rPr>
        <w:fldChar w:fldCharType="separate"/>
      </w:r>
      <w:r>
        <w:rPr>
          <w:lang w:val="en-US" w:eastAsia="zh-CN"/>
        </w:rPr>
        <w:t>第二节 创新外贸业态模式</w:t>
      </w:r>
      <w:r>
        <w:tab/>
      </w:r>
      <w:r>
        <w:fldChar w:fldCharType="begin"/>
      </w:r>
      <w:r>
        <w:instrText xml:space="preserve"> PAGEREF _Toc2815 \h </w:instrText>
      </w:r>
      <w:r>
        <w:fldChar w:fldCharType="separate"/>
      </w:r>
      <w:r>
        <w:t>15</w:t>
      </w:r>
      <w:r>
        <w:fldChar w:fldCharType="end"/>
      </w:r>
      <w:r>
        <w:rPr>
          <w:lang w:val="en-US" w:eastAsia="zh-CN"/>
        </w:rPr>
        <w:fldChar w:fldCharType="end"/>
      </w:r>
    </w:p>
    <w:p w14:paraId="54E8DA2E">
      <w:pPr>
        <w:pStyle w:val="23"/>
        <w:tabs>
          <w:tab w:val="right" w:leader="dot" w:pos="8737"/>
        </w:tabs>
        <w:rPr>
          <w:lang w:val="en-US" w:eastAsia="zh-CN"/>
        </w:rPr>
      </w:pPr>
      <w:r>
        <w:rPr>
          <w:lang w:val="en-US" w:eastAsia="zh-CN"/>
        </w:rPr>
        <w:fldChar w:fldCharType="begin"/>
      </w:r>
      <w:r>
        <w:rPr>
          <w:lang w:val="en-US" w:eastAsia="zh-CN"/>
        </w:rPr>
        <w:instrText xml:space="preserve"> HYPERLINK \l _Toc12827 </w:instrText>
      </w:r>
      <w:r>
        <w:rPr>
          <w:lang w:val="en-US" w:eastAsia="zh-CN"/>
        </w:rPr>
        <w:fldChar w:fldCharType="separate"/>
      </w:r>
      <w:r>
        <w:rPr>
          <w:lang w:val="en-US" w:eastAsia="zh-CN"/>
        </w:rPr>
        <w:t>第三节 发挥平台集聚优势</w:t>
      </w:r>
      <w:r>
        <w:tab/>
      </w:r>
      <w:r>
        <w:fldChar w:fldCharType="begin"/>
      </w:r>
      <w:r>
        <w:instrText xml:space="preserve"> PAGEREF _Toc12827 \h </w:instrText>
      </w:r>
      <w:r>
        <w:fldChar w:fldCharType="separate"/>
      </w:r>
      <w:r>
        <w:t>17</w:t>
      </w:r>
      <w:r>
        <w:fldChar w:fldCharType="end"/>
      </w:r>
      <w:r>
        <w:rPr>
          <w:lang w:val="en-US" w:eastAsia="zh-CN"/>
        </w:rPr>
        <w:fldChar w:fldCharType="end"/>
      </w:r>
    </w:p>
    <w:p w14:paraId="26C422C5">
      <w:pPr>
        <w:pStyle w:val="23"/>
        <w:tabs>
          <w:tab w:val="right" w:leader="dot" w:pos="8737"/>
        </w:tabs>
        <w:rPr>
          <w:lang w:val="en-US" w:eastAsia="zh-CN"/>
        </w:rPr>
      </w:pPr>
      <w:r>
        <w:rPr>
          <w:lang w:val="en-US" w:eastAsia="zh-CN"/>
        </w:rPr>
        <w:fldChar w:fldCharType="begin"/>
      </w:r>
      <w:r>
        <w:rPr>
          <w:lang w:val="en-US" w:eastAsia="zh-CN"/>
        </w:rPr>
        <w:instrText xml:space="preserve"> HYPERLINK \l _Toc19715 </w:instrText>
      </w:r>
      <w:r>
        <w:rPr>
          <w:lang w:val="en-US" w:eastAsia="zh-CN"/>
        </w:rPr>
        <w:fldChar w:fldCharType="separate"/>
      </w:r>
      <w:r>
        <w:rPr>
          <w:lang w:val="en-US" w:eastAsia="zh-CN"/>
        </w:rPr>
        <w:t>第四节 深化对外交流合作</w:t>
      </w:r>
      <w:r>
        <w:tab/>
      </w:r>
      <w:r>
        <w:fldChar w:fldCharType="begin"/>
      </w:r>
      <w:r>
        <w:instrText xml:space="preserve"> PAGEREF _Toc19715 \h </w:instrText>
      </w:r>
      <w:r>
        <w:fldChar w:fldCharType="separate"/>
      </w:r>
      <w:r>
        <w:t>18</w:t>
      </w:r>
      <w:r>
        <w:fldChar w:fldCharType="end"/>
      </w:r>
      <w:r>
        <w:rPr>
          <w:lang w:val="en-US" w:eastAsia="zh-CN"/>
        </w:rPr>
        <w:fldChar w:fldCharType="end"/>
      </w:r>
    </w:p>
    <w:p w14:paraId="265AD2FB">
      <w:pPr>
        <w:pStyle w:val="33"/>
        <w:tabs>
          <w:tab w:val="right" w:leader="dot" w:pos="8737"/>
        </w:tabs>
        <w:rPr>
          <w:lang w:val="en-US" w:eastAsia="zh-CN"/>
        </w:rPr>
      </w:pPr>
      <w:r>
        <w:rPr>
          <w:lang w:val="en-US" w:eastAsia="zh-CN"/>
        </w:rPr>
        <w:fldChar w:fldCharType="begin"/>
      </w:r>
      <w:r>
        <w:rPr>
          <w:lang w:val="en-US" w:eastAsia="zh-CN"/>
        </w:rPr>
        <w:instrText xml:space="preserve"> HYPERLINK \l _Toc32646 </w:instrText>
      </w:r>
      <w:r>
        <w:rPr>
          <w:lang w:val="en-US" w:eastAsia="zh-CN"/>
        </w:rPr>
        <w:fldChar w:fldCharType="separate"/>
      </w:r>
      <w:r>
        <w:rPr>
          <w:rFonts w:ascii="Times New Roman" w:hAnsi="Times New Roman" w:eastAsia="黑体"/>
          <w:lang w:val="en-US" w:eastAsia="zh-CN"/>
        </w:rPr>
        <w:t>第四章 加大招商引资力度 增强经济发展后劲</w:t>
      </w:r>
      <w:r>
        <w:tab/>
      </w:r>
      <w:r>
        <w:fldChar w:fldCharType="begin"/>
      </w:r>
      <w:r>
        <w:instrText xml:space="preserve"> PAGEREF _Toc32646 \h </w:instrText>
      </w:r>
      <w:r>
        <w:fldChar w:fldCharType="separate"/>
      </w:r>
      <w:r>
        <w:t>22</w:t>
      </w:r>
      <w:r>
        <w:fldChar w:fldCharType="end"/>
      </w:r>
      <w:r>
        <w:rPr>
          <w:lang w:val="en-US" w:eastAsia="zh-CN"/>
        </w:rPr>
        <w:fldChar w:fldCharType="end"/>
      </w:r>
    </w:p>
    <w:p w14:paraId="7215D9FE">
      <w:pPr>
        <w:pStyle w:val="23"/>
        <w:tabs>
          <w:tab w:val="right" w:leader="dot" w:pos="8737"/>
        </w:tabs>
        <w:rPr>
          <w:lang w:val="en-US" w:eastAsia="zh-CN"/>
        </w:rPr>
      </w:pPr>
      <w:r>
        <w:rPr>
          <w:lang w:val="en-US" w:eastAsia="zh-CN"/>
        </w:rPr>
        <w:fldChar w:fldCharType="begin"/>
      </w:r>
      <w:r>
        <w:rPr>
          <w:lang w:val="en-US" w:eastAsia="zh-CN"/>
        </w:rPr>
        <w:instrText xml:space="preserve"> HYPERLINK \l _Toc635 </w:instrText>
      </w:r>
      <w:r>
        <w:rPr>
          <w:lang w:val="en-US" w:eastAsia="zh-CN"/>
        </w:rPr>
        <w:fldChar w:fldCharType="separate"/>
      </w:r>
      <w:r>
        <w:rPr>
          <w:lang w:val="en-US" w:eastAsia="zh-CN"/>
        </w:rPr>
        <w:t>第一节 着力健全招商引资工作机制</w:t>
      </w:r>
      <w:r>
        <w:tab/>
      </w:r>
      <w:r>
        <w:fldChar w:fldCharType="begin"/>
      </w:r>
      <w:r>
        <w:instrText xml:space="preserve"> PAGEREF _Toc635 \h </w:instrText>
      </w:r>
      <w:r>
        <w:fldChar w:fldCharType="separate"/>
      </w:r>
      <w:r>
        <w:t>22</w:t>
      </w:r>
      <w:r>
        <w:fldChar w:fldCharType="end"/>
      </w:r>
      <w:r>
        <w:rPr>
          <w:lang w:val="en-US" w:eastAsia="zh-CN"/>
        </w:rPr>
        <w:fldChar w:fldCharType="end"/>
      </w:r>
    </w:p>
    <w:p w14:paraId="08FFB729">
      <w:pPr>
        <w:pStyle w:val="23"/>
        <w:tabs>
          <w:tab w:val="right" w:leader="dot" w:pos="8737"/>
        </w:tabs>
        <w:rPr>
          <w:lang w:val="en-US" w:eastAsia="zh-CN"/>
        </w:rPr>
      </w:pPr>
      <w:r>
        <w:rPr>
          <w:lang w:val="en-US" w:eastAsia="zh-CN"/>
        </w:rPr>
        <w:fldChar w:fldCharType="begin"/>
      </w:r>
      <w:r>
        <w:rPr>
          <w:lang w:val="en-US" w:eastAsia="zh-CN"/>
        </w:rPr>
        <w:instrText xml:space="preserve"> HYPERLINK \l _Toc32145 </w:instrText>
      </w:r>
      <w:r>
        <w:rPr>
          <w:lang w:val="en-US" w:eastAsia="zh-CN"/>
        </w:rPr>
        <w:fldChar w:fldCharType="separate"/>
      </w:r>
      <w:r>
        <w:rPr>
          <w:lang w:val="en-US" w:eastAsia="zh-CN"/>
        </w:rPr>
        <w:t>第二节 聚焦</w:t>
      </w:r>
      <w:r>
        <w:rPr>
          <w:rFonts w:hint="eastAsia"/>
          <w:lang w:val="en-US" w:eastAsia="zh-CN"/>
        </w:rPr>
        <w:t>“</w:t>
      </w:r>
      <w:r>
        <w:rPr>
          <w:lang w:val="en-US" w:eastAsia="zh-CN"/>
        </w:rPr>
        <w:t>一主两副</w:t>
      </w:r>
      <w:r>
        <w:rPr>
          <w:rFonts w:hint="eastAsia"/>
          <w:lang w:val="en-US" w:eastAsia="zh-CN"/>
        </w:rPr>
        <w:t>”</w:t>
      </w:r>
      <w:r>
        <w:rPr>
          <w:lang w:val="en-US" w:eastAsia="zh-CN"/>
        </w:rPr>
        <w:t>，实施靶向精准招商</w:t>
      </w:r>
      <w:r>
        <w:tab/>
      </w:r>
      <w:r>
        <w:fldChar w:fldCharType="begin"/>
      </w:r>
      <w:r>
        <w:instrText xml:space="preserve"> PAGEREF _Toc32145 \h </w:instrText>
      </w:r>
      <w:r>
        <w:fldChar w:fldCharType="separate"/>
      </w:r>
      <w:r>
        <w:t>22</w:t>
      </w:r>
      <w:r>
        <w:fldChar w:fldCharType="end"/>
      </w:r>
      <w:r>
        <w:rPr>
          <w:lang w:val="en-US" w:eastAsia="zh-CN"/>
        </w:rPr>
        <w:fldChar w:fldCharType="end"/>
      </w:r>
    </w:p>
    <w:p w14:paraId="3B2E5F3F">
      <w:pPr>
        <w:pStyle w:val="23"/>
        <w:tabs>
          <w:tab w:val="right" w:leader="dot" w:pos="8737"/>
        </w:tabs>
        <w:rPr>
          <w:lang w:val="en-US" w:eastAsia="zh-CN"/>
        </w:rPr>
      </w:pPr>
      <w:r>
        <w:rPr>
          <w:lang w:val="en-US" w:eastAsia="zh-CN"/>
        </w:rPr>
        <w:fldChar w:fldCharType="begin"/>
      </w:r>
      <w:r>
        <w:rPr>
          <w:lang w:val="en-US" w:eastAsia="zh-CN"/>
        </w:rPr>
        <w:instrText xml:space="preserve"> HYPERLINK \l _Toc17950 </w:instrText>
      </w:r>
      <w:r>
        <w:rPr>
          <w:lang w:val="en-US" w:eastAsia="zh-CN"/>
        </w:rPr>
        <w:fldChar w:fldCharType="separate"/>
      </w:r>
      <w:r>
        <w:rPr>
          <w:lang w:val="en-US" w:eastAsia="zh-CN"/>
        </w:rPr>
        <w:t>第三节 创新多元方式，提升招商引资实效</w:t>
      </w:r>
      <w:r>
        <w:tab/>
      </w:r>
      <w:r>
        <w:fldChar w:fldCharType="begin"/>
      </w:r>
      <w:r>
        <w:instrText xml:space="preserve"> PAGEREF _Toc17950 \h </w:instrText>
      </w:r>
      <w:r>
        <w:fldChar w:fldCharType="separate"/>
      </w:r>
      <w:r>
        <w:t>23</w:t>
      </w:r>
      <w:r>
        <w:fldChar w:fldCharType="end"/>
      </w:r>
      <w:r>
        <w:rPr>
          <w:lang w:val="en-US" w:eastAsia="zh-CN"/>
        </w:rPr>
        <w:fldChar w:fldCharType="end"/>
      </w:r>
    </w:p>
    <w:p w14:paraId="1FDD5A14">
      <w:pPr>
        <w:pStyle w:val="23"/>
        <w:tabs>
          <w:tab w:val="right" w:leader="dot" w:pos="8737"/>
        </w:tabs>
        <w:rPr>
          <w:lang w:val="en-US" w:eastAsia="zh-CN"/>
        </w:rPr>
      </w:pPr>
      <w:r>
        <w:rPr>
          <w:lang w:val="en-US" w:eastAsia="zh-CN"/>
        </w:rPr>
        <w:fldChar w:fldCharType="begin"/>
      </w:r>
      <w:r>
        <w:rPr>
          <w:lang w:val="en-US" w:eastAsia="zh-CN"/>
        </w:rPr>
        <w:instrText xml:space="preserve"> HYPERLINK \l _Toc11769 </w:instrText>
      </w:r>
      <w:r>
        <w:rPr>
          <w:lang w:val="en-US" w:eastAsia="zh-CN"/>
        </w:rPr>
        <w:fldChar w:fldCharType="separate"/>
      </w:r>
      <w:r>
        <w:rPr>
          <w:lang w:val="en-US" w:eastAsia="zh-CN"/>
        </w:rPr>
        <w:t>第四节 狠抓项目落地，强化全生命周期服务保障</w:t>
      </w:r>
      <w:r>
        <w:tab/>
      </w:r>
      <w:r>
        <w:fldChar w:fldCharType="begin"/>
      </w:r>
      <w:r>
        <w:instrText xml:space="preserve"> PAGEREF _Toc11769 \h </w:instrText>
      </w:r>
      <w:r>
        <w:fldChar w:fldCharType="separate"/>
      </w:r>
      <w:r>
        <w:t>25</w:t>
      </w:r>
      <w:r>
        <w:fldChar w:fldCharType="end"/>
      </w:r>
      <w:r>
        <w:rPr>
          <w:lang w:val="en-US" w:eastAsia="zh-CN"/>
        </w:rPr>
        <w:fldChar w:fldCharType="end"/>
      </w:r>
    </w:p>
    <w:p w14:paraId="26F7D264">
      <w:pPr>
        <w:pStyle w:val="33"/>
        <w:tabs>
          <w:tab w:val="right" w:leader="dot" w:pos="8737"/>
        </w:tabs>
        <w:rPr>
          <w:lang w:val="en-US" w:eastAsia="zh-CN"/>
        </w:rPr>
      </w:pPr>
      <w:r>
        <w:rPr>
          <w:lang w:val="en-US" w:eastAsia="zh-CN"/>
        </w:rPr>
        <w:fldChar w:fldCharType="begin"/>
      </w:r>
      <w:r>
        <w:rPr>
          <w:lang w:val="en-US" w:eastAsia="zh-CN"/>
        </w:rPr>
        <w:instrText xml:space="preserve"> HYPERLINK \l _Toc9489 </w:instrText>
      </w:r>
      <w:r>
        <w:rPr>
          <w:lang w:val="en-US" w:eastAsia="zh-CN"/>
        </w:rPr>
        <w:fldChar w:fldCharType="separate"/>
      </w:r>
      <w:r>
        <w:rPr>
          <w:lang w:val="en-US" w:eastAsia="zh-CN"/>
        </w:rPr>
        <w:t>第</w:t>
      </w:r>
      <w:r>
        <w:rPr>
          <w:rFonts w:hint="eastAsia"/>
          <w:lang w:val="en-US" w:eastAsia="zh-CN"/>
        </w:rPr>
        <w:t>五</w:t>
      </w:r>
      <w:r>
        <w:rPr>
          <w:lang w:val="en-US" w:eastAsia="zh-CN"/>
        </w:rPr>
        <w:t>章 坚持改革创新驱动</w:t>
      </w:r>
      <w:r>
        <w:rPr>
          <w:rFonts w:hint="eastAsia"/>
          <w:lang w:val="en-US" w:eastAsia="zh-CN"/>
        </w:rPr>
        <w:t xml:space="preserve"> </w:t>
      </w:r>
      <w:r>
        <w:rPr>
          <w:lang w:val="en-US" w:eastAsia="zh-CN"/>
        </w:rPr>
        <w:t>推动开发区高质量发展</w:t>
      </w:r>
      <w:r>
        <w:tab/>
      </w:r>
      <w:r>
        <w:fldChar w:fldCharType="begin"/>
      </w:r>
      <w:r>
        <w:instrText xml:space="preserve"> PAGEREF _Toc9489 \h </w:instrText>
      </w:r>
      <w:r>
        <w:fldChar w:fldCharType="separate"/>
      </w:r>
      <w:r>
        <w:t>29</w:t>
      </w:r>
      <w:r>
        <w:fldChar w:fldCharType="end"/>
      </w:r>
      <w:r>
        <w:rPr>
          <w:lang w:val="en-US" w:eastAsia="zh-CN"/>
        </w:rPr>
        <w:fldChar w:fldCharType="end"/>
      </w:r>
    </w:p>
    <w:p w14:paraId="1C48DA90">
      <w:pPr>
        <w:pStyle w:val="23"/>
        <w:tabs>
          <w:tab w:val="right" w:leader="dot" w:pos="8737"/>
        </w:tabs>
        <w:rPr>
          <w:lang w:val="en-US" w:eastAsia="zh-CN"/>
        </w:rPr>
      </w:pPr>
      <w:r>
        <w:rPr>
          <w:lang w:val="en-US" w:eastAsia="zh-CN"/>
        </w:rPr>
        <w:fldChar w:fldCharType="begin"/>
      </w:r>
      <w:r>
        <w:rPr>
          <w:lang w:val="en-US" w:eastAsia="zh-CN"/>
        </w:rPr>
        <w:instrText xml:space="preserve"> HYPERLINK \l _Toc6725 </w:instrText>
      </w:r>
      <w:r>
        <w:rPr>
          <w:lang w:val="en-US" w:eastAsia="zh-CN"/>
        </w:rPr>
        <w:fldChar w:fldCharType="separate"/>
      </w:r>
      <w:r>
        <w:rPr>
          <w:lang w:val="en-US" w:eastAsia="zh-CN"/>
        </w:rPr>
        <w:t>第一节 优化开发区空间布局</w:t>
      </w:r>
      <w:r>
        <w:tab/>
      </w:r>
      <w:r>
        <w:fldChar w:fldCharType="begin"/>
      </w:r>
      <w:r>
        <w:instrText xml:space="preserve"> PAGEREF _Toc6725 \h </w:instrText>
      </w:r>
      <w:r>
        <w:fldChar w:fldCharType="separate"/>
      </w:r>
      <w:r>
        <w:t>29</w:t>
      </w:r>
      <w:r>
        <w:fldChar w:fldCharType="end"/>
      </w:r>
      <w:r>
        <w:rPr>
          <w:lang w:val="en-US" w:eastAsia="zh-CN"/>
        </w:rPr>
        <w:fldChar w:fldCharType="end"/>
      </w:r>
    </w:p>
    <w:p w14:paraId="0EB04D2A">
      <w:pPr>
        <w:pStyle w:val="23"/>
        <w:tabs>
          <w:tab w:val="right" w:leader="dot" w:pos="8737"/>
        </w:tabs>
        <w:rPr>
          <w:lang w:val="en-US" w:eastAsia="zh-CN"/>
        </w:rPr>
      </w:pPr>
      <w:r>
        <w:rPr>
          <w:lang w:val="en-US" w:eastAsia="zh-CN"/>
        </w:rPr>
        <w:fldChar w:fldCharType="begin"/>
      </w:r>
      <w:r>
        <w:rPr>
          <w:lang w:val="en-US" w:eastAsia="zh-CN"/>
        </w:rPr>
        <w:instrText xml:space="preserve"> HYPERLINK \l _Toc14310 </w:instrText>
      </w:r>
      <w:r>
        <w:rPr>
          <w:lang w:val="en-US" w:eastAsia="zh-CN"/>
        </w:rPr>
        <w:fldChar w:fldCharType="separate"/>
      </w:r>
      <w:r>
        <w:rPr>
          <w:lang w:val="en-US" w:eastAsia="zh-CN"/>
        </w:rPr>
        <w:t>第二节 深化开发区体制机制改革</w:t>
      </w:r>
      <w:r>
        <w:tab/>
      </w:r>
      <w:r>
        <w:fldChar w:fldCharType="begin"/>
      </w:r>
      <w:r>
        <w:instrText xml:space="preserve"> PAGEREF _Toc14310 \h </w:instrText>
      </w:r>
      <w:r>
        <w:fldChar w:fldCharType="separate"/>
      </w:r>
      <w:r>
        <w:t>29</w:t>
      </w:r>
      <w:r>
        <w:fldChar w:fldCharType="end"/>
      </w:r>
      <w:r>
        <w:rPr>
          <w:lang w:val="en-US" w:eastAsia="zh-CN"/>
        </w:rPr>
        <w:fldChar w:fldCharType="end"/>
      </w:r>
    </w:p>
    <w:p w14:paraId="2D6EC008">
      <w:pPr>
        <w:pStyle w:val="23"/>
        <w:tabs>
          <w:tab w:val="right" w:leader="dot" w:pos="8737"/>
        </w:tabs>
        <w:rPr>
          <w:lang w:val="en-US" w:eastAsia="zh-CN"/>
        </w:rPr>
      </w:pPr>
      <w:r>
        <w:rPr>
          <w:lang w:val="en-US" w:eastAsia="zh-CN"/>
        </w:rPr>
        <w:fldChar w:fldCharType="begin"/>
      </w:r>
      <w:r>
        <w:rPr>
          <w:lang w:val="en-US" w:eastAsia="zh-CN"/>
        </w:rPr>
        <w:instrText xml:space="preserve"> HYPERLINK \l _Toc314 </w:instrText>
      </w:r>
      <w:r>
        <w:rPr>
          <w:lang w:val="en-US" w:eastAsia="zh-CN"/>
        </w:rPr>
        <w:fldChar w:fldCharType="separate"/>
      </w:r>
      <w:r>
        <w:rPr>
          <w:lang w:val="en-US" w:eastAsia="zh-CN"/>
        </w:rPr>
        <w:t>第三节 提升开发区产业发展水平</w:t>
      </w:r>
      <w:r>
        <w:tab/>
      </w:r>
      <w:r>
        <w:fldChar w:fldCharType="begin"/>
      </w:r>
      <w:r>
        <w:instrText xml:space="preserve"> PAGEREF _Toc314 \h </w:instrText>
      </w:r>
      <w:r>
        <w:fldChar w:fldCharType="separate"/>
      </w:r>
      <w:r>
        <w:t>30</w:t>
      </w:r>
      <w:r>
        <w:fldChar w:fldCharType="end"/>
      </w:r>
      <w:r>
        <w:rPr>
          <w:lang w:val="en-US" w:eastAsia="zh-CN"/>
        </w:rPr>
        <w:fldChar w:fldCharType="end"/>
      </w:r>
    </w:p>
    <w:p w14:paraId="6778C3F2">
      <w:pPr>
        <w:pStyle w:val="33"/>
        <w:tabs>
          <w:tab w:val="right" w:leader="dot" w:pos="8737"/>
        </w:tabs>
        <w:rPr>
          <w:lang w:val="en-US" w:eastAsia="zh-CN"/>
        </w:rPr>
      </w:pPr>
      <w:r>
        <w:rPr>
          <w:lang w:val="en-US" w:eastAsia="zh-CN"/>
        </w:rPr>
        <w:fldChar w:fldCharType="begin"/>
      </w:r>
      <w:r>
        <w:rPr>
          <w:lang w:val="en-US" w:eastAsia="zh-CN"/>
        </w:rPr>
        <w:instrText xml:space="preserve"> HYPERLINK \l _Toc12487 </w:instrText>
      </w:r>
      <w:r>
        <w:rPr>
          <w:lang w:val="en-US" w:eastAsia="zh-CN"/>
        </w:rPr>
        <w:fldChar w:fldCharType="separate"/>
      </w:r>
      <w:r>
        <w:rPr>
          <w:lang w:val="en-US" w:eastAsia="zh-CN"/>
        </w:rPr>
        <w:t>第</w:t>
      </w:r>
      <w:r>
        <w:rPr>
          <w:rFonts w:hint="eastAsia"/>
          <w:lang w:val="en-US" w:eastAsia="zh-CN"/>
        </w:rPr>
        <w:t>六</w:t>
      </w:r>
      <w:r>
        <w:rPr>
          <w:lang w:val="en-US" w:eastAsia="zh-CN"/>
        </w:rPr>
        <w:t>章 完善风险防控体系 保障经济安全运行</w:t>
      </w:r>
      <w:r>
        <w:tab/>
      </w:r>
      <w:r>
        <w:fldChar w:fldCharType="begin"/>
      </w:r>
      <w:r>
        <w:instrText xml:space="preserve"> PAGEREF _Toc12487 \h </w:instrText>
      </w:r>
      <w:r>
        <w:fldChar w:fldCharType="separate"/>
      </w:r>
      <w:r>
        <w:t>32</w:t>
      </w:r>
      <w:r>
        <w:fldChar w:fldCharType="end"/>
      </w:r>
      <w:r>
        <w:rPr>
          <w:lang w:val="en-US" w:eastAsia="zh-CN"/>
        </w:rPr>
        <w:fldChar w:fldCharType="end"/>
      </w:r>
    </w:p>
    <w:p w14:paraId="34CD1CF5">
      <w:pPr>
        <w:pStyle w:val="23"/>
        <w:tabs>
          <w:tab w:val="right" w:leader="dot" w:pos="8737"/>
        </w:tabs>
        <w:rPr>
          <w:lang w:val="en-US" w:eastAsia="zh-CN"/>
        </w:rPr>
      </w:pPr>
      <w:r>
        <w:rPr>
          <w:lang w:val="en-US" w:eastAsia="zh-CN"/>
        </w:rPr>
        <w:fldChar w:fldCharType="begin"/>
      </w:r>
      <w:r>
        <w:rPr>
          <w:lang w:val="en-US" w:eastAsia="zh-CN"/>
        </w:rPr>
        <w:instrText xml:space="preserve"> HYPERLINK \l _Toc26861 </w:instrText>
      </w:r>
      <w:r>
        <w:rPr>
          <w:lang w:val="en-US" w:eastAsia="zh-CN"/>
        </w:rPr>
        <w:fldChar w:fldCharType="separate"/>
      </w:r>
      <w:r>
        <w:rPr>
          <w:lang w:val="en-US" w:eastAsia="zh-CN"/>
        </w:rPr>
        <w:t>第一节 健全市场调控保供机制</w:t>
      </w:r>
      <w:r>
        <w:tab/>
      </w:r>
      <w:r>
        <w:fldChar w:fldCharType="begin"/>
      </w:r>
      <w:r>
        <w:instrText xml:space="preserve"> PAGEREF _Toc26861 \h </w:instrText>
      </w:r>
      <w:r>
        <w:fldChar w:fldCharType="separate"/>
      </w:r>
      <w:r>
        <w:t>32</w:t>
      </w:r>
      <w:r>
        <w:fldChar w:fldCharType="end"/>
      </w:r>
      <w:r>
        <w:rPr>
          <w:lang w:val="en-US" w:eastAsia="zh-CN"/>
        </w:rPr>
        <w:fldChar w:fldCharType="end"/>
      </w:r>
    </w:p>
    <w:p w14:paraId="252BBD79">
      <w:pPr>
        <w:pStyle w:val="23"/>
        <w:tabs>
          <w:tab w:val="right" w:leader="dot" w:pos="8737"/>
        </w:tabs>
        <w:rPr>
          <w:lang w:val="en-US" w:eastAsia="zh-CN"/>
        </w:rPr>
      </w:pPr>
      <w:r>
        <w:rPr>
          <w:lang w:val="en-US" w:eastAsia="zh-CN"/>
        </w:rPr>
        <w:fldChar w:fldCharType="begin"/>
      </w:r>
      <w:r>
        <w:rPr>
          <w:lang w:val="en-US" w:eastAsia="zh-CN"/>
        </w:rPr>
        <w:instrText xml:space="preserve"> HYPERLINK \l _Toc28612 </w:instrText>
      </w:r>
      <w:r>
        <w:rPr>
          <w:lang w:val="en-US" w:eastAsia="zh-CN"/>
        </w:rPr>
        <w:fldChar w:fldCharType="separate"/>
      </w:r>
      <w:r>
        <w:rPr>
          <w:lang w:val="en-US" w:eastAsia="zh-CN"/>
        </w:rPr>
        <w:t>第二节 推进商务领域法治建设</w:t>
      </w:r>
      <w:r>
        <w:tab/>
      </w:r>
      <w:r>
        <w:fldChar w:fldCharType="begin"/>
      </w:r>
      <w:r>
        <w:instrText xml:space="preserve"> PAGEREF _Toc28612 \h </w:instrText>
      </w:r>
      <w:r>
        <w:fldChar w:fldCharType="separate"/>
      </w:r>
      <w:r>
        <w:t>32</w:t>
      </w:r>
      <w:r>
        <w:fldChar w:fldCharType="end"/>
      </w:r>
      <w:r>
        <w:rPr>
          <w:lang w:val="en-US" w:eastAsia="zh-CN"/>
        </w:rPr>
        <w:fldChar w:fldCharType="end"/>
      </w:r>
    </w:p>
    <w:p w14:paraId="073F3D93">
      <w:pPr>
        <w:pStyle w:val="23"/>
        <w:tabs>
          <w:tab w:val="right" w:leader="dot" w:pos="8737"/>
        </w:tabs>
        <w:rPr>
          <w:lang w:val="en-US" w:eastAsia="zh-CN"/>
        </w:rPr>
      </w:pPr>
      <w:r>
        <w:rPr>
          <w:lang w:val="en-US" w:eastAsia="zh-CN"/>
        </w:rPr>
        <w:fldChar w:fldCharType="begin"/>
      </w:r>
      <w:r>
        <w:rPr>
          <w:lang w:val="en-US" w:eastAsia="zh-CN"/>
        </w:rPr>
        <w:instrText xml:space="preserve"> HYPERLINK \l _Toc598 </w:instrText>
      </w:r>
      <w:r>
        <w:rPr>
          <w:lang w:val="en-US" w:eastAsia="zh-CN"/>
        </w:rPr>
        <w:fldChar w:fldCharType="separate"/>
      </w:r>
      <w:r>
        <w:rPr>
          <w:lang w:val="en-US" w:eastAsia="zh-CN"/>
        </w:rPr>
        <w:t>第三节 构建安全生产责任体系</w:t>
      </w:r>
      <w:r>
        <w:tab/>
      </w:r>
      <w:r>
        <w:fldChar w:fldCharType="begin"/>
      </w:r>
      <w:r>
        <w:instrText xml:space="preserve"> PAGEREF _Toc598 \h </w:instrText>
      </w:r>
      <w:r>
        <w:fldChar w:fldCharType="separate"/>
      </w:r>
      <w:r>
        <w:t>32</w:t>
      </w:r>
      <w:r>
        <w:fldChar w:fldCharType="end"/>
      </w:r>
      <w:r>
        <w:rPr>
          <w:lang w:val="en-US" w:eastAsia="zh-CN"/>
        </w:rPr>
        <w:fldChar w:fldCharType="end"/>
      </w:r>
    </w:p>
    <w:p w14:paraId="3856A839">
      <w:pPr>
        <w:pStyle w:val="23"/>
        <w:tabs>
          <w:tab w:val="right" w:leader="dot" w:pos="8737"/>
        </w:tabs>
        <w:rPr>
          <w:lang w:val="en-US" w:eastAsia="zh-CN"/>
        </w:rPr>
      </w:pPr>
      <w:r>
        <w:rPr>
          <w:lang w:val="en-US" w:eastAsia="zh-CN"/>
        </w:rPr>
        <w:fldChar w:fldCharType="begin"/>
      </w:r>
      <w:r>
        <w:rPr>
          <w:lang w:val="en-US" w:eastAsia="zh-CN"/>
        </w:rPr>
        <w:instrText xml:space="preserve"> HYPERLINK \l _Toc30349 </w:instrText>
      </w:r>
      <w:r>
        <w:rPr>
          <w:lang w:val="en-US" w:eastAsia="zh-CN"/>
        </w:rPr>
        <w:fldChar w:fldCharType="separate"/>
      </w:r>
      <w:r>
        <w:rPr>
          <w:lang w:val="en-US" w:eastAsia="zh-CN"/>
        </w:rPr>
        <w:t>第四节 防范商务领域廉政风险</w:t>
      </w:r>
      <w:r>
        <w:tab/>
      </w:r>
      <w:r>
        <w:fldChar w:fldCharType="begin"/>
      </w:r>
      <w:r>
        <w:instrText xml:space="preserve"> PAGEREF _Toc30349 \h </w:instrText>
      </w:r>
      <w:r>
        <w:fldChar w:fldCharType="separate"/>
      </w:r>
      <w:r>
        <w:t>33</w:t>
      </w:r>
      <w:r>
        <w:fldChar w:fldCharType="end"/>
      </w:r>
      <w:r>
        <w:rPr>
          <w:lang w:val="en-US" w:eastAsia="zh-CN"/>
        </w:rPr>
        <w:fldChar w:fldCharType="end"/>
      </w:r>
    </w:p>
    <w:p w14:paraId="36F95220">
      <w:pPr>
        <w:pStyle w:val="33"/>
        <w:tabs>
          <w:tab w:val="right" w:leader="dot" w:pos="8737"/>
        </w:tabs>
        <w:rPr>
          <w:lang w:val="en-US" w:eastAsia="zh-CN"/>
        </w:rPr>
      </w:pPr>
      <w:r>
        <w:rPr>
          <w:lang w:val="en-US" w:eastAsia="zh-CN"/>
        </w:rPr>
        <w:fldChar w:fldCharType="begin"/>
      </w:r>
      <w:r>
        <w:rPr>
          <w:lang w:val="en-US" w:eastAsia="zh-CN"/>
        </w:rPr>
        <w:instrText xml:space="preserve"> HYPERLINK \l _Toc29332 </w:instrText>
      </w:r>
      <w:r>
        <w:rPr>
          <w:lang w:val="en-US" w:eastAsia="zh-CN"/>
        </w:rPr>
        <w:fldChar w:fldCharType="separate"/>
      </w:r>
      <w:r>
        <w:rPr>
          <w:lang w:val="en-US" w:eastAsia="zh-CN"/>
        </w:rPr>
        <w:t>第</w:t>
      </w:r>
      <w:r>
        <w:rPr>
          <w:rFonts w:hint="eastAsia"/>
          <w:lang w:val="en-US" w:eastAsia="zh-CN"/>
        </w:rPr>
        <w:t>七</w:t>
      </w:r>
      <w:r>
        <w:rPr>
          <w:lang w:val="en-US" w:eastAsia="zh-CN"/>
        </w:rPr>
        <w:t>章 坚持精准保障赋能 夯实商务发展支撑</w:t>
      </w:r>
      <w:r>
        <w:tab/>
      </w:r>
      <w:r>
        <w:fldChar w:fldCharType="begin"/>
      </w:r>
      <w:r>
        <w:instrText xml:space="preserve"> PAGEREF _Toc29332 \h </w:instrText>
      </w:r>
      <w:r>
        <w:fldChar w:fldCharType="separate"/>
      </w:r>
      <w:r>
        <w:t>34</w:t>
      </w:r>
      <w:r>
        <w:fldChar w:fldCharType="end"/>
      </w:r>
      <w:r>
        <w:rPr>
          <w:lang w:val="en-US" w:eastAsia="zh-CN"/>
        </w:rPr>
        <w:fldChar w:fldCharType="end"/>
      </w:r>
    </w:p>
    <w:p w14:paraId="388D1E2E">
      <w:pPr>
        <w:pStyle w:val="23"/>
        <w:tabs>
          <w:tab w:val="right" w:leader="dot" w:pos="8737"/>
        </w:tabs>
        <w:rPr>
          <w:lang w:val="en-US" w:eastAsia="zh-CN"/>
        </w:rPr>
      </w:pPr>
      <w:r>
        <w:rPr>
          <w:lang w:val="en-US" w:eastAsia="zh-CN"/>
        </w:rPr>
        <w:fldChar w:fldCharType="begin"/>
      </w:r>
      <w:r>
        <w:rPr>
          <w:lang w:val="en-US" w:eastAsia="zh-CN"/>
        </w:rPr>
        <w:instrText xml:space="preserve"> HYPERLINK \l _Toc7981 </w:instrText>
      </w:r>
      <w:r>
        <w:rPr>
          <w:lang w:val="en-US" w:eastAsia="zh-CN"/>
        </w:rPr>
        <w:fldChar w:fldCharType="separate"/>
      </w:r>
      <w:r>
        <w:rPr>
          <w:lang w:val="en-US" w:eastAsia="zh-CN"/>
        </w:rPr>
        <w:t>第一节 加强党对商务工作的全面领导</w:t>
      </w:r>
      <w:r>
        <w:tab/>
      </w:r>
      <w:r>
        <w:fldChar w:fldCharType="begin"/>
      </w:r>
      <w:r>
        <w:instrText xml:space="preserve"> PAGEREF _Toc7981 \h </w:instrText>
      </w:r>
      <w:r>
        <w:fldChar w:fldCharType="separate"/>
      </w:r>
      <w:r>
        <w:t>34</w:t>
      </w:r>
      <w:r>
        <w:fldChar w:fldCharType="end"/>
      </w:r>
      <w:r>
        <w:rPr>
          <w:lang w:val="en-US" w:eastAsia="zh-CN"/>
        </w:rPr>
        <w:fldChar w:fldCharType="end"/>
      </w:r>
    </w:p>
    <w:p w14:paraId="0A2D0DEB">
      <w:pPr>
        <w:pStyle w:val="23"/>
        <w:tabs>
          <w:tab w:val="right" w:leader="dot" w:pos="8737"/>
        </w:tabs>
        <w:rPr>
          <w:lang w:val="en-US" w:eastAsia="zh-CN"/>
        </w:rPr>
      </w:pPr>
      <w:r>
        <w:rPr>
          <w:lang w:val="en-US" w:eastAsia="zh-CN"/>
        </w:rPr>
        <w:fldChar w:fldCharType="begin"/>
      </w:r>
      <w:r>
        <w:rPr>
          <w:lang w:val="en-US" w:eastAsia="zh-CN"/>
        </w:rPr>
        <w:instrText xml:space="preserve"> HYPERLINK \l _Toc30533 </w:instrText>
      </w:r>
      <w:r>
        <w:rPr>
          <w:lang w:val="en-US" w:eastAsia="zh-CN"/>
        </w:rPr>
        <w:fldChar w:fldCharType="separate"/>
      </w:r>
      <w:r>
        <w:rPr>
          <w:lang w:val="en-US" w:eastAsia="zh-CN"/>
        </w:rPr>
        <w:t>第二节 推动兵地深度融合</w:t>
      </w:r>
      <w:r>
        <w:tab/>
      </w:r>
      <w:r>
        <w:fldChar w:fldCharType="begin"/>
      </w:r>
      <w:r>
        <w:instrText xml:space="preserve"> PAGEREF _Toc30533 \h </w:instrText>
      </w:r>
      <w:r>
        <w:fldChar w:fldCharType="separate"/>
      </w:r>
      <w:r>
        <w:t>34</w:t>
      </w:r>
      <w:r>
        <w:fldChar w:fldCharType="end"/>
      </w:r>
      <w:r>
        <w:rPr>
          <w:lang w:val="en-US" w:eastAsia="zh-CN"/>
        </w:rPr>
        <w:fldChar w:fldCharType="end"/>
      </w:r>
    </w:p>
    <w:p w14:paraId="4FFC896B">
      <w:pPr>
        <w:pStyle w:val="23"/>
        <w:tabs>
          <w:tab w:val="right" w:leader="dot" w:pos="8737"/>
        </w:tabs>
        <w:rPr>
          <w:lang w:val="en-US" w:eastAsia="zh-CN"/>
        </w:rPr>
      </w:pPr>
      <w:r>
        <w:rPr>
          <w:lang w:val="en-US" w:eastAsia="zh-CN"/>
        </w:rPr>
        <w:fldChar w:fldCharType="begin"/>
      </w:r>
      <w:r>
        <w:rPr>
          <w:lang w:val="en-US" w:eastAsia="zh-CN"/>
        </w:rPr>
        <w:instrText xml:space="preserve"> HYPERLINK \l _Toc21893 </w:instrText>
      </w:r>
      <w:r>
        <w:rPr>
          <w:lang w:val="en-US" w:eastAsia="zh-CN"/>
        </w:rPr>
        <w:fldChar w:fldCharType="separate"/>
      </w:r>
      <w:r>
        <w:rPr>
          <w:lang w:val="en-US" w:eastAsia="zh-CN"/>
        </w:rPr>
        <w:t>第三节 充分利用援疆资源</w:t>
      </w:r>
      <w:r>
        <w:tab/>
      </w:r>
      <w:r>
        <w:fldChar w:fldCharType="begin"/>
      </w:r>
      <w:r>
        <w:instrText xml:space="preserve"> PAGEREF _Toc21893 \h </w:instrText>
      </w:r>
      <w:r>
        <w:fldChar w:fldCharType="separate"/>
      </w:r>
      <w:r>
        <w:t>35</w:t>
      </w:r>
      <w:r>
        <w:fldChar w:fldCharType="end"/>
      </w:r>
      <w:r>
        <w:rPr>
          <w:lang w:val="en-US" w:eastAsia="zh-CN"/>
        </w:rPr>
        <w:fldChar w:fldCharType="end"/>
      </w:r>
    </w:p>
    <w:p w14:paraId="228E0376">
      <w:pPr>
        <w:pStyle w:val="23"/>
        <w:tabs>
          <w:tab w:val="right" w:leader="dot" w:pos="8737"/>
        </w:tabs>
        <w:rPr>
          <w:lang w:val="en-US" w:eastAsia="zh-CN"/>
        </w:rPr>
      </w:pPr>
      <w:r>
        <w:rPr>
          <w:lang w:val="en-US" w:eastAsia="zh-CN"/>
        </w:rPr>
        <w:fldChar w:fldCharType="begin"/>
      </w:r>
      <w:r>
        <w:rPr>
          <w:lang w:val="en-US" w:eastAsia="zh-CN"/>
        </w:rPr>
        <w:instrText xml:space="preserve"> HYPERLINK \l _Toc18074 </w:instrText>
      </w:r>
      <w:r>
        <w:rPr>
          <w:lang w:val="en-US" w:eastAsia="zh-CN"/>
        </w:rPr>
        <w:fldChar w:fldCharType="separate"/>
      </w:r>
      <w:r>
        <w:rPr>
          <w:lang w:val="en-US" w:eastAsia="zh-CN"/>
        </w:rPr>
        <w:t>第四节 强化干部队伍建设</w:t>
      </w:r>
      <w:r>
        <w:tab/>
      </w:r>
      <w:r>
        <w:fldChar w:fldCharType="begin"/>
      </w:r>
      <w:r>
        <w:instrText xml:space="preserve"> PAGEREF _Toc18074 \h </w:instrText>
      </w:r>
      <w:r>
        <w:fldChar w:fldCharType="separate"/>
      </w:r>
      <w:r>
        <w:t>35</w:t>
      </w:r>
      <w:r>
        <w:fldChar w:fldCharType="end"/>
      </w:r>
      <w:r>
        <w:rPr>
          <w:lang w:val="en-US" w:eastAsia="zh-CN"/>
        </w:rPr>
        <w:fldChar w:fldCharType="end"/>
      </w:r>
    </w:p>
    <w:p w14:paraId="4D2F95B1">
      <w:pPr>
        <w:pStyle w:val="23"/>
        <w:tabs>
          <w:tab w:val="right" w:leader="dot" w:pos="8737"/>
        </w:tabs>
        <w:rPr>
          <w:lang w:val="en-US" w:eastAsia="zh-CN"/>
        </w:rPr>
      </w:pPr>
      <w:r>
        <w:rPr>
          <w:lang w:val="en-US" w:eastAsia="zh-CN"/>
        </w:rPr>
        <w:fldChar w:fldCharType="begin"/>
      </w:r>
      <w:r>
        <w:rPr>
          <w:lang w:val="en-US" w:eastAsia="zh-CN"/>
        </w:rPr>
        <w:instrText xml:space="preserve"> HYPERLINK \l _Toc20876 </w:instrText>
      </w:r>
      <w:r>
        <w:rPr>
          <w:lang w:val="en-US" w:eastAsia="zh-CN"/>
        </w:rPr>
        <w:fldChar w:fldCharType="separate"/>
      </w:r>
      <w:r>
        <w:rPr>
          <w:lang w:val="en-US" w:eastAsia="zh-CN"/>
        </w:rPr>
        <w:t>第五节 完善规划实施机制</w:t>
      </w:r>
      <w:r>
        <w:tab/>
      </w:r>
      <w:r>
        <w:fldChar w:fldCharType="begin"/>
      </w:r>
      <w:r>
        <w:instrText xml:space="preserve"> PAGEREF _Toc20876 \h </w:instrText>
      </w:r>
      <w:r>
        <w:fldChar w:fldCharType="separate"/>
      </w:r>
      <w:r>
        <w:t>35</w:t>
      </w:r>
      <w:r>
        <w:fldChar w:fldCharType="end"/>
      </w:r>
      <w:r>
        <w:rPr>
          <w:lang w:val="en-US" w:eastAsia="zh-CN"/>
        </w:rPr>
        <w:fldChar w:fldCharType="end"/>
      </w:r>
    </w:p>
    <w:p w14:paraId="4A654F35">
      <w:pPr>
        <w:pStyle w:val="12"/>
        <w:ind w:left="0" w:leftChars="0" w:firstLine="0" w:firstLineChars="0"/>
        <w:rPr>
          <w:lang w:val="en-US" w:eastAsia="zh-CN"/>
        </w:rPr>
      </w:pPr>
      <w:r>
        <w:rPr>
          <w:lang w:val="en-US" w:eastAsia="zh-CN"/>
        </w:rPr>
        <w:fldChar w:fldCharType="end"/>
      </w:r>
    </w:p>
    <w:p w14:paraId="394BFAE0">
      <w:pPr>
        <w:pStyle w:val="12"/>
        <w:rPr>
          <w:lang w:val="en-US" w:eastAsia="zh-CN"/>
        </w:rPr>
      </w:pPr>
    </w:p>
    <w:p w14:paraId="509D1E9F">
      <w:pPr>
        <w:keepNext w:val="0"/>
        <w:keepLines w:val="0"/>
        <w:pageBreakBefore w:val="0"/>
        <w:kinsoku/>
        <w:topLinePunct w:val="0"/>
        <w:autoSpaceDE/>
        <w:autoSpaceDN/>
        <w:bidi w:val="0"/>
        <w:spacing w:before="0" w:after="0" w:line="560" w:lineRule="exact"/>
        <w:ind w:firstLine="640" w:firstLineChars="200"/>
        <w:rPr>
          <w:rFonts w:ascii="Times New Roman" w:hAnsi="Times New Roman"/>
          <w:color w:val="000000"/>
          <w:lang w:val="en-US" w:eastAsia="zh-CN"/>
        </w:rPr>
        <w:sectPr>
          <w:footerReference r:id="rId5" w:type="default"/>
          <w:endnotePr>
            <w:numFmt w:val="decimal"/>
          </w:endnotePr>
          <w:pgSz w:w="11911" w:h="16838"/>
          <w:pgMar w:top="2098" w:right="1587" w:bottom="2098" w:left="1587" w:header="0" w:footer="0" w:gutter="0"/>
          <w:pgBorders>
            <w:top w:val="none" w:sz="0" w:space="0"/>
            <w:left w:val="none" w:sz="0" w:space="0"/>
            <w:bottom w:val="none" w:sz="0" w:space="0"/>
            <w:right w:val="none" w:sz="0" w:space="0"/>
          </w:pgBorders>
          <w:pgNumType w:fmt="decimal" w:start="1"/>
          <w:cols w:space="720" w:num="1"/>
          <w:rtlGutter w:val="0"/>
          <w:docGrid w:linePitch="312" w:charSpace="0"/>
        </w:sectPr>
      </w:pPr>
    </w:p>
    <w:p w14:paraId="4A891390">
      <w:pPr>
        <w:keepNext w:val="0"/>
        <w:keepLines w:val="0"/>
        <w:pageBreakBefore w:val="0"/>
        <w:kinsoku/>
        <w:topLinePunct w:val="0"/>
        <w:autoSpaceDE/>
        <w:autoSpaceDN/>
        <w:bidi w:val="0"/>
        <w:spacing w:before="0" w:after="0" w:line="560" w:lineRule="exact"/>
        <w:ind w:firstLine="640" w:firstLineChars="200"/>
        <w:rPr>
          <w:rFonts w:ascii="Times New Roman" w:hAnsi="Times New Roman"/>
          <w:color w:val="000000"/>
          <w:lang w:val="en-US" w:eastAsia="zh-CN"/>
        </w:rPr>
      </w:pPr>
      <w:r>
        <w:rPr>
          <w:rFonts w:ascii="Times New Roman" w:hAnsi="Times New Roman"/>
          <w:color w:val="000000"/>
          <w:lang w:val="en-US" w:eastAsia="zh-CN"/>
        </w:rPr>
        <w:t>为贯彻落实《兵团</w:t>
      </w:r>
      <w:r>
        <w:rPr>
          <w:rFonts w:hint="eastAsia" w:ascii="Times New Roman" w:hAnsi="Times New Roman"/>
          <w:color w:val="000000"/>
          <w:lang w:val="en-US" w:eastAsia="zh-CN"/>
        </w:rPr>
        <w:t>“</w:t>
      </w:r>
      <w:r>
        <w:rPr>
          <w:rFonts w:ascii="Times New Roman" w:hAnsi="Times New Roman"/>
          <w:color w:val="000000"/>
          <w:lang w:val="en-US" w:eastAsia="zh-CN"/>
        </w:rPr>
        <w:t>十五五</w:t>
      </w:r>
      <w:r>
        <w:rPr>
          <w:rFonts w:hint="eastAsia" w:ascii="Times New Roman" w:hAnsi="Times New Roman"/>
          <w:color w:val="000000"/>
          <w:lang w:val="en-US" w:eastAsia="zh-CN"/>
        </w:rPr>
        <w:t>”</w:t>
      </w:r>
      <w:r>
        <w:rPr>
          <w:rFonts w:ascii="Times New Roman" w:hAnsi="Times New Roman"/>
          <w:color w:val="000000"/>
          <w:lang w:val="en-US" w:eastAsia="zh-CN"/>
        </w:rPr>
        <w:t>商务规划》《</w:t>
      </w:r>
      <w:r>
        <w:rPr>
          <w:rFonts w:ascii="Times New Roman" w:hAnsi="Times New Roman" w:eastAsia="仿宋_GB2312"/>
          <w:color w:val="000000"/>
          <w:lang w:val="en-US" w:eastAsia="zh-CN"/>
        </w:rPr>
        <w:t>第五师双河市国民经济和社会发展第十</w:t>
      </w:r>
      <w:r>
        <w:rPr>
          <w:rFonts w:ascii="Times New Roman" w:hAnsi="Times New Roman"/>
          <w:color w:val="000000"/>
          <w:lang w:val="en-US" w:eastAsia="zh-CN"/>
        </w:rPr>
        <w:t>五</w:t>
      </w:r>
      <w:r>
        <w:rPr>
          <w:rFonts w:ascii="Times New Roman" w:hAnsi="Times New Roman" w:eastAsia="仿宋_GB2312"/>
          <w:color w:val="000000"/>
          <w:lang w:val="en-US" w:eastAsia="zh-CN"/>
        </w:rPr>
        <w:t>个五年规划</w:t>
      </w:r>
      <w:r>
        <w:rPr>
          <w:rFonts w:ascii="Times New Roman" w:hAnsi="Times New Roman"/>
          <w:color w:val="000000"/>
          <w:lang w:val="en-US" w:eastAsia="zh-CN"/>
        </w:rPr>
        <w:t>纲要》，明确</w:t>
      </w:r>
      <w:r>
        <w:rPr>
          <w:rFonts w:hint="eastAsia" w:ascii="Times New Roman" w:hAnsi="Times New Roman"/>
          <w:color w:val="000000"/>
          <w:lang w:val="en-US" w:eastAsia="zh-CN"/>
        </w:rPr>
        <w:t>“</w:t>
      </w:r>
      <w:r>
        <w:rPr>
          <w:rFonts w:ascii="Times New Roman" w:hAnsi="Times New Roman" w:eastAsia="仿宋_GB2312"/>
          <w:color w:val="000000"/>
          <w:lang w:val="en-US" w:eastAsia="zh-CN"/>
        </w:rPr>
        <w:t>十五五</w:t>
      </w:r>
      <w:r>
        <w:rPr>
          <w:rFonts w:hint="eastAsia" w:ascii="Times New Roman" w:hAnsi="Times New Roman"/>
          <w:color w:val="000000"/>
          <w:lang w:val="en-US" w:eastAsia="zh-CN"/>
        </w:rPr>
        <w:t>”</w:t>
      </w:r>
      <w:r>
        <w:rPr>
          <w:rFonts w:ascii="Times New Roman" w:hAnsi="Times New Roman"/>
          <w:color w:val="000000"/>
          <w:lang w:val="en-US" w:eastAsia="zh-CN"/>
        </w:rPr>
        <w:t>时期师市商务发展目标和重点任务，特制定本规划。规划期限为2026年</w:t>
      </w:r>
      <w:r>
        <w:rPr>
          <w:rFonts w:hint="eastAsia" w:ascii="Times New Roman" w:hAnsi="Times New Roman"/>
          <w:color w:val="000000"/>
          <w:lang w:val="en-US" w:eastAsia="zh-CN"/>
        </w:rPr>
        <w:t>—</w:t>
      </w:r>
      <w:r>
        <w:rPr>
          <w:rFonts w:ascii="Times New Roman" w:hAnsi="Times New Roman"/>
          <w:color w:val="000000"/>
          <w:lang w:val="en-US" w:eastAsia="zh-CN"/>
        </w:rPr>
        <w:t>2030年。</w:t>
      </w:r>
    </w:p>
    <w:p w14:paraId="3AC04293">
      <w:pPr>
        <w:pStyle w:val="6"/>
        <w:bidi w:val="0"/>
        <w:rPr>
          <w:lang w:val="en-US" w:eastAsia="zh-CN"/>
        </w:rPr>
      </w:pPr>
      <w:bookmarkStart w:id="0" w:name="_Toc18247"/>
      <w:bookmarkStart w:id="1" w:name="_Toc24549"/>
      <w:bookmarkStart w:id="2" w:name="_Toc12616"/>
      <w:bookmarkStart w:id="3" w:name="_Toc25929"/>
      <w:bookmarkStart w:id="4" w:name="_Toc14621"/>
      <w:bookmarkStart w:id="5" w:name="_Toc24433"/>
      <w:bookmarkStart w:id="6" w:name="_Toc4127"/>
      <w:r>
        <w:rPr>
          <w:lang w:val="en-US" w:eastAsia="zh-CN"/>
        </w:rPr>
        <w:t>第一章 发展基础与面临形势</w:t>
      </w:r>
      <w:bookmarkEnd w:id="0"/>
      <w:bookmarkEnd w:id="1"/>
      <w:bookmarkEnd w:id="2"/>
      <w:bookmarkEnd w:id="3"/>
      <w:bookmarkEnd w:id="4"/>
      <w:bookmarkEnd w:id="5"/>
      <w:bookmarkEnd w:id="6"/>
    </w:p>
    <w:p w14:paraId="52D33D50">
      <w:pPr>
        <w:pStyle w:val="7"/>
        <w:bidi w:val="0"/>
        <w:rPr>
          <w:lang w:val="en-US" w:eastAsia="zh-CN"/>
        </w:rPr>
      </w:pPr>
      <w:bookmarkStart w:id="7" w:name="_Toc12829"/>
      <w:bookmarkStart w:id="8" w:name="_Toc12000"/>
      <w:bookmarkStart w:id="9" w:name="_Toc10356"/>
      <w:bookmarkStart w:id="10" w:name="_Toc27030"/>
      <w:bookmarkStart w:id="11" w:name="_Toc9121"/>
      <w:bookmarkStart w:id="12" w:name="_Toc9913"/>
      <w:bookmarkStart w:id="13" w:name="_Toc19558"/>
      <w:r>
        <w:rPr>
          <w:lang w:val="en-US" w:eastAsia="zh-CN"/>
        </w:rPr>
        <w:t>第一节 发展基础</w:t>
      </w:r>
      <w:bookmarkEnd w:id="7"/>
      <w:bookmarkEnd w:id="8"/>
      <w:bookmarkEnd w:id="9"/>
      <w:bookmarkEnd w:id="10"/>
      <w:bookmarkEnd w:id="11"/>
      <w:bookmarkEnd w:id="12"/>
      <w:bookmarkEnd w:id="13"/>
    </w:p>
    <w:p w14:paraId="770B07C3">
      <w:pPr>
        <w:bidi w:val="0"/>
        <w:rPr>
          <w:rFonts w:hint="eastAsia"/>
          <w:lang w:val="en-US" w:eastAsia="zh-CN"/>
        </w:rPr>
      </w:pPr>
      <w:r>
        <w:rPr>
          <w:rFonts w:hint="eastAsia"/>
          <w:lang w:val="en-US" w:eastAsia="zh-CN"/>
        </w:rPr>
        <w:t>“</w:t>
      </w:r>
      <w:r>
        <w:rPr>
          <w:lang w:val="en-US" w:eastAsia="zh-CN"/>
        </w:rPr>
        <w:t>十四五</w:t>
      </w:r>
      <w:r>
        <w:rPr>
          <w:rFonts w:hint="eastAsia"/>
          <w:lang w:val="en-US" w:eastAsia="zh-CN"/>
        </w:rPr>
        <w:t>”</w:t>
      </w:r>
      <w:r>
        <w:rPr>
          <w:lang w:val="en-US" w:eastAsia="zh-CN"/>
        </w:rPr>
        <w:t>时期，第五师双河市（以下简称</w:t>
      </w:r>
      <w:r>
        <w:rPr>
          <w:rFonts w:hint="eastAsia"/>
          <w:lang w:val="en-US" w:eastAsia="zh-CN"/>
        </w:rPr>
        <w:t>“</w:t>
      </w:r>
      <w:r>
        <w:rPr>
          <w:lang w:val="en-US" w:eastAsia="zh-CN"/>
        </w:rPr>
        <w:t>师市</w:t>
      </w:r>
      <w:r>
        <w:rPr>
          <w:rFonts w:hint="eastAsia"/>
          <w:lang w:val="en-US" w:eastAsia="zh-CN"/>
        </w:rPr>
        <w:t>”</w:t>
      </w:r>
      <w:r>
        <w:rPr>
          <w:lang w:val="en-US" w:eastAsia="zh-CN"/>
        </w:rPr>
        <w:t>）坚持以习近平新时代中国特色社会主义思想为指导，积极落实兵团和师市经济发展决策部署，消费市场扩容升级，对外开放动能强劲，招商引资质效双升，园区改革纵深推进，为</w:t>
      </w:r>
      <w:r>
        <w:rPr>
          <w:rFonts w:hint="eastAsia"/>
          <w:lang w:val="en-US" w:eastAsia="zh-CN"/>
        </w:rPr>
        <w:t>“</w:t>
      </w:r>
      <w:r>
        <w:rPr>
          <w:lang w:val="en-US" w:eastAsia="zh-CN"/>
        </w:rPr>
        <w:t>十五五</w:t>
      </w:r>
      <w:r>
        <w:rPr>
          <w:rFonts w:hint="eastAsia"/>
          <w:lang w:val="en-US" w:eastAsia="zh-CN"/>
        </w:rPr>
        <w:t>”</w:t>
      </w:r>
      <w:r>
        <w:rPr>
          <w:lang w:val="en-US" w:eastAsia="zh-CN"/>
        </w:rPr>
        <w:t>商务高质量发展打下了坚实基础。</w:t>
      </w:r>
    </w:p>
    <w:p w14:paraId="64F2A740">
      <w:pPr>
        <w:keepNext w:val="0"/>
        <w:keepLines w:val="0"/>
        <w:pageBreakBefore w:val="0"/>
        <w:widowControl w:val="0"/>
        <w:kinsoku/>
        <w:wordWrap/>
        <w:overflowPunct/>
        <w:topLinePunct w:val="0"/>
        <w:autoSpaceDE/>
        <w:autoSpaceDN/>
        <w:bidi w:val="0"/>
        <w:snapToGrid/>
        <w:spacing w:before="0" w:after="0" w:line="560" w:lineRule="exact"/>
        <w:rPr>
          <w:rFonts w:ascii="Times New Roman" w:hAnsi="Times New Roman" w:eastAsia="仿宋_GB2312"/>
          <w:b/>
          <w:bCs/>
          <w:i w:val="0"/>
          <w:iCs w:val="0"/>
          <w:color w:val="000000"/>
          <w:spacing w:val="0"/>
          <w:sz w:val="32"/>
          <w:szCs w:val="32"/>
          <w:shd w:val="clear" w:color="auto" w:fill="auto"/>
          <w:lang w:val="en-US" w:eastAsia="zh-CN"/>
        </w:rPr>
      </w:pPr>
      <w:r>
        <w:rPr>
          <w:rFonts w:ascii="Times New Roman" w:hAnsi="Times New Roman" w:eastAsia="仿宋_GB2312"/>
          <w:b/>
          <w:bCs/>
          <w:i w:val="0"/>
          <w:iCs w:val="0"/>
          <w:color w:val="000000"/>
          <w:spacing w:val="0"/>
          <w:sz w:val="32"/>
          <w:szCs w:val="32"/>
          <w:shd w:val="clear" w:color="auto" w:fill="auto"/>
          <w:lang w:val="en-US" w:eastAsia="zh-CN"/>
        </w:rPr>
        <w:t>消费市场规模</w:t>
      </w:r>
      <w:r>
        <w:rPr>
          <w:rFonts w:ascii="Times New Roman" w:hAnsi="Times New Roman"/>
          <w:b/>
          <w:bCs/>
          <w:i w:val="0"/>
          <w:iCs w:val="0"/>
          <w:color w:val="000000"/>
          <w:spacing w:val="0"/>
          <w:sz w:val="32"/>
          <w:szCs w:val="32"/>
          <w:shd w:val="clear" w:color="auto" w:fill="auto"/>
          <w:lang w:val="en-US" w:eastAsia="zh-CN"/>
        </w:rPr>
        <w:t>持续扩大</w:t>
      </w:r>
      <w:r>
        <w:rPr>
          <w:rFonts w:ascii="Times New Roman" w:hAnsi="Times New Roman" w:eastAsia="仿宋_GB2312"/>
          <w:b/>
          <w:bCs/>
          <w:i w:val="0"/>
          <w:iCs w:val="0"/>
          <w:color w:val="000000"/>
          <w:spacing w:val="0"/>
          <w:sz w:val="32"/>
          <w:szCs w:val="32"/>
          <w:shd w:val="clear" w:color="auto" w:fill="auto"/>
          <w:lang w:val="en-US" w:eastAsia="zh-CN"/>
        </w:rPr>
        <w:t>。</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十四五</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累计实现社会消费品零售总额</w:t>
      </w:r>
      <w:r>
        <w:rPr>
          <w:rFonts w:hint="eastAsia"/>
          <w:i w:val="0"/>
          <w:iCs w:val="0"/>
          <w:color w:val="000000"/>
          <w:spacing w:val="0"/>
          <w:sz w:val="32"/>
          <w:szCs w:val="32"/>
          <w:shd w:val="clear" w:color="auto" w:fill="auto"/>
          <w:lang w:val="en-US" w:eastAsia="zh-CN"/>
        </w:rPr>
        <w:t>XX</w:t>
      </w:r>
      <w:r>
        <w:rPr>
          <w:rFonts w:ascii="Times New Roman" w:hAnsi="Times New Roman" w:eastAsia="仿宋_GB2312"/>
          <w:i w:val="0"/>
          <w:iCs w:val="0"/>
          <w:color w:val="000000"/>
          <w:spacing w:val="0"/>
          <w:sz w:val="32"/>
          <w:szCs w:val="32"/>
          <w:shd w:val="clear" w:color="auto" w:fill="auto"/>
          <w:lang w:val="en-US" w:eastAsia="zh-CN"/>
        </w:rPr>
        <w:t>亿元，年均增长</w:t>
      </w:r>
      <w:r>
        <w:rPr>
          <w:rFonts w:hint="eastAsia"/>
          <w:i w:val="0"/>
          <w:iCs w:val="0"/>
          <w:color w:val="000000"/>
          <w:spacing w:val="0"/>
          <w:sz w:val="32"/>
          <w:szCs w:val="32"/>
          <w:shd w:val="clear" w:color="auto" w:fill="auto"/>
          <w:lang w:val="en-US" w:eastAsia="zh-CN"/>
        </w:rPr>
        <w:t>XX</w:t>
      </w:r>
      <w:r>
        <w:rPr>
          <w:rFonts w:ascii="Times New Roman" w:hAnsi="Times New Roman" w:eastAsia="仿宋_GB2312"/>
          <w:i w:val="0"/>
          <w:iCs w:val="0"/>
          <w:color w:val="000000"/>
          <w:spacing w:val="0"/>
          <w:sz w:val="32"/>
          <w:szCs w:val="32"/>
          <w:shd w:val="clear" w:color="auto" w:fill="auto"/>
          <w:lang w:val="en-US" w:eastAsia="zh-CN"/>
        </w:rPr>
        <w:t>%。消费潜能充分释放，常态化举办主题多元、形式多样的促消费活动，直接拉动消费</w:t>
      </w:r>
      <w:r>
        <w:rPr>
          <w:rFonts w:hint="eastAsia" w:ascii="Times New Roman" w:eastAsia="宋体"/>
          <w:i w:val="0"/>
          <w:iCs w:val="0"/>
          <w:color w:val="000000"/>
          <w:spacing w:val="0"/>
          <w:sz w:val="32"/>
          <w:szCs w:val="32"/>
          <w:shd w:val="clear" w:color="auto" w:fill="auto"/>
          <w:lang w:val="en-US" w:eastAsia="zh-CN"/>
        </w:rPr>
        <w:t>XX</w:t>
      </w:r>
      <w:r>
        <w:rPr>
          <w:rFonts w:ascii="Times New Roman" w:hAnsi="Times New Roman" w:eastAsia="仿宋_GB2312"/>
          <w:i w:val="0"/>
          <w:iCs w:val="0"/>
          <w:color w:val="000000"/>
          <w:spacing w:val="0"/>
          <w:sz w:val="32"/>
          <w:szCs w:val="32"/>
          <w:shd w:val="clear" w:color="auto" w:fill="auto"/>
          <w:lang w:val="en-US" w:eastAsia="zh-CN"/>
        </w:rPr>
        <w:t>亿元，有效激发市场活力。新兴业态蓬勃发展，创新</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电影+夜市</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跨界融合模式，成功将</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客流高峰</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转化为实质</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消费增量</w:t>
      </w:r>
      <w:r>
        <w:rPr>
          <w:rFonts w:hint="eastAsia" w:ascii="Times New Roman" w:hAnsi="Times New Roman"/>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。商业体系日臻完善，双河国际智慧城、月明沙山商贸中心等一批商业综合体建成运营。市场主体茁壮成长，限额</w:t>
      </w:r>
      <w:r>
        <w:rPr>
          <w:rFonts w:ascii="Times New Roman" w:hAnsi="Times New Roman"/>
          <w:i w:val="0"/>
          <w:iCs w:val="0"/>
          <w:color w:val="000000"/>
          <w:spacing w:val="0"/>
          <w:sz w:val="32"/>
          <w:szCs w:val="32"/>
          <w:shd w:val="clear" w:color="auto" w:fill="auto"/>
          <w:lang w:val="en-US" w:eastAsia="zh-CN"/>
        </w:rPr>
        <w:t>（规模）</w:t>
      </w:r>
      <w:r>
        <w:rPr>
          <w:rFonts w:ascii="Times New Roman" w:hAnsi="Times New Roman" w:eastAsia="仿宋_GB2312"/>
          <w:i w:val="0"/>
          <w:iCs w:val="0"/>
          <w:color w:val="000000"/>
          <w:spacing w:val="0"/>
          <w:sz w:val="32"/>
          <w:szCs w:val="32"/>
          <w:shd w:val="clear" w:color="auto" w:fill="auto"/>
          <w:lang w:val="en-US" w:eastAsia="zh-CN"/>
        </w:rPr>
        <w:t>以上服务业企业数量达</w:t>
      </w:r>
      <w:r>
        <w:rPr>
          <w:rFonts w:hint="eastAsia" w:ascii="Times New Roman" w:eastAsia="宋体"/>
          <w:i w:val="0"/>
          <w:iCs w:val="0"/>
          <w:color w:val="000000"/>
          <w:spacing w:val="0"/>
          <w:sz w:val="32"/>
          <w:szCs w:val="32"/>
          <w:shd w:val="clear" w:color="auto" w:fill="auto"/>
          <w:lang w:val="en-US" w:eastAsia="zh-CN"/>
        </w:rPr>
        <w:t>XX</w:t>
      </w:r>
      <w:r>
        <w:rPr>
          <w:rFonts w:ascii="Times New Roman" w:hAnsi="Times New Roman" w:eastAsia="仿宋_GB2312"/>
          <w:i w:val="0"/>
          <w:iCs w:val="0"/>
          <w:color w:val="000000"/>
          <w:spacing w:val="0"/>
          <w:sz w:val="32"/>
          <w:szCs w:val="32"/>
          <w:shd w:val="clear" w:color="auto" w:fill="auto"/>
          <w:lang w:val="en-US" w:eastAsia="zh-CN"/>
        </w:rPr>
        <w:t>家（含大个体），规模效应与带动作用持续增强。</w:t>
      </w:r>
    </w:p>
    <w:p w14:paraId="6BC3F209">
      <w:pPr>
        <w:keepNext w:val="0"/>
        <w:keepLines w:val="0"/>
        <w:pageBreakBefore w:val="0"/>
        <w:widowControl w:val="0"/>
        <w:kinsoku/>
        <w:wordWrap/>
        <w:overflowPunct/>
        <w:topLinePunct w:val="0"/>
        <w:autoSpaceDE/>
        <w:autoSpaceDN/>
        <w:bidi w:val="0"/>
        <w:snapToGrid/>
        <w:spacing w:before="0" w:after="0" w:line="560" w:lineRule="exact"/>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外贸进出口规模稳步增长。</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十四五</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累计实现进出口贸易总额突破</w:t>
      </w:r>
      <w:r>
        <w:rPr>
          <w:rFonts w:hint="eastAsia"/>
          <w:i w:val="0"/>
          <w:iCs w:val="0"/>
          <w:color w:val="000000"/>
          <w:spacing w:val="0"/>
          <w:sz w:val="32"/>
          <w:szCs w:val="32"/>
          <w:shd w:val="clear" w:color="auto" w:fill="auto"/>
          <w:lang w:val="en-US" w:eastAsia="zh-CN"/>
        </w:rPr>
        <w:t>XX</w:t>
      </w:r>
      <w:r>
        <w:rPr>
          <w:rFonts w:ascii="Times New Roman" w:hAnsi="Times New Roman"/>
          <w:b w:val="0"/>
          <w:bCs w:val="0"/>
          <w:color w:val="000000"/>
          <w:kern w:val="2"/>
          <w:sz w:val="32"/>
          <w:szCs w:val="32"/>
          <w:lang w:val="en-US" w:eastAsia="zh-CN" w:bidi="ar-SA"/>
        </w:rPr>
        <w:t>亿元大关，</w:t>
      </w:r>
      <w:r>
        <w:rPr>
          <w:rFonts w:hint="eastAsia"/>
          <w:b w:val="0"/>
          <w:bCs w:val="0"/>
          <w:color w:val="000000"/>
          <w:kern w:val="2"/>
          <w:sz w:val="32"/>
          <w:szCs w:val="32"/>
          <w:lang w:val="en-US" w:eastAsia="zh-CN" w:bidi="ar-SA"/>
        </w:rPr>
        <w:t>“十四五”</w:t>
      </w:r>
      <w:r>
        <w:rPr>
          <w:rFonts w:ascii="Times New Roman" w:hAnsi="Times New Roman"/>
          <w:b w:val="0"/>
          <w:bCs w:val="0"/>
          <w:color w:val="000000"/>
          <w:kern w:val="2"/>
          <w:sz w:val="32"/>
          <w:szCs w:val="32"/>
          <w:lang w:val="en-US" w:eastAsia="zh-CN" w:bidi="ar-SA"/>
        </w:rPr>
        <w:t>末达到</w:t>
      </w:r>
      <w:r>
        <w:rPr>
          <w:rFonts w:hint="eastAsia"/>
          <w:i w:val="0"/>
          <w:iCs w:val="0"/>
          <w:color w:val="000000"/>
          <w:spacing w:val="0"/>
          <w:sz w:val="32"/>
          <w:szCs w:val="32"/>
          <w:shd w:val="clear" w:color="auto" w:fill="auto"/>
          <w:lang w:val="en-US" w:eastAsia="zh-CN"/>
        </w:rPr>
        <w:t>XX</w:t>
      </w:r>
      <w:r>
        <w:rPr>
          <w:rFonts w:ascii="Times New Roman" w:hAnsi="Times New Roman"/>
          <w:b w:val="0"/>
          <w:bCs w:val="0"/>
          <w:color w:val="000000"/>
          <w:kern w:val="2"/>
          <w:sz w:val="32"/>
          <w:szCs w:val="32"/>
          <w:lang w:val="en-US" w:eastAsia="zh-CN" w:bidi="ar-SA"/>
        </w:rPr>
        <w:t>亿元，较</w:t>
      </w:r>
      <w:r>
        <w:rPr>
          <w:rFonts w:hint="eastAsia"/>
          <w:b w:val="0"/>
          <w:bCs w:val="0"/>
          <w:color w:val="000000"/>
          <w:kern w:val="2"/>
          <w:sz w:val="32"/>
          <w:szCs w:val="32"/>
          <w:lang w:val="en-US" w:eastAsia="zh-CN" w:bidi="ar-SA"/>
        </w:rPr>
        <w:t>“十三五”</w:t>
      </w:r>
      <w:r>
        <w:rPr>
          <w:rFonts w:ascii="Times New Roman" w:hAnsi="Times New Roman"/>
          <w:b w:val="0"/>
          <w:bCs w:val="0"/>
          <w:color w:val="000000"/>
          <w:kern w:val="2"/>
          <w:sz w:val="32"/>
          <w:szCs w:val="32"/>
          <w:lang w:val="en-US" w:eastAsia="zh-CN" w:bidi="ar-SA"/>
        </w:rPr>
        <w:t>末增长</w:t>
      </w:r>
      <w:r>
        <w:rPr>
          <w:rFonts w:hint="eastAsia"/>
          <w:i w:val="0"/>
          <w:iCs w:val="0"/>
          <w:color w:val="000000"/>
          <w:spacing w:val="0"/>
          <w:sz w:val="32"/>
          <w:szCs w:val="32"/>
          <w:shd w:val="clear" w:color="auto" w:fill="auto"/>
          <w:lang w:val="en-US" w:eastAsia="zh-CN"/>
        </w:rPr>
        <w:t>XX</w:t>
      </w:r>
      <w:r>
        <w:rPr>
          <w:rFonts w:ascii="Times New Roman" w:hAnsi="Times New Roman"/>
          <w:b w:val="0"/>
          <w:bCs w:val="0"/>
          <w:color w:val="000000"/>
          <w:kern w:val="2"/>
          <w:sz w:val="32"/>
          <w:szCs w:val="32"/>
          <w:lang w:val="en-US" w:eastAsia="zh-CN" w:bidi="ar-SA"/>
        </w:rPr>
        <w:t>%。</w:t>
      </w:r>
      <w:r>
        <w:rPr>
          <w:rStyle w:val="40"/>
          <w:rFonts w:ascii="Times New Roman" w:hAnsi="Times New Roman"/>
          <w:bCs/>
          <w:color w:val="000000"/>
          <w:sz w:val="32"/>
          <w:szCs w:val="32"/>
          <w:lang w:val="en-US" w:eastAsia="zh-CN"/>
        </w:rPr>
        <w:t>外贸体制机制持续完善，全疆首创综保区注册的兵团企业备案编码，实现综保区</w:t>
      </w:r>
      <w:r>
        <w:rPr>
          <w:rStyle w:val="40"/>
          <w:rFonts w:hint="eastAsia"/>
          <w:bCs/>
          <w:color w:val="000000"/>
          <w:sz w:val="32"/>
          <w:szCs w:val="32"/>
          <w:lang w:val="en-US" w:eastAsia="zh-CN"/>
        </w:rPr>
        <w:t>内</w:t>
      </w:r>
      <w:r>
        <w:rPr>
          <w:rStyle w:val="40"/>
          <w:rFonts w:ascii="Times New Roman" w:hAnsi="Times New Roman"/>
          <w:bCs/>
          <w:color w:val="000000"/>
          <w:sz w:val="32"/>
          <w:szCs w:val="32"/>
          <w:lang w:val="en-US" w:eastAsia="zh-CN"/>
        </w:rPr>
        <w:t>贸易额纳入师市统计。双河经开区与阿拉山口综保区签订兵地合作协议，建立利益共享及跨区域协调管理机制。外贸业态创新突破，跨境电商</w:t>
      </w:r>
      <w:r>
        <w:rPr>
          <w:rStyle w:val="40"/>
          <w:rFonts w:hint="eastAsia" w:ascii="Times New Roman" w:hAnsi="Times New Roman"/>
          <w:bCs/>
          <w:color w:val="000000"/>
          <w:sz w:val="32"/>
          <w:szCs w:val="32"/>
          <w:lang w:val="en-US" w:eastAsia="zh-CN"/>
        </w:rPr>
        <w:t>“</w:t>
      </w:r>
      <w:r>
        <w:rPr>
          <w:rStyle w:val="40"/>
          <w:rFonts w:ascii="Times New Roman" w:hAnsi="Times New Roman"/>
          <w:bCs/>
          <w:color w:val="000000"/>
          <w:sz w:val="32"/>
          <w:szCs w:val="32"/>
          <w:lang w:val="en-US" w:eastAsia="zh-CN"/>
        </w:rPr>
        <w:t>从无到有</w:t>
      </w:r>
      <w:r>
        <w:rPr>
          <w:rStyle w:val="40"/>
          <w:rFonts w:hint="eastAsia"/>
          <w:bCs/>
          <w:color w:val="000000"/>
          <w:sz w:val="32"/>
          <w:szCs w:val="32"/>
          <w:lang w:val="en-US" w:eastAsia="zh-CN"/>
        </w:rPr>
        <w:t>”</w:t>
      </w:r>
      <w:r>
        <w:rPr>
          <w:rStyle w:val="40"/>
          <w:rFonts w:ascii="Times New Roman" w:hAnsi="Times New Roman"/>
          <w:bCs/>
          <w:color w:val="000000"/>
          <w:sz w:val="32"/>
          <w:szCs w:val="32"/>
          <w:lang w:val="en-US" w:eastAsia="zh-CN"/>
        </w:rPr>
        <w:t>，实现出口额</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万元；边民互市稳步推进，首批认定</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名边民，成功设立边民合作社</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家；玻璃制品、节水管材、新型建材等产品开拓国际市场。外贸平台功能健全，建成</w:t>
      </w:r>
      <w:r>
        <w:rPr>
          <w:rStyle w:val="40"/>
          <w:rFonts w:hint="eastAsia"/>
          <w:bCs/>
          <w:color w:val="000000"/>
          <w:sz w:val="32"/>
          <w:szCs w:val="32"/>
          <w:lang w:val="en-US" w:eastAsia="zh-CN"/>
        </w:rPr>
        <w:t>双河</w:t>
      </w:r>
      <w:r>
        <w:rPr>
          <w:rStyle w:val="40"/>
          <w:rFonts w:ascii="Times New Roman" w:hAnsi="Times New Roman"/>
          <w:bCs/>
          <w:color w:val="000000"/>
          <w:sz w:val="32"/>
          <w:szCs w:val="32"/>
          <w:lang w:val="en-US" w:eastAsia="zh-CN"/>
        </w:rPr>
        <w:t>公用型保税仓、跨境电商监管中心等关键平台，</w:t>
      </w:r>
      <w:r>
        <w:rPr>
          <w:rStyle w:val="40"/>
          <w:rFonts w:hint="eastAsia"/>
          <w:bCs/>
          <w:color w:val="000000"/>
          <w:sz w:val="32"/>
          <w:szCs w:val="32"/>
          <w:lang w:val="en-US" w:eastAsia="zh-CN"/>
        </w:rPr>
        <w:t>双河</w:t>
      </w:r>
      <w:r>
        <w:rPr>
          <w:rStyle w:val="40"/>
          <w:rFonts w:ascii="Times New Roman" w:hAnsi="Times New Roman"/>
          <w:bCs/>
          <w:color w:val="000000"/>
          <w:sz w:val="32"/>
          <w:szCs w:val="32"/>
          <w:lang w:val="en-US" w:eastAsia="zh-CN"/>
        </w:rPr>
        <w:t>铁路专用线建成通车，成功揭牌运营兵地融合产业园，成功获批第一批自贸区联动创新区。</w:t>
      </w:r>
    </w:p>
    <w:p w14:paraId="1DC76533">
      <w:pPr>
        <w:keepNext w:val="0"/>
        <w:keepLines w:val="0"/>
        <w:pageBreakBefore w:val="0"/>
        <w:kinsoku/>
        <w:topLinePunct w:val="0"/>
        <w:autoSpaceDE/>
        <w:autoSpaceDN/>
        <w:bidi w:val="0"/>
        <w:spacing w:line="560" w:lineRule="exact"/>
        <w:ind w:firstLine="643" w:firstLineChars="200"/>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招商引资工作扎实推进</w:t>
      </w:r>
      <w:r>
        <w:rPr>
          <w:rStyle w:val="40"/>
          <w:rFonts w:ascii="Times New Roman" w:hAnsi="Times New Roman"/>
          <w:b/>
          <w:bCs w:val="0"/>
          <w:color w:val="000000"/>
          <w:sz w:val="32"/>
          <w:szCs w:val="32"/>
          <w:lang w:val="en-US" w:eastAsia="zh-CN"/>
        </w:rPr>
        <w:t>。</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十四五</w:t>
      </w:r>
      <w:r>
        <w:rPr>
          <w:rFonts w:hint="eastAsia" w:ascii="Times New Roman" w:hAnsi="Times New Roman"/>
          <w:b w:val="0"/>
          <w:bCs w:val="0"/>
          <w:color w:val="000000"/>
          <w:kern w:val="2"/>
          <w:sz w:val="32"/>
          <w:szCs w:val="32"/>
          <w:lang w:val="en-US" w:eastAsia="zh-CN" w:bidi="ar-SA"/>
        </w:rPr>
        <w:t>”</w:t>
      </w:r>
      <w:r>
        <w:rPr>
          <w:rStyle w:val="40"/>
          <w:rFonts w:ascii="Times New Roman" w:hAnsi="Times New Roman"/>
          <w:bCs/>
          <w:color w:val="000000"/>
          <w:sz w:val="32"/>
          <w:szCs w:val="32"/>
          <w:lang w:val="en-US" w:eastAsia="zh-CN"/>
        </w:rPr>
        <w:t>年均在建招商项目保持在</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个以上，累计形成实物量</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亿元，年均增长</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%，占师市固定资产投资</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以上。工业发展强基增效，凯丰电子</w:t>
      </w:r>
      <w:r>
        <w:rPr>
          <w:rStyle w:val="40"/>
          <w:rFonts w:hint="eastAsia"/>
          <w:bCs/>
          <w:color w:val="000000"/>
          <w:sz w:val="32"/>
          <w:szCs w:val="32"/>
          <w:lang w:val="en-US" w:eastAsia="zh-CN"/>
        </w:rPr>
        <w:t>电极箔</w:t>
      </w:r>
      <w:r>
        <w:rPr>
          <w:rStyle w:val="40"/>
          <w:rFonts w:ascii="Times New Roman" w:hAnsi="Times New Roman"/>
          <w:bCs/>
          <w:color w:val="000000"/>
          <w:sz w:val="32"/>
          <w:szCs w:val="32"/>
          <w:lang w:val="en-US" w:eastAsia="zh-CN"/>
        </w:rPr>
        <w:t>、中树云</w:t>
      </w:r>
      <w:r>
        <w:rPr>
          <w:rStyle w:val="40"/>
          <w:rFonts w:hint="eastAsia"/>
          <w:bCs/>
          <w:color w:val="000000"/>
          <w:sz w:val="32"/>
          <w:szCs w:val="32"/>
          <w:lang w:val="en-US" w:eastAsia="zh-CN"/>
        </w:rPr>
        <w:t>算力</w:t>
      </w:r>
      <w:r>
        <w:rPr>
          <w:rStyle w:val="40"/>
          <w:rFonts w:ascii="Times New Roman" w:hAnsi="Times New Roman"/>
          <w:bCs/>
          <w:color w:val="000000"/>
          <w:sz w:val="32"/>
          <w:szCs w:val="32"/>
          <w:lang w:val="en-US" w:eastAsia="zh-CN"/>
        </w:rPr>
        <w:t>、国电投光伏发电等一批重大项目落地运营，电极箔生产线增至</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条，新能源并网装机规模达</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万千瓦。新质农业建链成群，成功引进并培育深圳深莓、微康生物等</w:t>
      </w:r>
      <w:r>
        <w:rPr>
          <w:rStyle w:val="40"/>
          <w:rFonts w:hint="eastAsia" w:ascii="Times New Roman" w:hAnsi="Times New Roman"/>
          <w:bCs/>
          <w:color w:val="000000"/>
          <w:sz w:val="32"/>
          <w:szCs w:val="32"/>
          <w:lang w:val="en-US" w:eastAsia="zh-CN"/>
        </w:rPr>
        <w:t>“</w:t>
      </w:r>
      <w:r>
        <w:rPr>
          <w:rStyle w:val="40"/>
          <w:rFonts w:ascii="Times New Roman" w:hAnsi="Times New Roman"/>
          <w:bCs/>
          <w:color w:val="000000"/>
          <w:sz w:val="32"/>
          <w:szCs w:val="32"/>
          <w:lang w:val="en-US" w:eastAsia="zh-CN"/>
        </w:rPr>
        <w:t>链主</w:t>
      </w:r>
      <w:r>
        <w:rPr>
          <w:rStyle w:val="40"/>
          <w:rFonts w:hint="eastAsia" w:ascii="Times New Roman" w:hAnsi="Times New Roman"/>
          <w:bCs/>
          <w:color w:val="000000"/>
          <w:sz w:val="32"/>
          <w:szCs w:val="32"/>
          <w:lang w:val="en-US" w:eastAsia="zh-CN"/>
        </w:rPr>
        <w:t>”</w:t>
      </w:r>
      <w:r>
        <w:rPr>
          <w:rStyle w:val="40"/>
          <w:rFonts w:ascii="Times New Roman" w:hAnsi="Times New Roman"/>
          <w:bCs/>
          <w:color w:val="000000"/>
          <w:sz w:val="32"/>
          <w:szCs w:val="32"/>
          <w:lang w:val="en-US" w:eastAsia="zh-CN"/>
        </w:rPr>
        <w:t>型企业，深莓联栋智能温室一期</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万平方米建成投用，微康益生菌产业园项目完成整体规划，带动农业产业链延伸</w:t>
      </w:r>
      <w:r>
        <w:rPr>
          <w:rStyle w:val="40"/>
          <w:rFonts w:hint="eastAsia"/>
          <w:bCs/>
          <w:color w:val="000000"/>
          <w:sz w:val="32"/>
          <w:szCs w:val="32"/>
          <w:lang w:val="en-US" w:eastAsia="zh-CN"/>
        </w:rPr>
        <w:t>、</w:t>
      </w:r>
      <w:r>
        <w:rPr>
          <w:rStyle w:val="40"/>
          <w:rFonts w:ascii="Times New Roman" w:hAnsi="Times New Roman"/>
          <w:bCs/>
          <w:color w:val="000000"/>
          <w:sz w:val="32"/>
          <w:szCs w:val="32"/>
          <w:lang w:val="en-US" w:eastAsia="zh-CN"/>
        </w:rPr>
        <w:t>价值链提升。城市经济繁荣提质，天一商贸城、双河酒店、亿达广场等商业综合体投入运营，古道温泉康养度假中心、怪石峪提档升级等文旅项目丰富业态，为城市发展注入新活力。</w:t>
      </w:r>
    </w:p>
    <w:p w14:paraId="5C7E8AAE">
      <w:pPr>
        <w:keepNext w:val="0"/>
        <w:keepLines w:val="0"/>
        <w:pageBreakBefore w:val="0"/>
        <w:kinsoku/>
        <w:topLinePunct w:val="0"/>
        <w:autoSpaceDE/>
        <w:autoSpaceDN/>
        <w:bidi w:val="0"/>
        <w:spacing w:line="560" w:lineRule="exact"/>
        <w:ind w:firstLine="643" w:firstLineChars="200"/>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园区建设蹄疾步稳</w:t>
      </w:r>
      <w:r>
        <w:rPr>
          <w:rFonts w:hint="eastAsia" w:ascii="Times New Roman" w:hAnsi="Times New Roman"/>
          <w:b/>
          <w:bCs/>
          <w:color w:val="000000"/>
          <w:sz w:val="32"/>
          <w:szCs w:val="32"/>
          <w:lang w:val="en-US" w:eastAsia="zh-CN"/>
        </w:rPr>
        <w:t>。</w:t>
      </w:r>
      <w:r>
        <w:rPr>
          <w:rStyle w:val="40"/>
          <w:rFonts w:hint="eastAsia" w:ascii="Times New Roman" w:hAnsi="Times New Roman"/>
          <w:bCs/>
          <w:color w:val="000000"/>
          <w:sz w:val="32"/>
          <w:szCs w:val="32"/>
          <w:lang w:val="en-US" w:eastAsia="zh-CN"/>
        </w:rPr>
        <w:t>“</w:t>
      </w:r>
      <w:r>
        <w:rPr>
          <w:rStyle w:val="40"/>
          <w:rFonts w:ascii="Times New Roman" w:hAnsi="Times New Roman"/>
          <w:bCs/>
          <w:color w:val="000000"/>
          <w:sz w:val="32"/>
          <w:szCs w:val="32"/>
          <w:lang w:val="en-US" w:eastAsia="zh-CN"/>
        </w:rPr>
        <w:t>十四五</w:t>
      </w:r>
      <w:r>
        <w:rPr>
          <w:rStyle w:val="40"/>
          <w:rFonts w:hint="eastAsia" w:ascii="Times New Roman" w:hAnsi="Times New Roman"/>
          <w:bCs/>
          <w:color w:val="000000"/>
          <w:sz w:val="32"/>
          <w:szCs w:val="32"/>
          <w:lang w:val="en-US" w:eastAsia="zh-CN"/>
        </w:rPr>
        <w:t>”末开发区</w:t>
      </w:r>
      <w:r>
        <w:rPr>
          <w:rStyle w:val="40"/>
          <w:rFonts w:ascii="Times New Roman" w:hAnsi="Times New Roman"/>
          <w:bCs/>
          <w:color w:val="000000"/>
          <w:sz w:val="32"/>
          <w:szCs w:val="32"/>
          <w:lang w:val="en-US" w:eastAsia="zh-CN"/>
        </w:rPr>
        <w:t>规上工业总产值</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亿元，年均增长</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；固定资产投资</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亿元，年均增长</w:t>
      </w:r>
      <w:r>
        <w:rPr>
          <w:rFonts w:hint="eastAsia"/>
          <w:i w:val="0"/>
          <w:iCs w:val="0"/>
          <w:color w:val="000000"/>
          <w:spacing w:val="0"/>
          <w:sz w:val="32"/>
          <w:szCs w:val="32"/>
          <w:shd w:val="clear" w:color="auto" w:fill="auto"/>
          <w:lang w:val="en-US" w:eastAsia="zh-CN"/>
        </w:rPr>
        <w:t>XX</w:t>
      </w:r>
      <w:r>
        <w:rPr>
          <w:rStyle w:val="40"/>
          <w:rFonts w:hint="eastAsia" w:ascii="Times New Roman" w:hAnsi="Times New Roman"/>
          <w:bCs/>
          <w:color w:val="000000"/>
          <w:sz w:val="32"/>
          <w:szCs w:val="32"/>
          <w:lang w:val="en-US" w:eastAsia="zh-CN"/>
        </w:rPr>
        <w:t>；</w:t>
      </w:r>
      <w:r>
        <w:rPr>
          <w:rStyle w:val="40"/>
          <w:rFonts w:ascii="Times New Roman" w:hAnsi="Times New Roman"/>
          <w:bCs/>
          <w:color w:val="000000"/>
          <w:sz w:val="32"/>
          <w:szCs w:val="32"/>
          <w:lang w:val="en-US" w:eastAsia="zh-CN"/>
        </w:rPr>
        <w:t>招商引资实物量</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亿元，年均增长</w:t>
      </w:r>
      <w:r>
        <w:rPr>
          <w:rFonts w:hint="eastAsia"/>
          <w:i w:val="0"/>
          <w:iCs w:val="0"/>
          <w:color w:val="000000"/>
          <w:spacing w:val="0"/>
          <w:sz w:val="32"/>
          <w:szCs w:val="32"/>
          <w:shd w:val="clear" w:color="auto" w:fill="auto"/>
          <w:lang w:val="en-US" w:eastAsia="zh-CN"/>
        </w:rPr>
        <w:t>XX</w:t>
      </w:r>
      <w:r>
        <w:rPr>
          <w:rStyle w:val="40"/>
          <w:rFonts w:ascii="Times New Roman" w:hAnsi="Times New Roman"/>
          <w:bCs/>
          <w:color w:val="000000"/>
          <w:sz w:val="32"/>
          <w:szCs w:val="32"/>
          <w:lang w:val="en-US" w:eastAsia="zh-CN"/>
        </w:rPr>
        <w:t>。</w:t>
      </w:r>
      <w:r>
        <w:rPr>
          <w:rStyle w:val="40"/>
          <w:rFonts w:hint="eastAsia" w:ascii="Times New Roman" w:hAnsi="Times New Roman"/>
          <w:bCs/>
          <w:color w:val="000000"/>
          <w:sz w:val="32"/>
          <w:szCs w:val="32"/>
          <w:lang w:val="en-US" w:eastAsia="zh-CN"/>
        </w:rPr>
        <w:t>开发区</w:t>
      </w:r>
      <w:r>
        <w:rPr>
          <w:rStyle w:val="40"/>
          <w:rFonts w:ascii="Times New Roman" w:hAnsi="Times New Roman"/>
          <w:bCs/>
          <w:color w:val="000000"/>
          <w:sz w:val="32"/>
          <w:szCs w:val="32"/>
          <w:lang w:val="en-US" w:eastAsia="zh-CN"/>
        </w:rPr>
        <w:t>体制机制逐步健全，</w:t>
      </w:r>
      <w:r>
        <w:rPr>
          <w:rStyle w:val="40"/>
          <w:rFonts w:hint="eastAsia" w:ascii="Times New Roman" w:hAnsi="Times New Roman"/>
          <w:bCs/>
          <w:color w:val="000000"/>
          <w:sz w:val="32"/>
          <w:szCs w:val="32"/>
          <w:lang w:val="en-US" w:eastAsia="zh-CN"/>
        </w:rPr>
        <w:t>建立</w:t>
      </w:r>
      <w:r>
        <w:rPr>
          <w:rStyle w:val="40"/>
          <w:rFonts w:ascii="Times New Roman" w:hAnsi="Times New Roman"/>
          <w:bCs/>
          <w:color w:val="000000"/>
          <w:sz w:val="32"/>
          <w:szCs w:val="32"/>
          <w:lang w:val="en-US" w:eastAsia="zh-CN"/>
        </w:rPr>
        <w:t>高质量发展工作协调机制，有力推动园区体制机制改革、产业结构升级等重点任务</w:t>
      </w:r>
      <w:r>
        <w:rPr>
          <w:rStyle w:val="40"/>
          <w:rFonts w:hint="eastAsia" w:ascii="Times New Roman" w:hAnsi="Times New Roman"/>
          <w:bCs/>
          <w:color w:val="000000"/>
          <w:sz w:val="32"/>
          <w:szCs w:val="32"/>
          <w:lang w:val="en-US" w:eastAsia="zh-CN"/>
        </w:rPr>
        <w:t>，逐步</w:t>
      </w:r>
      <w:r>
        <w:rPr>
          <w:rStyle w:val="40"/>
          <w:rFonts w:ascii="Times New Roman" w:hAnsi="Times New Roman"/>
          <w:bCs/>
          <w:color w:val="000000"/>
          <w:sz w:val="32"/>
          <w:szCs w:val="32"/>
          <w:lang w:val="en-US" w:eastAsia="zh-CN"/>
        </w:rPr>
        <w:t>构建起协同高效、运转顺畅的管理运行机制；园区监管逐步完善，严格执行兵团开发区经济发展目标考核要求，建立常态化年度考核评价机制。</w:t>
      </w:r>
    </w:p>
    <w:p w14:paraId="5F26A06C">
      <w:pPr>
        <w:pStyle w:val="7"/>
        <w:bidi w:val="0"/>
        <w:rPr>
          <w:lang w:val="en-US" w:eastAsia="zh-CN"/>
        </w:rPr>
      </w:pPr>
      <w:bookmarkStart w:id="14" w:name="_Toc26070"/>
      <w:r>
        <w:rPr>
          <w:lang w:val="en-US" w:eastAsia="zh-CN"/>
        </w:rPr>
        <w:t>第二节 发展形势</w:t>
      </w:r>
      <w:bookmarkEnd w:id="14"/>
    </w:p>
    <w:p w14:paraId="74E4FD6F">
      <w:pPr>
        <w:pStyle w:val="31"/>
        <w:keepNext w:val="0"/>
        <w:keepLines w:val="0"/>
        <w:pageBreakBefore w:val="0"/>
        <w:widowControl w:val="0"/>
        <w:kinsoku/>
        <w:overflowPunct/>
        <w:topLinePunct w:val="0"/>
        <w:autoSpaceDE/>
        <w:autoSpaceDN/>
        <w:bidi w:val="0"/>
        <w:snapToGrid/>
        <w:spacing w:before="0" w:beforeAutospacing="0" w:after="0" w:afterAutospacing="0" w:line="520" w:lineRule="exact"/>
        <w:ind w:left="0" w:leftChars="0" w:firstLine="643" w:firstLineChars="200"/>
        <w:jc w:val="both"/>
        <w:rPr>
          <w:rFonts w:ascii="Times New Roman" w:hAnsi="Times New Roman" w:eastAsia="仿宋_GB2312"/>
          <w:b/>
          <w:bCs/>
          <w:color w:val="000000"/>
          <w:spacing w:val="0"/>
          <w:kern w:val="2"/>
          <w:sz w:val="32"/>
          <w:szCs w:val="32"/>
          <w:lang w:val="en-US" w:eastAsia="zh-CN" w:bidi="ar-SA"/>
        </w:rPr>
      </w:pPr>
      <w:r>
        <w:rPr>
          <w:rFonts w:ascii="Times New Roman" w:hAnsi="Times New Roman" w:eastAsia="仿宋_GB2312"/>
          <w:b/>
          <w:bCs/>
          <w:color w:val="000000"/>
          <w:spacing w:val="0"/>
          <w:kern w:val="2"/>
          <w:sz w:val="32"/>
          <w:szCs w:val="32"/>
          <w:lang w:val="en-US" w:eastAsia="zh-CN" w:bidi="ar-SA"/>
        </w:rPr>
        <w:t>国际方面，</w:t>
      </w:r>
      <w:r>
        <w:rPr>
          <w:rFonts w:ascii="Times New Roman" w:hAnsi="Times New Roman" w:eastAsia="仿宋_GB2312"/>
          <w:i w:val="0"/>
          <w:iCs w:val="0"/>
          <w:color w:val="000000"/>
          <w:spacing w:val="0"/>
          <w:sz w:val="32"/>
          <w:szCs w:val="32"/>
          <w:shd w:val="clear" w:color="auto" w:fill="auto"/>
        </w:rPr>
        <w:t>全球产业链供应链加速重构，资源能源安全、陆路通道与区域经贸合作成为竞争焦点，为发挥毗邻阿拉山口口岸的区位优势、深化与中亚及欧亚地区经贸往来创造了条件。中亚国家对外开放步伐加快，能源、矿产、农产品、物流等领域合作需求进一步增长，与师市新型建材、</w:t>
      </w:r>
      <w:r>
        <w:rPr>
          <w:rFonts w:hint="eastAsia" w:ascii="Times New Roman" w:hAnsi="Times New Roman" w:eastAsia="仿宋_GB2312"/>
          <w:i w:val="0"/>
          <w:iCs w:val="0"/>
          <w:color w:val="000000"/>
          <w:spacing w:val="0"/>
          <w:sz w:val="32"/>
          <w:szCs w:val="32"/>
          <w:shd w:val="clear" w:color="auto" w:fill="auto"/>
          <w:lang w:eastAsia="zh-CN"/>
        </w:rPr>
        <w:t>有色金属加工</w:t>
      </w:r>
      <w:r>
        <w:rPr>
          <w:rFonts w:ascii="Times New Roman" w:hAnsi="Times New Roman" w:eastAsia="仿宋_GB2312"/>
          <w:i w:val="0"/>
          <w:iCs w:val="0"/>
          <w:color w:val="000000"/>
          <w:spacing w:val="0"/>
          <w:sz w:val="32"/>
          <w:szCs w:val="32"/>
          <w:shd w:val="clear" w:color="auto" w:fill="auto"/>
        </w:rPr>
        <w:t>、新能源装备等产业优势高度互补，为师市企业</w:t>
      </w:r>
      <w:r>
        <w:rPr>
          <w:rFonts w:hint="eastAsia" w:ascii="Times New Roman" w:hAnsi="Times New Roman" w:eastAsia="仿宋_GB2312"/>
          <w:i w:val="0"/>
          <w:iCs w:val="0"/>
          <w:color w:val="000000"/>
          <w:spacing w:val="0"/>
          <w:sz w:val="32"/>
          <w:szCs w:val="32"/>
          <w:shd w:val="clear" w:color="auto" w:fill="auto"/>
          <w:lang w:eastAsia="zh-CN"/>
        </w:rPr>
        <w:t>“</w:t>
      </w:r>
      <w:r>
        <w:rPr>
          <w:rFonts w:ascii="Times New Roman" w:hAnsi="Times New Roman" w:eastAsia="仿宋_GB2312"/>
          <w:i w:val="0"/>
          <w:iCs w:val="0"/>
          <w:color w:val="000000"/>
          <w:spacing w:val="0"/>
          <w:sz w:val="32"/>
          <w:szCs w:val="32"/>
          <w:shd w:val="clear" w:color="auto" w:fill="auto"/>
        </w:rPr>
        <w:t>走出去</w:t>
      </w:r>
      <w:r>
        <w:rPr>
          <w:rFonts w:hint="eastAsia" w:ascii="Times New Roman" w:hAnsi="Times New Roman" w:eastAsia="仿宋_GB2312"/>
          <w:i w:val="0"/>
          <w:iCs w:val="0"/>
          <w:color w:val="000000"/>
          <w:spacing w:val="0"/>
          <w:sz w:val="32"/>
          <w:szCs w:val="32"/>
          <w:shd w:val="clear" w:color="auto" w:fill="auto"/>
          <w:lang w:eastAsia="zh-CN"/>
        </w:rPr>
        <w:t>”</w:t>
      </w:r>
      <w:r>
        <w:rPr>
          <w:rFonts w:ascii="Times New Roman" w:hAnsi="Times New Roman" w:eastAsia="仿宋_GB2312"/>
          <w:i w:val="0"/>
          <w:iCs w:val="0"/>
          <w:color w:val="000000"/>
          <w:spacing w:val="0"/>
          <w:sz w:val="32"/>
          <w:szCs w:val="32"/>
          <w:shd w:val="clear" w:color="auto" w:fill="auto"/>
        </w:rPr>
        <w:t>提供了精准对接机遇，</w:t>
      </w:r>
      <w:r>
        <w:rPr>
          <w:rFonts w:ascii="Times New Roman" w:hAnsi="Times New Roman" w:eastAsia="仿宋_GB2312"/>
          <w:i w:val="0"/>
          <w:iCs w:val="0"/>
          <w:color w:val="000000"/>
          <w:spacing w:val="0"/>
          <w:sz w:val="32"/>
          <w:szCs w:val="32"/>
          <w:shd w:val="clear" w:color="auto" w:fill="auto"/>
          <w:lang w:eastAsia="zh-CN"/>
        </w:rPr>
        <w:t>对</w:t>
      </w:r>
      <w:r>
        <w:rPr>
          <w:rFonts w:ascii="Times New Roman" w:hAnsi="Times New Roman" w:eastAsia="仿宋_GB2312"/>
          <w:i w:val="0"/>
          <w:iCs w:val="0"/>
          <w:color w:val="000000"/>
          <w:spacing w:val="0"/>
          <w:sz w:val="32"/>
          <w:szCs w:val="32"/>
          <w:shd w:val="clear" w:color="auto" w:fill="auto"/>
        </w:rPr>
        <w:t>拓展欧亚市场合作空间，激活外向型经济发展新动能</w:t>
      </w:r>
      <w:r>
        <w:rPr>
          <w:rFonts w:ascii="Times New Roman" w:hAnsi="Times New Roman" w:eastAsia="仿宋_GB2312"/>
          <w:i w:val="0"/>
          <w:iCs w:val="0"/>
          <w:color w:val="000000"/>
          <w:spacing w:val="0"/>
          <w:sz w:val="32"/>
          <w:szCs w:val="32"/>
          <w:shd w:val="clear" w:color="auto" w:fill="auto"/>
          <w:lang w:eastAsia="zh-CN"/>
        </w:rPr>
        <w:t>具有重要意义。</w:t>
      </w:r>
    </w:p>
    <w:p w14:paraId="41E92A64">
      <w:pPr>
        <w:pStyle w:val="31"/>
        <w:keepNext w:val="0"/>
        <w:keepLines w:val="0"/>
        <w:pageBreakBefore w:val="0"/>
        <w:widowControl w:val="0"/>
        <w:kinsoku/>
        <w:overflowPunct/>
        <w:topLinePunct w:val="0"/>
        <w:autoSpaceDE/>
        <w:autoSpaceDN/>
        <w:bidi w:val="0"/>
        <w:snapToGrid/>
        <w:spacing w:before="0" w:beforeAutospacing="0" w:after="0" w:afterAutospacing="0" w:line="520" w:lineRule="exact"/>
        <w:ind w:left="0" w:leftChars="0" w:firstLine="643" w:firstLineChars="200"/>
        <w:jc w:val="both"/>
        <w:rPr>
          <w:rFonts w:ascii="Times New Roman" w:hAnsi="Times New Roman" w:eastAsia="仿宋_GB2312"/>
          <w:b/>
          <w:bCs/>
          <w:color w:val="000000"/>
          <w:spacing w:val="0"/>
          <w:kern w:val="2"/>
          <w:sz w:val="32"/>
          <w:szCs w:val="32"/>
          <w:lang w:val="en-US" w:eastAsia="zh-CN" w:bidi="ar-SA"/>
        </w:rPr>
      </w:pPr>
      <w:r>
        <w:rPr>
          <w:rFonts w:ascii="Times New Roman" w:hAnsi="Times New Roman" w:eastAsia="仿宋_GB2312"/>
          <w:b/>
          <w:bCs/>
          <w:color w:val="000000"/>
          <w:spacing w:val="0"/>
          <w:kern w:val="2"/>
          <w:sz w:val="32"/>
          <w:szCs w:val="32"/>
          <w:lang w:val="en-US" w:eastAsia="zh-CN" w:bidi="ar-SA"/>
        </w:rPr>
        <w:t>国内方面，</w:t>
      </w:r>
      <w:r>
        <w:rPr>
          <w:rFonts w:ascii="Times New Roman" w:hAnsi="Times New Roman" w:eastAsia="仿宋_GB2312"/>
          <w:i w:val="0"/>
          <w:iCs w:val="0"/>
          <w:color w:val="000000"/>
          <w:spacing w:val="0"/>
          <w:sz w:val="32"/>
          <w:szCs w:val="32"/>
          <w:shd w:val="clear" w:color="auto" w:fill="auto"/>
          <w:lang w:val="en-US" w:eastAsia="zh-CN"/>
        </w:rPr>
        <w:t>国家持续推进西部大开发、乡村振兴、丝绸之路经济带核心区建设等重大战略，加大对边疆地区、民族地区的政策扶持和资金投入，为完善基础设施、培育新质生产力提供有利条件，有助于师市立足新疆区位优势，深度融入国内大循环，畅通</w:t>
      </w:r>
      <w:r>
        <w:rPr>
          <w:rFonts w:hint="eastAsia" w:ascii="Times New Roman" w:hAnsi="Times New Roman" w:eastAsia="仿宋_GB2312"/>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东联西出</w:t>
      </w:r>
      <w:r>
        <w:rPr>
          <w:rFonts w:hint="eastAsia" w:ascii="Times New Roman" w:hAnsi="Times New Roman" w:eastAsia="仿宋_GB2312"/>
          <w:i w:val="0"/>
          <w:iCs w:val="0"/>
          <w:color w:val="000000"/>
          <w:spacing w:val="0"/>
          <w:sz w:val="32"/>
          <w:szCs w:val="32"/>
          <w:shd w:val="clear" w:color="auto" w:fill="auto"/>
          <w:lang w:val="en-US" w:eastAsia="zh-CN"/>
        </w:rPr>
        <w:t>”</w:t>
      </w:r>
      <w:r>
        <w:rPr>
          <w:rFonts w:ascii="Times New Roman" w:hAnsi="Times New Roman" w:eastAsia="仿宋_GB2312"/>
          <w:i w:val="0"/>
          <w:iCs w:val="0"/>
          <w:color w:val="000000"/>
          <w:spacing w:val="0"/>
          <w:sz w:val="32"/>
          <w:szCs w:val="32"/>
          <w:shd w:val="clear" w:color="auto" w:fill="auto"/>
          <w:lang w:val="en-US" w:eastAsia="zh-CN"/>
        </w:rPr>
        <w:t>通道，承接产业转移和技术创新资源。同时，我国经济转向高质量发展阶段，消费需求不断升级，绿色消费、智能消费、健康消费等新业态新模式加速涌现，为师市优化消费供给、培育消费新增长点提供了广阔空间。</w:t>
      </w:r>
    </w:p>
    <w:p w14:paraId="15A738B4">
      <w:pPr>
        <w:keepNext w:val="0"/>
        <w:keepLines w:val="0"/>
        <w:pageBreakBefore w:val="0"/>
        <w:kinsoku/>
        <w:overflowPunct/>
        <w:topLinePunct w:val="0"/>
        <w:autoSpaceDE/>
        <w:autoSpaceDN/>
        <w:bidi w:val="0"/>
        <w:snapToGrid/>
        <w:spacing w:line="520" w:lineRule="exact"/>
        <w:ind w:firstLine="643" w:firstLineChars="200"/>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兵团方面，</w:t>
      </w:r>
      <w:r>
        <w:rPr>
          <w:rFonts w:ascii="Times New Roman" w:hAnsi="Times New Roman"/>
          <w:b w:val="0"/>
          <w:bCs w:val="0"/>
          <w:color w:val="000000"/>
          <w:sz w:val="32"/>
          <w:szCs w:val="32"/>
          <w:lang w:val="en-US" w:eastAsia="zh-CN"/>
        </w:rPr>
        <w:t>在新时代党的治疆方略科学指引下，兵团高质量发展与高水平开放协同共进，兵地融合发展持续深化，为师市商务发展提供了明确的战略导向和坚实的产业支撑。</w:t>
      </w:r>
      <w:r>
        <w:rPr>
          <w:rFonts w:ascii="Times New Roman" w:hAnsi="Times New Roman"/>
          <w:color w:val="000000"/>
          <w:sz w:val="32"/>
          <w:szCs w:val="32"/>
          <w:lang w:val="en-US" w:eastAsia="zh-CN"/>
        </w:rPr>
        <w:t>兵团加快推进现代化建设，着力构建现代化产业体系，作为兵团</w:t>
      </w:r>
      <w:r>
        <w:rPr>
          <w:rFonts w:hint="eastAsia"/>
          <w:color w:val="000000"/>
          <w:sz w:val="32"/>
          <w:szCs w:val="32"/>
          <w:lang w:val="en-US" w:eastAsia="zh-CN"/>
        </w:rPr>
        <w:t>向西开放节点</w:t>
      </w:r>
      <w:r>
        <w:rPr>
          <w:rFonts w:ascii="Times New Roman" w:hAnsi="Times New Roman"/>
          <w:color w:val="000000"/>
          <w:sz w:val="32"/>
          <w:szCs w:val="32"/>
          <w:lang w:val="en-US" w:eastAsia="zh-CN"/>
        </w:rPr>
        <w:t>，师市可依托兵团组织优势和政策优势，强化向西开放支点作用，借助兵团改革红利，持续健全和转变</w:t>
      </w:r>
      <w:r>
        <w:rPr>
          <w:rFonts w:hint="eastAsia" w:ascii="Times New Roman" w:hAnsi="Times New Roman"/>
          <w:color w:val="000000"/>
          <w:sz w:val="32"/>
          <w:szCs w:val="32"/>
          <w:lang w:val="en-US" w:eastAsia="zh-CN"/>
        </w:rPr>
        <w:t>“</w:t>
      </w:r>
      <w:r>
        <w:rPr>
          <w:rFonts w:ascii="Times New Roman" w:hAnsi="Times New Roman"/>
          <w:color w:val="000000"/>
          <w:sz w:val="32"/>
          <w:szCs w:val="32"/>
          <w:lang w:val="en-US" w:eastAsia="zh-CN"/>
        </w:rPr>
        <w:t>政</w:t>
      </w:r>
      <w:r>
        <w:rPr>
          <w:rFonts w:hint="eastAsia" w:ascii="Times New Roman" w:hAnsi="Times New Roman"/>
          <w:color w:val="000000"/>
          <w:sz w:val="32"/>
          <w:szCs w:val="32"/>
          <w:lang w:val="en-US" w:eastAsia="zh-CN"/>
        </w:rPr>
        <w:t>”</w:t>
      </w:r>
      <w:r>
        <w:rPr>
          <w:rFonts w:ascii="Times New Roman" w:hAnsi="Times New Roman"/>
          <w:color w:val="000000"/>
          <w:sz w:val="32"/>
          <w:szCs w:val="32"/>
          <w:lang w:val="en-US" w:eastAsia="zh-CN"/>
        </w:rPr>
        <w:t>的职能，激发市场主体活力，在维稳戍边与高质量发展中实现双赢。</w:t>
      </w:r>
    </w:p>
    <w:p w14:paraId="6ADF9EA7">
      <w:pPr>
        <w:keepNext w:val="0"/>
        <w:keepLines w:val="0"/>
        <w:pageBreakBefore w:val="0"/>
        <w:kinsoku/>
        <w:overflowPunct/>
        <w:topLinePunct w:val="0"/>
        <w:autoSpaceDE/>
        <w:autoSpaceDN/>
        <w:bidi w:val="0"/>
        <w:snapToGrid/>
        <w:spacing w:line="520" w:lineRule="exact"/>
        <w:ind w:firstLine="643" w:firstLineChars="200"/>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师市方面，</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十四五</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圆满收官，师市经济实力稳步提升，</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3+3+3</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现代化产业体系初步构建，</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四基两区</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战略目标稳步推进。</w:t>
      </w:r>
      <w:r>
        <w:rPr>
          <w:rFonts w:hint="eastAsia"/>
          <w:b w:val="0"/>
          <w:bCs w:val="0"/>
          <w:color w:val="000000"/>
          <w:sz w:val="32"/>
          <w:szCs w:val="32"/>
          <w:lang w:val="en-US" w:eastAsia="zh-CN"/>
        </w:rPr>
        <w:t>双河</w:t>
      </w:r>
      <w:r>
        <w:rPr>
          <w:rFonts w:ascii="Times New Roman" w:hAnsi="Times New Roman"/>
          <w:b w:val="0"/>
          <w:bCs w:val="0"/>
          <w:color w:val="000000"/>
          <w:sz w:val="32"/>
          <w:szCs w:val="32"/>
          <w:lang w:val="en-US" w:eastAsia="zh-CN"/>
        </w:rPr>
        <w:t>铁路专用线直通园区，形成便捷交通圈，为对外开放和产业发展提供支撑。资源禀赋得天独厚，土地、水利、地热等资源丰富，新能源可开发潜力巨大，为产业发展提供坚实保障。特别是师市在</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十四五</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期间积累的招商引资经验、园区建设成果以及日益完善的商业体系，为</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十五五</w:t>
      </w:r>
      <w:r>
        <w:rPr>
          <w:rFonts w:hint="eastAsia" w:ascii="Times New Roman" w:hAnsi="Times New Roman"/>
          <w:b w:val="0"/>
          <w:bCs w:val="0"/>
          <w:color w:val="000000"/>
          <w:sz w:val="32"/>
          <w:szCs w:val="32"/>
          <w:lang w:val="en-US" w:eastAsia="zh-CN"/>
        </w:rPr>
        <w:t>”</w:t>
      </w:r>
      <w:r>
        <w:rPr>
          <w:rFonts w:ascii="Times New Roman" w:hAnsi="Times New Roman"/>
          <w:b w:val="0"/>
          <w:bCs w:val="0"/>
          <w:color w:val="000000"/>
          <w:sz w:val="32"/>
          <w:szCs w:val="32"/>
          <w:lang w:val="en-US" w:eastAsia="zh-CN"/>
        </w:rPr>
        <w:t>商务发展奠定了坚实的产业基础和服务保障。</w:t>
      </w:r>
    </w:p>
    <w:p w14:paraId="6105D752">
      <w:pPr>
        <w:keepNext w:val="0"/>
        <w:keepLines w:val="0"/>
        <w:pageBreakBefore w:val="0"/>
        <w:widowControl/>
        <w:kinsoku/>
        <w:wordWrap/>
        <w:overflowPunct/>
        <w:topLinePunct w:val="0"/>
        <w:autoSpaceDE/>
        <w:autoSpaceDN/>
        <w:bidi w:val="0"/>
        <w:snapToGrid/>
        <w:spacing w:line="520" w:lineRule="exact"/>
        <w:ind w:firstLine="640" w:firstLineChars="200"/>
        <w:rPr>
          <w:rFonts w:ascii="Times New Roman" w:hAnsi="Times New Roman"/>
          <w:color w:val="000000"/>
          <w:lang w:val="en-US" w:eastAsia="zh-CN"/>
        </w:rPr>
      </w:pPr>
      <w:r>
        <w:rPr>
          <w:rFonts w:ascii="Times New Roman" w:hAnsi="Times New Roman"/>
          <w:color w:val="000000"/>
          <w:lang w:val="en-US" w:eastAsia="zh-CN"/>
        </w:rPr>
        <w:t>然而，</w:t>
      </w:r>
      <w:r>
        <w:rPr>
          <w:rFonts w:hint="eastAsia" w:ascii="Times New Roman" w:hAnsi="Times New Roman"/>
          <w:color w:val="000000"/>
          <w:lang w:val="en-US" w:eastAsia="zh-CN"/>
        </w:rPr>
        <w:t>“</w:t>
      </w:r>
      <w:r>
        <w:rPr>
          <w:rFonts w:ascii="Times New Roman" w:hAnsi="Times New Roman"/>
          <w:color w:val="000000"/>
          <w:lang w:val="en-US" w:eastAsia="zh-CN"/>
        </w:rPr>
        <w:t>十五五</w:t>
      </w:r>
      <w:r>
        <w:rPr>
          <w:rFonts w:hint="eastAsia" w:ascii="Times New Roman" w:hAnsi="Times New Roman"/>
          <w:color w:val="000000"/>
          <w:lang w:val="en-US" w:eastAsia="zh-CN"/>
        </w:rPr>
        <w:t>”</w:t>
      </w:r>
      <w:r>
        <w:rPr>
          <w:rFonts w:ascii="Times New Roman" w:hAnsi="Times New Roman"/>
          <w:color w:val="000000"/>
          <w:lang w:val="en-US" w:eastAsia="zh-CN"/>
        </w:rPr>
        <w:t>时期，师市商务领域发展仍面临着重重挑战。</w:t>
      </w:r>
      <w:r>
        <w:rPr>
          <w:rFonts w:ascii="Times New Roman" w:hAnsi="Times New Roman"/>
          <w:b/>
          <w:bCs/>
          <w:color w:val="000000"/>
          <w:lang w:val="en-US" w:eastAsia="zh-CN"/>
        </w:rPr>
        <w:t>一是</w:t>
      </w:r>
      <w:r>
        <w:rPr>
          <w:rFonts w:ascii="Times New Roman" w:hAnsi="Times New Roman"/>
          <w:color w:val="000000"/>
          <w:lang w:val="en-US" w:eastAsia="zh-CN"/>
        </w:rPr>
        <w:t>内贸流通现代化水平有待提升，城乡市场联动衔接不够紧密，市场主体结构亟待优化，消费潜力释放不充分，新业态新模式培育力度不足。</w:t>
      </w:r>
      <w:r>
        <w:rPr>
          <w:rFonts w:ascii="Times New Roman" w:hAnsi="Times New Roman"/>
          <w:b/>
          <w:bCs/>
          <w:color w:val="000000"/>
          <w:lang w:val="en-US" w:eastAsia="zh-CN"/>
        </w:rPr>
        <w:t>二是</w:t>
      </w:r>
      <w:r>
        <w:rPr>
          <w:rFonts w:ascii="Times New Roman" w:hAnsi="Times New Roman"/>
          <w:color w:val="000000"/>
          <w:lang w:val="en-US" w:eastAsia="zh-CN"/>
        </w:rPr>
        <w:t>外贸发展结构性矛盾依然突出，高附加值产品出口规模偏小，跨境电商、边民互市等新业态仍</w:t>
      </w:r>
      <w:r>
        <w:rPr>
          <w:rFonts w:hint="eastAsia"/>
          <w:color w:val="000000"/>
          <w:lang w:val="en-US" w:eastAsia="zh-CN"/>
        </w:rPr>
        <w:t>处于</w:t>
      </w:r>
      <w:r>
        <w:rPr>
          <w:rFonts w:ascii="Times New Roman" w:hAnsi="Times New Roman"/>
          <w:color w:val="000000"/>
          <w:lang w:val="en-US" w:eastAsia="zh-CN"/>
        </w:rPr>
        <w:t>培育起步阶段，口岸协同联动效能与基础设施支撑能力有待增强。</w:t>
      </w:r>
      <w:r>
        <w:rPr>
          <w:rFonts w:ascii="Times New Roman" w:hAnsi="Times New Roman"/>
          <w:b/>
          <w:bCs/>
          <w:color w:val="000000"/>
          <w:lang w:val="en-US" w:eastAsia="zh-CN"/>
        </w:rPr>
        <w:t>三是</w:t>
      </w:r>
      <w:r>
        <w:rPr>
          <w:rFonts w:ascii="Times New Roman" w:hAnsi="Times New Roman"/>
          <w:color w:val="000000"/>
          <w:lang w:val="en-US" w:eastAsia="zh-CN"/>
        </w:rPr>
        <w:t>产业招商实效不够明显，主导产业核心竞争力尚未形成，产业链条偏短、附加值偏低问题较为突出，</w:t>
      </w:r>
      <w:r>
        <w:rPr>
          <w:rFonts w:hint="eastAsia" w:ascii="Times New Roman" w:hAnsi="Times New Roman"/>
          <w:color w:val="000000"/>
          <w:lang w:val="en-US" w:eastAsia="zh-CN"/>
        </w:rPr>
        <w:t>“</w:t>
      </w:r>
      <w:r>
        <w:rPr>
          <w:rFonts w:ascii="Times New Roman" w:hAnsi="Times New Roman"/>
          <w:color w:val="000000"/>
          <w:lang w:val="en-US" w:eastAsia="zh-CN"/>
        </w:rPr>
        <w:t>链主</w:t>
      </w:r>
      <w:r>
        <w:rPr>
          <w:rFonts w:hint="eastAsia" w:ascii="Times New Roman" w:hAnsi="Times New Roman"/>
          <w:color w:val="000000"/>
          <w:lang w:val="en-US" w:eastAsia="zh-CN"/>
        </w:rPr>
        <w:t>”</w:t>
      </w:r>
      <w:r>
        <w:rPr>
          <w:rFonts w:ascii="Times New Roman" w:hAnsi="Times New Roman"/>
          <w:color w:val="000000"/>
          <w:lang w:val="en-US" w:eastAsia="zh-CN"/>
        </w:rPr>
        <w:t>企业引领带动作用不强，产业集聚发展效应不显著。</w:t>
      </w:r>
      <w:r>
        <w:rPr>
          <w:rFonts w:ascii="Times New Roman" w:hAnsi="Times New Roman"/>
          <w:b/>
          <w:bCs/>
          <w:color w:val="000000"/>
          <w:lang w:val="en-US" w:eastAsia="zh-CN"/>
        </w:rPr>
        <w:t>四是</w:t>
      </w:r>
      <w:r>
        <w:rPr>
          <w:rFonts w:ascii="Times New Roman" w:hAnsi="Times New Roman"/>
          <w:color w:val="000000"/>
          <w:lang w:val="en-US" w:eastAsia="zh-CN"/>
        </w:rPr>
        <w:t>开发区综合承载能力有待加强，部分基础设施配套不够完善，管理体制机制创新活力不足，服务企业的能力水平仍需进一步提高。</w:t>
      </w:r>
    </w:p>
    <w:p w14:paraId="07497E47">
      <w:pPr>
        <w:pStyle w:val="7"/>
        <w:bidi w:val="0"/>
        <w:rPr>
          <w:lang w:val="en-US" w:eastAsia="zh-CN"/>
        </w:rPr>
      </w:pPr>
      <w:bookmarkStart w:id="15" w:name="_Toc12409"/>
      <w:bookmarkStart w:id="16" w:name="_Toc16116"/>
      <w:bookmarkStart w:id="17" w:name="_Toc12431"/>
      <w:bookmarkStart w:id="18" w:name="_Toc29019"/>
      <w:bookmarkStart w:id="19" w:name="_Toc6440"/>
      <w:bookmarkStart w:id="20" w:name="_Toc27265"/>
      <w:bookmarkStart w:id="21" w:name="_Toc16119"/>
      <w:r>
        <w:rPr>
          <w:lang w:val="en-US" w:eastAsia="zh-CN"/>
        </w:rPr>
        <w:t>第三节 指导思想</w:t>
      </w:r>
      <w:bookmarkEnd w:id="15"/>
      <w:bookmarkEnd w:id="16"/>
      <w:bookmarkEnd w:id="17"/>
      <w:bookmarkEnd w:id="18"/>
      <w:bookmarkEnd w:id="19"/>
      <w:bookmarkEnd w:id="20"/>
      <w:bookmarkEnd w:id="21"/>
    </w:p>
    <w:p w14:paraId="2C2F66E5">
      <w:pPr>
        <w:keepNext w:val="0"/>
        <w:keepLines w:val="0"/>
        <w:pageBreakBefore w:val="0"/>
        <w:widowControl/>
        <w:kinsoku/>
        <w:wordWrap/>
        <w:overflowPunct/>
        <w:topLinePunct w:val="0"/>
        <w:autoSpaceDE/>
        <w:autoSpaceDN/>
        <w:bidi w:val="0"/>
        <w:snapToGrid/>
        <w:spacing w:line="520" w:lineRule="exact"/>
        <w:ind w:firstLine="640" w:firstLineChars="200"/>
        <w:rPr>
          <w:rFonts w:ascii="Times New Roman" w:hAnsi="Times New Roman"/>
          <w:color w:val="000000"/>
          <w:lang w:val="en-US" w:eastAsia="zh-CN"/>
        </w:rPr>
      </w:pPr>
      <w:r>
        <w:rPr>
          <w:rFonts w:ascii="Times New Roman" w:hAnsi="Times New Roman"/>
          <w:color w:val="000000"/>
          <w:lang w:val="en-US" w:eastAsia="zh-CN"/>
        </w:rPr>
        <w:t>以习近平新时代中国特色社会主义思想为指导，全面贯彻党的二十大和二十届历次全会精神，深入学习贯彻习近平总书记关于新疆和兵团工作的重要讲话重要指示批示精神，完整准确全面贯彻新时代党的治疆方略</w:t>
      </w:r>
      <w:r>
        <w:rPr>
          <w:rFonts w:hint="eastAsia" w:ascii="Times New Roman" w:hAnsi="Times New Roman"/>
          <w:color w:val="000000"/>
          <w:lang w:val="en-US" w:eastAsia="zh-CN"/>
        </w:rPr>
        <w:t>和党中央对兵团的定位要求</w:t>
      </w:r>
      <w:r>
        <w:rPr>
          <w:rFonts w:ascii="Times New Roman" w:hAnsi="Times New Roman"/>
          <w:color w:val="000000"/>
          <w:lang w:val="en-US" w:eastAsia="zh-CN"/>
        </w:rPr>
        <w:t>，聚焦履行兵团职责使命，把</w:t>
      </w:r>
      <w:r>
        <w:rPr>
          <w:rFonts w:hint="eastAsia" w:ascii="Times New Roman" w:hAnsi="Times New Roman"/>
          <w:color w:val="000000"/>
          <w:lang w:val="en-US" w:eastAsia="zh-CN"/>
        </w:rPr>
        <w:t>师市</w:t>
      </w:r>
      <w:r>
        <w:rPr>
          <w:rFonts w:ascii="Times New Roman" w:hAnsi="Times New Roman"/>
          <w:color w:val="000000"/>
          <w:lang w:val="en-US" w:eastAsia="zh-CN"/>
        </w:rPr>
        <w:t>发展纳入国家向西开放总体布局，主动融入和服务丝绸之路经济带核心区建设，</w:t>
      </w:r>
      <w:r>
        <w:rPr>
          <w:rFonts w:hint="eastAsia" w:ascii="Times New Roman" w:hAnsi="Times New Roman"/>
          <w:color w:val="000000"/>
          <w:lang w:val="en-US" w:eastAsia="zh-CN"/>
        </w:rPr>
        <w:t>坚决贯彻落实师市党委决策部署，</w:t>
      </w:r>
      <w:r>
        <w:rPr>
          <w:rFonts w:ascii="Times New Roman" w:hAnsi="Times New Roman"/>
          <w:color w:val="000000"/>
          <w:lang w:val="en-US" w:eastAsia="zh-CN"/>
        </w:rPr>
        <w:t>深入实施</w:t>
      </w:r>
      <w:r>
        <w:rPr>
          <w:rFonts w:hint="eastAsia" w:ascii="Times New Roman" w:hAnsi="Times New Roman"/>
          <w:color w:val="000000"/>
          <w:lang w:val="en-US" w:eastAsia="zh-CN"/>
        </w:rPr>
        <w:t>“</w:t>
      </w:r>
      <w:r>
        <w:rPr>
          <w:rFonts w:ascii="Times New Roman" w:hAnsi="Times New Roman"/>
          <w:color w:val="000000"/>
          <w:lang w:val="en-US" w:eastAsia="zh-CN"/>
        </w:rPr>
        <w:t>新质农业筑基、口岸工业强链、古道文旅兴城、绿色智慧赋能</w:t>
      </w:r>
      <w:r>
        <w:rPr>
          <w:rFonts w:hint="eastAsia" w:ascii="Times New Roman" w:hAnsi="Times New Roman"/>
          <w:color w:val="000000"/>
          <w:lang w:val="en-US" w:eastAsia="zh-CN"/>
        </w:rPr>
        <w:t>”</w:t>
      </w:r>
      <w:r>
        <w:rPr>
          <w:rFonts w:ascii="Times New Roman" w:hAnsi="Times New Roman"/>
          <w:color w:val="000000"/>
          <w:lang w:val="en-US" w:eastAsia="zh-CN"/>
        </w:rPr>
        <w:t>发展战略，加快构建</w:t>
      </w:r>
      <w:r>
        <w:rPr>
          <w:rFonts w:hint="eastAsia" w:ascii="Times New Roman" w:hAnsi="Times New Roman"/>
          <w:color w:val="000000"/>
          <w:lang w:val="en-US" w:eastAsia="zh-CN"/>
        </w:rPr>
        <w:t>“</w:t>
      </w:r>
      <w:r>
        <w:rPr>
          <w:rFonts w:ascii="Times New Roman" w:hAnsi="Times New Roman"/>
          <w:color w:val="000000"/>
          <w:lang w:val="en-US" w:eastAsia="zh-CN"/>
        </w:rPr>
        <w:t>3+3+3</w:t>
      </w:r>
      <w:r>
        <w:rPr>
          <w:rFonts w:hint="eastAsia" w:ascii="Times New Roman" w:hAnsi="Times New Roman"/>
          <w:color w:val="000000"/>
          <w:lang w:val="en-US" w:eastAsia="zh-CN"/>
        </w:rPr>
        <w:t>”</w:t>
      </w:r>
      <w:r>
        <w:rPr>
          <w:rFonts w:ascii="Times New Roman" w:hAnsi="Times New Roman"/>
          <w:color w:val="000000"/>
          <w:lang w:val="en-US" w:eastAsia="zh-CN"/>
        </w:rPr>
        <w:t>现代化产业体系，全力实现</w:t>
      </w:r>
      <w:r>
        <w:rPr>
          <w:rFonts w:hint="eastAsia" w:ascii="Times New Roman" w:hAnsi="Times New Roman"/>
          <w:color w:val="000000"/>
          <w:lang w:val="en-US" w:eastAsia="zh-CN"/>
        </w:rPr>
        <w:t>“</w:t>
      </w:r>
      <w:r>
        <w:rPr>
          <w:rFonts w:ascii="Times New Roman" w:hAnsi="Times New Roman"/>
          <w:color w:val="000000"/>
          <w:lang w:val="en-US" w:eastAsia="zh-CN"/>
        </w:rPr>
        <w:t>四基两区</w:t>
      </w:r>
      <w:r>
        <w:rPr>
          <w:rFonts w:hint="eastAsia" w:ascii="Times New Roman" w:hAnsi="Times New Roman"/>
          <w:color w:val="000000"/>
          <w:lang w:val="en-US" w:eastAsia="zh-CN"/>
        </w:rPr>
        <w:t>”战略</w:t>
      </w:r>
      <w:r>
        <w:rPr>
          <w:rFonts w:ascii="Times New Roman" w:hAnsi="Times New Roman"/>
          <w:color w:val="000000"/>
          <w:lang w:val="en-US" w:eastAsia="zh-CN"/>
        </w:rPr>
        <w:t>目标，多措并举提振消费，加快构建现代商贸流通体系，扩大高水平对外开放，着力优化对外贸易结构，提升招商引资质量，促进开发区高质量发展，奋力谱写新时代师市商务发展新篇章，为师市经济社会高质量发展提供坚实支撑。</w:t>
      </w:r>
    </w:p>
    <w:p w14:paraId="53B84FFF">
      <w:pPr>
        <w:pStyle w:val="7"/>
        <w:bidi w:val="0"/>
        <w:rPr>
          <w:lang w:val="en-US" w:eastAsia="zh-CN"/>
        </w:rPr>
      </w:pPr>
      <w:bookmarkStart w:id="22" w:name="_Toc27887"/>
      <w:bookmarkStart w:id="23" w:name="_Toc14707"/>
      <w:bookmarkStart w:id="24" w:name="_Toc1548"/>
      <w:bookmarkStart w:id="25" w:name="_Toc31405"/>
      <w:bookmarkStart w:id="26" w:name="_Toc15623"/>
      <w:bookmarkStart w:id="27" w:name="_Toc26533"/>
      <w:bookmarkStart w:id="28" w:name="_Toc18285"/>
      <w:r>
        <w:rPr>
          <w:lang w:val="en-US" w:eastAsia="zh-CN"/>
        </w:rPr>
        <w:t>第四节 基本原则</w:t>
      </w:r>
      <w:bookmarkEnd w:id="22"/>
      <w:bookmarkEnd w:id="23"/>
      <w:bookmarkEnd w:id="24"/>
      <w:bookmarkEnd w:id="25"/>
      <w:bookmarkEnd w:id="26"/>
      <w:bookmarkEnd w:id="27"/>
      <w:bookmarkEnd w:id="28"/>
    </w:p>
    <w:p w14:paraId="390DC133">
      <w:pPr>
        <w:pStyle w:val="24"/>
        <w:keepNext w:val="0"/>
        <w:keepLines w:val="0"/>
        <w:pageBreakBefore w:val="0"/>
        <w:widowControl w:val="0"/>
        <w:kinsoku/>
        <w:wordWrap/>
        <w:overflowPunct/>
        <w:topLinePunct w:val="0"/>
        <w:autoSpaceDE/>
        <w:autoSpaceDN/>
        <w:bidi w:val="0"/>
        <w:snapToGrid/>
        <w:spacing w:before="0" w:after="0" w:line="560" w:lineRule="exact"/>
        <w:ind w:firstLine="643" w:firstLineChars="200"/>
        <w:jc w:val="both"/>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坚持对外开放合作。</w:t>
      </w:r>
      <w:r>
        <w:rPr>
          <w:rFonts w:ascii="Times New Roman" w:hAnsi="Times New Roman"/>
          <w:color w:val="000000"/>
          <w:sz w:val="32"/>
          <w:szCs w:val="32"/>
          <w:lang w:val="en-US" w:eastAsia="zh-CN"/>
        </w:rPr>
        <w:t>深度融入丝绸之路经济带核心区建设，持续拓展对外开放广度与深度，提升区域协同水平与合作层次，加快构建对外开放大通道，着力打造兵团向西开放重要支点，构筑全方位、多层次、立体化的开放新格局。</w:t>
      </w:r>
    </w:p>
    <w:p w14:paraId="74B8CB70">
      <w:pPr>
        <w:pStyle w:val="24"/>
        <w:keepNext w:val="0"/>
        <w:keepLines w:val="0"/>
        <w:pageBreakBefore w:val="0"/>
        <w:widowControl w:val="0"/>
        <w:kinsoku/>
        <w:wordWrap/>
        <w:overflowPunct/>
        <w:topLinePunct w:val="0"/>
        <w:autoSpaceDE/>
        <w:autoSpaceDN/>
        <w:bidi w:val="0"/>
        <w:snapToGrid/>
        <w:spacing w:before="0" w:after="0" w:line="560" w:lineRule="exact"/>
        <w:ind w:firstLine="643" w:firstLineChars="200"/>
        <w:jc w:val="both"/>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坚持扩大内需战略。</w:t>
      </w:r>
      <w:r>
        <w:rPr>
          <w:rFonts w:ascii="Times New Roman" w:hAnsi="Times New Roman"/>
          <w:color w:val="000000"/>
          <w:sz w:val="32"/>
          <w:szCs w:val="32"/>
          <w:lang w:val="en-US" w:eastAsia="zh-CN"/>
        </w:rPr>
        <w:t>聚焦供需两端协同发力，突出消费扩容提质核心牵引作用。统筹商品消费与服务消费、传统消费与新型消费协同共进，兼顾连队发展、业态创新与流通体系建设，构建规模合理、结构优化、特色鲜明的消费增长新格局。</w:t>
      </w:r>
    </w:p>
    <w:p w14:paraId="25445114">
      <w:pPr>
        <w:pStyle w:val="24"/>
        <w:keepNext w:val="0"/>
        <w:keepLines w:val="0"/>
        <w:pageBreakBefore w:val="0"/>
        <w:widowControl w:val="0"/>
        <w:kinsoku/>
        <w:wordWrap/>
        <w:overflowPunct/>
        <w:topLinePunct w:val="0"/>
        <w:autoSpaceDE/>
        <w:autoSpaceDN/>
        <w:bidi w:val="0"/>
        <w:snapToGrid/>
        <w:spacing w:before="0" w:after="0" w:line="560" w:lineRule="exact"/>
        <w:ind w:firstLine="643" w:firstLineChars="200"/>
        <w:jc w:val="both"/>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坚持兵地融合发展。</w:t>
      </w:r>
      <w:r>
        <w:rPr>
          <w:rFonts w:ascii="Times New Roman" w:hAnsi="Times New Roman"/>
          <w:color w:val="000000"/>
          <w:sz w:val="32"/>
          <w:szCs w:val="32"/>
          <w:lang w:val="en-US" w:eastAsia="zh-CN"/>
        </w:rPr>
        <w:t>坚持系统观念和区域协调发展理念，持续深化兵地在</w:t>
      </w:r>
      <w:r>
        <w:rPr>
          <w:rFonts w:hint="eastAsia" w:ascii="Times New Roman" w:hAnsi="Times New Roman"/>
          <w:color w:val="000000"/>
          <w:sz w:val="32"/>
          <w:szCs w:val="32"/>
          <w:lang w:val="en-US" w:eastAsia="zh-CN"/>
        </w:rPr>
        <w:t>对外开放</w:t>
      </w:r>
      <w:r>
        <w:rPr>
          <w:rFonts w:ascii="Times New Roman" w:hAnsi="Times New Roman"/>
          <w:color w:val="000000"/>
          <w:sz w:val="32"/>
          <w:szCs w:val="32"/>
          <w:lang w:val="en-US" w:eastAsia="zh-CN"/>
        </w:rPr>
        <w:t>、商贸</w:t>
      </w:r>
      <w:r>
        <w:rPr>
          <w:rFonts w:hint="eastAsia" w:ascii="Times New Roman" w:hAnsi="Times New Roman"/>
          <w:color w:val="000000"/>
          <w:sz w:val="32"/>
          <w:szCs w:val="32"/>
          <w:lang w:val="en-US" w:eastAsia="zh-CN"/>
        </w:rPr>
        <w:t>流通</w:t>
      </w:r>
      <w:r>
        <w:rPr>
          <w:rFonts w:ascii="Times New Roman" w:hAnsi="Times New Roman"/>
          <w:color w:val="000000"/>
          <w:sz w:val="32"/>
          <w:szCs w:val="32"/>
          <w:lang w:val="en-US" w:eastAsia="zh-CN"/>
        </w:rPr>
        <w:t>、招商引资等领域协同联动，推动兵地融合发展走深走实、提质增效。</w:t>
      </w:r>
    </w:p>
    <w:p w14:paraId="187A1FE2">
      <w:pPr>
        <w:pStyle w:val="24"/>
        <w:keepNext w:val="0"/>
        <w:keepLines w:val="0"/>
        <w:pageBreakBefore w:val="0"/>
        <w:widowControl w:val="0"/>
        <w:kinsoku/>
        <w:wordWrap/>
        <w:overflowPunct/>
        <w:topLinePunct w:val="0"/>
        <w:autoSpaceDE/>
        <w:autoSpaceDN/>
        <w:bidi w:val="0"/>
        <w:snapToGrid/>
        <w:spacing w:before="0" w:after="0" w:line="560" w:lineRule="exact"/>
        <w:ind w:firstLine="643" w:firstLineChars="200"/>
        <w:jc w:val="both"/>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坚持</w:t>
      </w:r>
      <w:r>
        <w:rPr>
          <w:rFonts w:hint="eastAsia" w:ascii="Times New Roman" w:hAnsi="Times New Roman"/>
          <w:b/>
          <w:bCs/>
          <w:color w:val="000000"/>
          <w:sz w:val="32"/>
          <w:szCs w:val="32"/>
          <w:lang w:val="en-US" w:eastAsia="zh-CN"/>
        </w:rPr>
        <w:t>统筹发展和安全</w:t>
      </w:r>
      <w:r>
        <w:rPr>
          <w:rFonts w:ascii="Times New Roman" w:hAnsi="Times New Roman"/>
          <w:b/>
          <w:bCs/>
          <w:color w:val="000000"/>
          <w:sz w:val="32"/>
          <w:szCs w:val="32"/>
          <w:lang w:val="en-US" w:eastAsia="zh-CN"/>
        </w:rPr>
        <w:t>。</w:t>
      </w:r>
      <w:r>
        <w:rPr>
          <w:rFonts w:ascii="Times New Roman" w:hAnsi="Times New Roman"/>
          <w:color w:val="000000"/>
          <w:sz w:val="32"/>
          <w:szCs w:val="32"/>
          <w:lang w:val="en-US" w:eastAsia="zh-CN"/>
        </w:rPr>
        <w:t>统筹发展和安全两件大事，强化底线思维和风险意识，有效防范化解商务领域各类风险挑战，保障消费市场平稳运行，提升应对经贸摩擦的政策水平和应急处置能力，严格落实商务领域安全生产责任制。</w:t>
      </w:r>
    </w:p>
    <w:p w14:paraId="21C6EBAD">
      <w:pPr>
        <w:pStyle w:val="24"/>
        <w:keepNext w:val="0"/>
        <w:keepLines w:val="0"/>
        <w:pageBreakBefore w:val="0"/>
        <w:widowControl w:val="0"/>
        <w:kinsoku/>
        <w:wordWrap/>
        <w:overflowPunct/>
        <w:topLinePunct w:val="0"/>
        <w:autoSpaceDE/>
        <w:autoSpaceDN/>
        <w:bidi w:val="0"/>
        <w:snapToGrid/>
        <w:spacing w:before="0" w:after="0" w:line="560" w:lineRule="exact"/>
        <w:ind w:firstLine="643" w:firstLineChars="200"/>
        <w:jc w:val="both"/>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坚持创新驱动引领。</w:t>
      </w:r>
      <w:r>
        <w:rPr>
          <w:rFonts w:ascii="Times New Roman" w:hAnsi="Times New Roman"/>
          <w:color w:val="000000"/>
          <w:sz w:val="32"/>
          <w:szCs w:val="32"/>
          <w:lang w:val="en-US" w:eastAsia="zh-CN"/>
        </w:rPr>
        <w:t>以改革创新破解发展难题、激发内生动力，聚焦商贸流通、开放平台、业态模式、营商环境等重点领域创新突破，推动数字商务与实体经济深度融合，以理念创新、制度创新、实践创新赋能商务事业高质量发展。</w:t>
      </w:r>
    </w:p>
    <w:p w14:paraId="162052F6">
      <w:pPr>
        <w:pStyle w:val="7"/>
        <w:keepNext w:val="0"/>
        <w:keepLines w:val="0"/>
        <w:pageBreakBefore w:val="0"/>
        <w:widowControl w:val="0"/>
        <w:kinsoku/>
        <w:wordWrap/>
        <w:topLinePunct w:val="0"/>
        <w:autoSpaceDE/>
        <w:autoSpaceDN/>
        <w:bidi w:val="0"/>
        <w:snapToGrid/>
        <w:spacing w:line="520" w:lineRule="exact"/>
        <w:rPr>
          <w:lang w:val="en-US" w:eastAsia="zh-CN"/>
        </w:rPr>
      </w:pPr>
      <w:bookmarkStart w:id="29" w:name="_Toc10838"/>
      <w:r>
        <w:rPr>
          <w:lang w:val="en-US" w:eastAsia="zh-CN"/>
        </w:rPr>
        <w:t>第五节 发展目标</w:t>
      </w:r>
      <w:bookmarkEnd w:id="29"/>
    </w:p>
    <w:p w14:paraId="62453A2C">
      <w:pPr>
        <w:keepNext w:val="0"/>
        <w:keepLines w:val="0"/>
        <w:pageBreakBefore w:val="0"/>
        <w:widowControl w:val="0"/>
        <w:kinsoku/>
        <w:wordWrap/>
        <w:overflowPunct w:val="0"/>
        <w:topLinePunct w:val="0"/>
        <w:autoSpaceDE/>
        <w:autoSpaceDN/>
        <w:bidi w:val="0"/>
        <w:snapToGrid/>
        <w:spacing w:line="520" w:lineRule="exact"/>
        <w:ind w:firstLine="643"/>
        <w:rPr>
          <w:rFonts w:ascii="Times New Roman" w:hAnsi="Times New Roman" w:eastAsia="仿宋_GB2312"/>
          <w:b/>
          <w:bCs/>
          <w:color w:val="000000"/>
          <w:sz w:val="32"/>
          <w:szCs w:val="32"/>
          <w:lang w:val="en-US" w:eastAsia="zh-CN"/>
        </w:rPr>
      </w:pPr>
      <w:r>
        <w:rPr>
          <w:rFonts w:ascii="Times New Roman" w:hAnsi="Times New Roman" w:eastAsia="仿宋_GB2312"/>
          <w:b/>
          <w:bCs/>
          <w:color w:val="000000"/>
          <w:sz w:val="32"/>
          <w:szCs w:val="32"/>
          <w:lang w:val="en-US" w:eastAsia="zh-CN"/>
        </w:rPr>
        <w:t>在建设</w:t>
      </w:r>
      <w:r>
        <w:rPr>
          <w:rFonts w:ascii="Times New Roman" w:hAnsi="Times New Roman"/>
          <w:b/>
          <w:bCs/>
          <w:color w:val="000000"/>
          <w:sz w:val="32"/>
          <w:szCs w:val="32"/>
          <w:lang w:val="en-US" w:eastAsia="zh-CN"/>
        </w:rPr>
        <w:t>繁荣</w:t>
      </w:r>
      <w:r>
        <w:rPr>
          <w:rFonts w:ascii="Times New Roman" w:hAnsi="Times New Roman" w:eastAsia="仿宋_GB2312"/>
          <w:b/>
          <w:bCs/>
          <w:color w:val="000000"/>
          <w:sz w:val="32"/>
          <w:szCs w:val="32"/>
          <w:lang w:val="en-US" w:eastAsia="zh-CN"/>
        </w:rPr>
        <w:t>消费市场中展现新作为。</w:t>
      </w:r>
      <w:r>
        <w:rPr>
          <w:rFonts w:ascii="Times New Roman" w:hAnsi="Times New Roman" w:eastAsia="仿宋_GB2312"/>
          <w:b w:val="0"/>
          <w:bCs w:val="0"/>
          <w:color w:val="000000"/>
          <w:sz w:val="32"/>
          <w:szCs w:val="32"/>
          <w:lang w:val="en-US" w:eastAsia="zh-CN"/>
        </w:rPr>
        <w:t>到2030年底，社会消费品零售总额</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亿元以上，服务业增加值</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亿元以上，年均增速均保持在</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以上。培育</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家左右具有行业影响力的标志性电商企业，推动规上服务业及限上商贸流通企业总数突破</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家。加快健全商贸流通体系，持续完善流通网络，着力提升商贸流通现代化水平。</w:t>
      </w:r>
    </w:p>
    <w:p w14:paraId="10BE8FE5">
      <w:pPr>
        <w:keepNext w:val="0"/>
        <w:keepLines w:val="0"/>
        <w:pageBreakBefore w:val="0"/>
        <w:widowControl w:val="0"/>
        <w:kinsoku/>
        <w:wordWrap/>
        <w:overflowPunct w:val="0"/>
        <w:topLinePunct w:val="0"/>
        <w:autoSpaceDE/>
        <w:autoSpaceDN/>
        <w:bidi w:val="0"/>
        <w:snapToGrid/>
        <w:spacing w:line="520" w:lineRule="exact"/>
        <w:ind w:firstLine="643"/>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在推进高水平对外开放上实现新突破</w:t>
      </w:r>
      <w:r>
        <w:rPr>
          <w:rFonts w:ascii="Times New Roman" w:hAnsi="Times New Roman" w:eastAsia="仿宋_GB2312"/>
          <w:b w:val="0"/>
          <w:bCs w:val="0"/>
          <w:color w:val="000000"/>
          <w:sz w:val="32"/>
          <w:szCs w:val="32"/>
          <w:lang w:val="en-US" w:eastAsia="zh-CN"/>
        </w:rPr>
        <w:t>。到2030年</w:t>
      </w:r>
      <w:r>
        <w:rPr>
          <w:rFonts w:ascii="Times New Roman" w:hAnsi="Times New Roman"/>
          <w:b w:val="0"/>
          <w:bCs w:val="0"/>
          <w:color w:val="000000"/>
          <w:sz w:val="32"/>
          <w:szCs w:val="32"/>
          <w:lang w:val="en-US" w:eastAsia="zh-CN"/>
        </w:rPr>
        <w:t>底</w:t>
      </w:r>
      <w:r>
        <w:rPr>
          <w:rFonts w:ascii="Times New Roman" w:hAnsi="Times New Roman" w:eastAsia="仿宋_GB2312"/>
          <w:b w:val="0"/>
          <w:bCs w:val="0"/>
          <w:color w:val="000000"/>
          <w:sz w:val="32"/>
          <w:szCs w:val="32"/>
          <w:lang w:val="en-US" w:eastAsia="zh-CN"/>
        </w:rPr>
        <w:t>，外贸进出口总额突破</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亿元，年均增长</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以上，自产品出口</w:t>
      </w:r>
      <w:r>
        <w:rPr>
          <w:rFonts w:hint="eastAsia"/>
          <w:b w:val="0"/>
          <w:bCs w:val="0"/>
          <w:color w:val="000000"/>
          <w:sz w:val="32"/>
          <w:szCs w:val="32"/>
          <w:lang w:val="en-US" w:eastAsia="zh-CN"/>
        </w:rPr>
        <w:t>规模</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亿元</w:t>
      </w:r>
      <w:r>
        <w:rPr>
          <w:rFonts w:hint="eastAsia"/>
          <w:b w:val="0"/>
          <w:bCs w:val="0"/>
          <w:color w:val="000000"/>
          <w:sz w:val="32"/>
          <w:szCs w:val="32"/>
          <w:lang w:val="en-US" w:eastAsia="zh-CN"/>
        </w:rPr>
        <w:t>以上</w:t>
      </w:r>
      <w:r>
        <w:rPr>
          <w:rFonts w:ascii="Times New Roman" w:hAnsi="Times New Roman" w:eastAsia="仿宋_GB2312"/>
          <w:b w:val="0"/>
          <w:bCs w:val="0"/>
          <w:color w:val="000000"/>
          <w:sz w:val="32"/>
          <w:szCs w:val="32"/>
          <w:lang w:val="en-US" w:eastAsia="zh-CN"/>
        </w:rPr>
        <w:t>，对外贸易结构显著优化。</w:t>
      </w:r>
      <w:r>
        <w:rPr>
          <w:rFonts w:hint="eastAsia"/>
          <w:b w:val="0"/>
          <w:bCs w:val="0"/>
          <w:color w:val="000000"/>
          <w:sz w:val="32"/>
          <w:szCs w:val="32"/>
          <w:lang w:val="en-US" w:eastAsia="zh-CN"/>
        </w:rPr>
        <w:t>自</w:t>
      </w:r>
      <w:r>
        <w:rPr>
          <w:rFonts w:ascii="Times New Roman" w:hAnsi="Times New Roman"/>
          <w:b w:val="0"/>
          <w:bCs w:val="0"/>
          <w:color w:val="000000"/>
          <w:sz w:val="32"/>
          <w:szCs w:val="32"/>
          <w:lang w:val="en-US" w:eastAsia="zh-CN"/>
        </w:rPr>
        <w:t>贸区博州（五师）联动创新区标志性引领性重大项目落地见效，保税仓、铁路线等外贸设施</w:t>
      </w:r>
      <w:r>
        <w:rPr>
          <w:rFonts w:hint="eastAsia"/>
          <w:b w:val="0"/>
          <w:bCs w:val="0"/>
          <w:color w:val="000000"/>
          <w:sz w:val="32"/>
          <w:szCs w:val="32"/>
          <w:lang w:val="en-US" w:eastAsia="zh-CN"/>
        </w:rPr>
        <w:t>高质量</w:t>
      </w:r>
      <w:r>
        <w:rPr>
          <w:rFonts w:ascii="Times New Roman" w:hAnsi="Times New Roman"/>
          <w:b w:val="0"/>
          <w:bCs w:val="0"/>
          <w:color w:val="000000"/>
          <w:sz w:val="32"/>
          <w:szCs w:val="32"/>
          <w:lang w:val="en-US" w:eastAsia="zh-CN"/>
        </w:rPr>
        <w:t>运行</w:t>
      </w:r>
      <w:r>
        <w:rPr>
          <w:rFonts w:ascii="Times New Roman" w:hAnsi="Times New Roman" w:eastAsia="仿宋_GB2312"/>
          <w:b w:val="0"/>
          <w:bCs w:val="0"/>
          <w:color w:val="000000"/>
          <w:sz w:val="32"/>
          <w:szCs w:val="32"/>
          <w:lang w:val="en-US" w:eastAsia="zh-CN"/>
        </w:rPr>
        <w:t>，</w:t>
      </w:r>
      <w:r>
        <w:rPr>
          <w:rFonts w:hint="eastAsia"/>
          <w:b w:val="0"/>
          <w:bCs w:val="0"/>
          <w:color w:val="000000"/>
          <w:sz w:val="32"/>
          <w:szCs w:val="32"/>
          <w:lang w:val="en-US" w:eastAsia="zh-CN"/>
        </w:rPr>
        <w:t>边民互市</w:t>
      </w:r>
      <w:r>
        <w:rPr>
          <w:rFonts w:ascii="Times New Roman" w:hAnsi="Times New Roman" w:eastAsia="仿宋_GB2312"/>
          <w:b w:val="0"/>
          <w:bCs w:val="0"/>
          <w:color w:val="000000"/>
          <w:sz w:val="32"/>
          <w:szCs w:val="32"/>
          <w:lang w:val="en-US" w:eastAsia="zh-CN"/>
        </w:rPr>
        <w:t>、跨境电商、</w:t>
      </w:r>
      <w:r>
        <w:rPr>
          <w:rFonts w:ascii="Times New Roman" w:hAnsi="Times New Roman"/>
          <w:b w:val="0"/>
          <w:bCs w:val="0"/>
          <w:color w:val="000000"/>
          <w:sz w:val="32"/>
          <w:szCs w:val="32"/>
          <w:lang w:val="en-US" w:eastAsia="zh-CN"/>
        </w:rPr>
        <w:t>进料加工等产</w:t>
      </w:r>
      <w:r>
        <w:rPr>
          <w:rFonts w:ascii="Times New Roman" w:hAnsi="Times New Roman" w:eastAsia="仿宋_GB2312"/>
          <w:b w:val="0"/>
          <w:bCs w:val="0"/>
          <w:color w:val="000000"/>
          <w:sz w:val="32"/>
          <w:szCs w:val="32"/>
          <w:lang w:val="en-US" w:eastAsia="zh-CN"/>
        </w:rPr>
        <w:t>业提速发展，全面激发外向型经济活力。</w:t>
      </w:r>
    </w:p>
    <w:p w14:paraId="3065CD0E">
      <w:pPr>
        <w:keepNext w:val="0"/>
        <w:keepLines w:val="0"/>
        <w:pageBreakBefore w:val="0"/>
        <w:widowControl w:val="0"/>
        <w:kinsoku/>
        <w:wordWrap/>
        <w:overflowPunct w:val="0"/>
        <w:topLinePunct w:val="0"/>
        <w:autoSpaceDE/>
        <w:autoSpaceDN/>
        <w:bidi w:val="0"/>
        <w:snapToGrid/>
        <w:spacing w:line="520" w:lineRule="exact"/>
        <w:ind w:firstLine="643"/>
        <w:rPr>
          <w:rFonts w:ascii="Times New Roman" w:hAnsi="Times New Roman"/>
          <w:b/>
          <w:bCs/>
          <w:color w:val="000000"/>
          <w:sz w:val="32"/>
          <w:szCs w:val="32"/>
          <w:lang w:val="en-US" w:eastAsia="zh-CN"/>
        </w:rPr>
      </w:pPr>
      <w:r>
        <w:rPr>
          <w:rFonts w:ascii="Times New Roman" w:hAnsi="Times New Roman"/>
          <w:b/>
          <w:bCs/>
          <w:color w:val="000000"/>
          <w:sz w:val="32"/>
          <w:szCs w:val="32"/>
          <w:lang w:val="en-US" w:eastAsia="zh-CN"/>
        </w:rPr>
        <w:t>在助力产业体系建设上取得新成就</w:t>
      </w:r>
      <w:r>
        <w:rPr>
          <w:rFonts w:ascii="Times New Roman" w:hAnsi="Times New Roman" w:eastAsia="仿宋_GB2312"/>
          <w:b w:val="0"/>
          <w:bCs w:val="0"/>
          <w:color w:val="000000"/>
          <w:sz w:val="32"/>
          <w:szCs w:val="32"/>
          <w:lang w:val="en-US" w:eastAsia="zh-CN"/>
        </w:rPr>
        <w:t>。到2030年</w:t>
      </w:r>
      <w:r>
        <w:rPr>
          <w:rFonts w:ascii="Times New Roman" w:hAnsi="Times New Roman"/>
          <w:b w:val="0"/>
          <w:bCs w:val="0"/>
          <w:color w:val="000000"/>
          <w:sz w:val="32"/>
          <w:szCs w:val="32"/>
          <w:lang w:val="en-US" w:eastAsia="zh-CN"/>
        </w:rPr>
        <w:t>底，</w:t>
      </w:r>
      <w:r>
        <w:rPr>
          <w:rFonts w:ascii="Times New Roman" w:hAnsi="Times New Roman" w:eastAsia="仿宋_GB2312"/>
          <w:b w:val="0"/>
          <w:bCs w:val="0"/>
          <w:color w:val="000000"/>
          <w:sz w:val="32"/>
          <w:szCs w:val="32"/>
          <w:lang w:val="en-US" w:eastAsia="zh-CN"/>
        </w:rPr>
        <w:t>形成</w:t>
      </w:r>
      <w:r>
        <w:rPr>
          <w:rFonts w:hint="eastAsia"/>
          <w:b w:val="0"/>
          <w:bCs w:val="0"/>
          <w:color w:val="000000"/>
          <w:sz w:val="32"/>
          <w:szCs w:val="32"/>
          <w:lang w:val="en-US" w:eastAsia="zh-CN"/>
        </w:rPr>
        <w:t>招商引资</w:t>
      </w:r>
      <w:r>
        <w:rPr>
          <w:rFonts w:ascii="Times New Roman" w:hAnsi="Times New Roman" w:eastAsia="仿宋_GB2312"/>
          <w:b w:val="0"/>
          <w:bCs w:val="0"/>
          <w:color w:val="000000"/>
          <w:sz w:val="32"/>
          <w:szCs w:val="32"/>
          <w:lang w:val="en-US" w:eastAsia="zh-CN"/>
        </w:rPr>
        <w:t>实物量</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亿元</w:t>
      </w:r>
      <w:r>
        <w:rPr>
          <w:rFonts w:ascii="Times New Roman" w:hAnsi="Times New Roman"/>
          <w:b w:val="0"/>
          <w:bCs w:val="0"/>
          <w:color w:val="000000"/>
          <w:sz w:val="32"/>
          <w:szCs w:val="32"/>
          <w:lang w:val="en-US" w:eastAsia="zh-CN"/>
        </w:rPr>
        <w:t>以上</w:t>
      </w:r>
      <w:r>
        <w:rPr>
          <w:rFonts w:ascii="Times New Roman" w:hAnsi="Times New Roman" w:eastAsia="仿宋_GB2312"/>
          <w:b w:val="0"/>
          <w:bCs w:val="0"/>
          <w:color w:val="000000"/>
          <w:sz w:val="32"/>
          <w:szCs w:val="32"/>
          <w:lang w:val="en-US" w:eastAsia="zh-CN"/>
        </w:rPr>
        <w:t>，</w:t>
      </w:r>
      <w:r>
        <w:rPr>
          <w:rFonts w:ascii="Times New Roman" w:hAnsi="Times New Roman"/>
          <w:b w:val="0"/>
          <w:bCs w:val="0"/>
          <w:color w:val="000000"/>
          <w:sz w:val="32"/>
          <w:szCs w:val="32"/>
          <w:lang w:val="en-US" w:eastAsia="zh-CN"/>
        </w:rPr>
        <w:t>年均增长</w:t>
      </w:r>
      <w:r>
        <w:rPr>
          <w:rFonts w:hint="eastAsia"/>
          <w:i w:val="0"/>
          <w:iCs w:val="0"/>
          <w:color w:val="000000"/>
          <w:spacing w:val="0"/>
          <w:sz w:val="32"/>
          <w:szCs w:val="32"/>
          <w:shd w:val="clear" w:color="auto" w:fill="auto"/>
          <w:lang w:val="en-US" w:eastAsia="zh-CN"/>
        </w:rPr>
        <w:t>XX</w:t>
      </w:r>
      <w:r>
        <w:rPr>
          <w:rFonts w:hint="eastAsia"/>
          <w:b w:val="0"/>
          <w:bCs w:val="0"/>
          <w:color w:val="000000"/>
          <w:sz w:val="32"/>
          <w:szCs w:val="32"/>
          <w:lang w:val="en-US" w:eastAsia="zh-CN"/>
        </w:rPr>
        <w:t>以上</w:t>
      </w:r>
      <w:r>
        <w:rPr>
          <w:rFonts w:ascii="Times New Roman" w:hAnsi="Times New Roman" w:eastAsia="仿宋_GB2312"/>
          <w:b w:val="0"/>
          <w:bCs w:val="0"/>
          <w:color w:val="000000"/>
          <w:sz w:val="32"/>
          <w:szCs w:val="32"/>
          <w:lang w:val="en-US" w:eastAsia="zh-CN"/>
        </w:rPr>
        <w:t>，其中开发区</w:t>
      </w:r>
      <w:r>
        <w:rPr>
          <w:rFonts w:hint="eastAsia" w:ascii="Times New Roman" w:hAnsi="Times New Roman" w:eastAsia="仿宋_GB2312"/>
          <w:b w:val="0"/>
          <w:bCs w:val="0"/>
          <w:color w:val="000000"/>
          <w:sz w:val="32"/>
          <w:szCs w:val="32"/>
          <w:lang w:val="en-US" w:eastAsia="zh-CN"/>
        </w:rPr>
        <w:t>工业实物量</w:t>
      </w:r>
      <w:r>
        <w:rPr>
          <w:rFonts w:ascii="Times New Roman" w:hAnsi="Times New Roman" w:eastAsia="仿宋_GB2312"/>
          <w:b w:val="0"/>
          <w:bCs w:val="0"/>
          <w:color w:val="000000"/>
          <w:sz w:val="32"/>
          <w:szCs w:val="32"/>
          <w:lang w:val="en-US" w:eastAsia="zh-CN"/>
        </w:rPr>
        <w:t>占比</w:t>
      </w:r>
      <w:r>
        <w:rPr>
          <w:rFonts w:hint="eastAsia"/>
          <w:i w:val="0"/>
          <w:iCs w:val="0"/>
          <w:color w:val="000000"/>
          <w:spacing w:val="0"/>
          <w:sz w:val="32"/>
          <w:szCs w:val="32"/>
          <w:shd w:val="clear" w:color="auto" w:fill="auto"/>
          <w:lang w:val="en-US" w:eastAsia="zh-CN"/>
        </w:rPr>
        <w:t>XX</w:t>
      </w:r>
      <w:r>
        <w:rPr>
          <w:rFonts w:ascii="Times New Roman" w:hAnsi="Times New Roman" w:eastAsia="仿宋_GB2312"/>
          <w:b w:val="0"/>
          <w:bCs w:val="0"/>
          <w:color w:val="000000"/>
          <w:sz w:val="32"/>
          <w:szCs w:val="32"/>
          <w:lang w:val="en-US" w:eastAsia="zh-CN"/>
        </w:rPr>
        <w:t>以上，</w:t>
      </w:r>
      <w:r>
        <w:rPr>
          <w:rFonts w:ascii="Times New Roman" w:hAnsi="Times New Roman"/>
          <w:b w:val="0"/>
          <w:bCs w:val="0"/>
          <w:color w:val="000000"/>
          <w:sz w:val="32"/>
          <w:szCs w:val="32"/>
          <w:lang w:val="en-US" w:eastAsia="zh-CN"/>
        </w:rPr>
        <w:t>力争招引落地</w:t>
      </w:r>
      <w:r>
        <w:rPr>
          <w:rFonts w:hint="eastAsia"/>
          <w:i w:val="0"/>
          <w:iCs w:val="0"/>
          <w:color w:val="000000"/>
          <w:spacing w:val="0"/>
          <w:sz w:val="32"/>
          <w:szCs w:val="32"/>
          <w:shd w:val="clear" w:color="auto" w:fill="auto"/>
          <w:lang w:val="en-US" w:eastAsia="zh-CN"/>
        </w:rPr>
        <w:t>XX</w:t>
      </w:r>
      <w:r>
        <w:rPr>
          <w:rFonts w:ascii="Times New Roman" w:hAnsi="Times New Roman"/>
          <w:b w:val="0"/>
          <w:bCs w:val="0"/>
          <w:color w:val="000000"/>
          <w:sz w:val="32"/>
          <w:szCs w:val="32"/>
          <w:lang w:val="en-US" w:eastAsia="zh-CN"/>
        </w:rPr>
        <w:t>个</w:t>
      </w:r>
      <w:r>
        <w:rPr>
          <w:rFonts w:ascii="Times New Roman" w:hAnsi="Times New Roman" w:eastAsia="仿宋_GB2312"/>
          <w:b w:val="0"/>
          <w:bCs w:val="0"/>
          <w:color w:val="000000"/>
          <w:sz w:val="32"/>
          <w:szCs w:val="32"/>
          <w:lang w:val="en-US" w:eastAsia="zh-CN"/>
        </w:rPr>
        <w:t>以上</w:t>
      </w:r>
      <w:r>
        <w:rPr>
          <w:rFonts w:ascii="Times New Roman" w:hAnsi="Times New Roman"/>
          <w:b w:val="0"/>
          <w:bCs w:val="0"/>
          <w:color w:val="000000"/>
          <w:sz w:val="32"/>
          <w:szCs w:val="32"/>
          <w:lang w:val="en-US" w:eastAsia="zh-CN"/>
        </w:rPr>
        <w:t>重大招商引资项目</w:t>
      </w:r>
      <w:r>
        <w:rPr>
          <w:rFonts w:ascii="Times New Roman" w:hAnsi="Times New Roman" w:eastAsia="仿宋_GB2312"/>
          <w:b w:val="0"/>
          <w:bCs w:val="0"/>
          <w:color w:val="000000"/>
          <w:sz w:val="32"/>
          <w:szCs w:val="32"/>
          <w:lang w:val="en-US" w:eastAsia="zh-CN"/>
        </w:rPr>
        <w:t>。招商体系机制</w:t>
      </w:r>
      <w:r>
        <w:rPr>
          <w:rFonts w:ascii="Times New Roman" w:hAnsi="Times New Roman"/>
          <w:b w:val="0"/>
          <w:bCs w:val="0"/>
          <w:color w:val="000000"/>
          <w:sz w:val="32"/>
          <w:szCs w:val="32"/>
          <w:lang w:val="en-US" w:eastAsia="zh-CN"/>
        </w:rPr>
        <w:t>更加完善</w:t>
      </w:r>
      <w:r>
        <w:rPr>
          <w:rFonts w:ascii="Times New Roman" w:hAnsi="Times New Roman" w:eastAsia="仿宋_GB2312"/>
          <w:b w:val="0"/>
          <w:bCs w:val="0"/>
          <w:color w:val="000000"/>
          <w:sz w:val="32"/>
          <w:szCs w:val="32"/>
          <w:lang w:val="en-US" w:eastAsia="zh-CN"/>
        </w:rPr>
        <w:t>，产业链</w:t>
      </w:r>
      <w:r>
        <w:rPr>
          <w:rFonts w:ascii="Times New Roman" w:hAnsi="Times New Roman"/>
          <w:b w:val="0"/>
          <w:bCs w:val="0"/>
          <w:color w:val="000000"/>
          <w:sz w:val="32"/>
          <w:szCs w:val="32"/>
          <w:lang w:val="en-US" w:eastAsia="zh-CN"/>
        </w:rPr>
        <w:t>招商更加</w:t>
      </w:r>
      <w:r>
        <w:rPr>
          <w:rFonts w:ascii="Times New Roman" w:hAnsi="Times New Roman" w:eastAsia="仿宋_GB2312"/>
          <w:b w:val="0"/>
          <w:bCs w:val="0"/>
          <w:color w:val="000000"/>
          <w:sz w:val="32"/>
          <w:szCs w:val="32"/>
          <w:lang w:val="en-US" w:eastAsia="zh-CN"/>
        </w:rPr>
        <w:t>精准，</w:t>
      </w:r>
      <w:r>
        <w:rPr>
          <w:rFonts w:ascii="Times New Roman" w:hAnsi="Times New Roman"/>
          <w:b w:val="0"/>
          <w:bCs w:val="0"/>
          <w:color w:val="000000"/>
          <w:sz w:val="32"/>
          <w:szCs w:val="32"/>
          <w:lang w:val="en-US" w:eastAsia="zh-CN"/>
        </w:rPr>
        <w:t>招商</w:t>
      </w:r>
      <w:r>
        <w:rPr>
          <w:rFonts w:ascii="Times New Roman" w:hAnsi="Times New Roman" w:eastAsia="仿宋_GB2312"/>
          <w:b w:val="0"/>
          <w:bCs w:val="0"/>
          <w:color w:val="000000"/>
          <w:sz w:val="32"/>
          <w:szCs w:val="32"/>
          <w:lang w:val="en-US" w:eastAsia="zh-CN"/>
        </w:rPr>
        <w:t>质量显著提升。开发区综合实力</w:t>
      </w:r>
      <w:r>
        <w:rPr>
          <w:rFonts w:hint="eastAsia"/>
          <w:b w:val="0"/>
          <w:bCs w:val="0"/>
          <w:color w:val="000000"/>
          <w:sz w:val="32"/>
          <w:szCs w:val="32"/>
          <w:lang w:val="en-US" w:eastAsia="zh-CN"/>
        </w:rPr>
        <w:t>不断增强</w:t>
      </w:r>
      <w:r>
        <w:rPr>
          <w:rFonts w:ascii="Times New Roman" w:hAnsi="Times New Roman"/>
          <w:b w:val="0"/>
          <w:bCs w:val="0"/>
          <w:color w:val="000000"/>
          <w:sz w:val="32"/>
          <w:szCs w:val="32"/>
          <w:lang w:val="en-US" w:eastAsia="zh-CN"/>
        </w:rPr>
        <w:t>，初步形成</w:t>
      </w:r>
      <w:r>
        <w:rPr>
          <w:rFonts w:ascii="Times New Roman" w:hAnsi="Times New Roman" w:eastAsia="仿宋_GB2312"/>
          <w:b w:val="0"/>
          <w:bCs w:val="0"/>
          <w:color w:val="000000"/>
          <w:sz w:val="32"/>
          <w:szCs w:val="32"/>
          <w:lang w:val="en-US" w:eastAsia="zh-CN"/>
        </w:rPr>
        <w:t>特色优势产业链与重点产业集群，</w:t>
      </w:r>
      <w:r>
        <w:rPr>
          <w:rFonts w:ascii="Times New Roman" w:hAnsi="Times New Roman"/>
          <w:b w:val="0"/>
          <w:bCs w:val="0"/>
          <w:color w:val="000000"/>
          <w:sz w:val="32"/>
          <w:szCs w:val="32"/>
          <w:lang w:val="en-US" w:eastAsia="zh-CN"/>
        </w:rPr>
        <w:t>成为师市高质量发展的核心引擎和重要增长极。</w:t>
      </w:r>
    </w:p>
    <w:p w14:paraId="4BDA01B7">
      <w:pPr>
        <w:keepNext w:val="0"/>
        <w:keepLines w:val="0"/>
        <w:pageBreakBefore w:val="0"/>
        <w:widowControl w:val="0"/>
        <w:kinsoku/>
        <w:wordWrap/>
        <w:overflowPunct w:val="0"/>
        <w:topLinePunct w:val="0"/>
        <w:autoSpaceDE/>
        <w:autoSpaceDN/>
        <w:bidi w:val="0"/>
        <w:snapToGrid/>
        <w:spacing w:line="520" w:lineRule="exact"/>
        <w:ind w:left="0" w:leftChars="0" w:firstLine="0" w:firstLineChars="0"/>
        <w:jc w:val="center"/>
        <w:rPr>
          <w:rFonts w:hint="eastAsia" w:ascii="Times New Roman" w:hAnsi="Times New Roman" w:eastAsia="黑体"/>
          <w:color w:val="000000"/>
          <w:sz w:val="28"/>
          <w:szCs w:val="28"/>
          <w:lang w:eastAsia="zh-CN"/>
        </w:rPr>
      </w:pPr>
    </w:p>
    <w:p w14:paraId="45D1F704">
      <w:pPr>
        <w:pStyle w:val="6"/>
        <w:bidi w:val="0"/>
        <w:rPr>
          <w:rFonts w:ascii="Times New Roman" w:hAnsi="Times New Roman" w:eastAsia="黑体"/>
          <w:color w:val="000000"/>
          <w:sz w:val="32"/>
          <w:szCs w:val="40"/>
        </w:rPr>
      </w:pPr>
      <w:r>
        <w:rPr>
          <w:rFonts w:ascii="Times New Roman" w:hAnsi="Times New Roman" w:eastAsia="黑体"/>
          <w:color w:val="000000"/>
          <w:sz w:val="32"/>
          <w:szCs w:val="40"/>
        </w:rPr>
        <w:br w:type="page"/>
      </w:r>
      <w:bookmarkStart w:id="30" w:name="_Toc9541"/>
      <w:r>
        <w:t>第</w:t>
      </w:r>
      <w:r>
        <w:rPr>
          <w:lang w:eastAsia="zh-CN"/>
        </w:rPr>
        <w:t>二</w:t>
      </w:r>
      <w:r>
        <w:t>章 完善现代商业体系 促进内贸流通发展</w:t>
      </w:r>
      <w:bookmarkEnd w:id="30"/>
    </w:p>
    <w:p w14:paraId="4BB6FF78">
      <w:pPr>
        <w:pStyle w:val="7"/>
        <w:bidi w:val="0"/>
        <w:rPr>
          <w:lang w:val="en-US" w:eastAsia="zh-CN"/>
        </w:rPr>
      </w:pPr>
      <w:bookmarkStart w:id="31" w:name="_Toc22374"/>
      <w:r>
        <w:rPr>
          <w:lang w:val="en-US" w:eastAsia="zh-CN"/>
        </w:rPr>
        <w:t>第一节 推动消费扩容提质升级</w:t>
      </w:r>
      <w:bookmarkEnd w:id="31"/>
    </w:p>
    <w:p w14:paraId="4C8BACB1">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b/>
          <w:bCs/>
          <w:color w:val="000000"/>
          <w:sz w:val="32"/>
          <w:szCs w:val="40"/>
          <w:lang w:eastAsia="zh-CN"/>
        </w:rPr>
      </w:pPr>
      <w:r>
        <w:rPr>
          <w:rFonts w:ascii="Times New Roman" w:hAnsi="Times New Roman"/>
          <w:b/>
          <w:bCs/>
          <w:color w:val="000000"/>
          <w:sz w:val="32"/>
          <w:szCs w:val="40"/>
          <w:lang w:eastAsia="zh-CN"/>
        </w:rPr>
        <w:t>优化商品消费供给体系</w:t>
      </w:r>
      <w:r>
        <w:rPr>
          <w:rFonts w:ascii="Times New Roman" w:hAnsi="Times New Roman" w:eastAsia="仿宋_GB2312"/>
          <w:b/>
          <w:bCs/>
          <w:color w:val="000000"/>
          <w:sz w:val="32"/>
          <w:szCs w:val="40"/>
          <w:lang w:eastAsia="zh-CN"/>
        </w:rPr>
        <w:t>。</w:t>
      </w:r>
      <w:r>
        <w:rPr>
          <w:rFonts w:ascii="Times New Roman" w:hAnsi="Times New Roman"/>
          <w:b w:val="0"/>
          <w:bCs w:val="0"/>
          <w:color w:val="000000"/>
          <w:sz w:val="32"/>
          <w:szCs w:val="40"/>
          <w:lang w:eastAsia="zh-CN"/>
        </w:rPr>
        <w:t>聚焦汽车、成品油、家居、特色农产品等重点消费领域，构建多元支撑、层级合理、供需互促的商品消费新格局</w:t>
      </w:r>
      <w:r>
        <w:rPr>
          <w:rFonts w:ascii="Times New Roman" w:hAnsi="Times New Roman"/>
          <w:b w:val="0"/>
          <w:bCs w:val="0"/>
          <w:color w:val="000000"/>
          <w:sz w:val="32"/>
          <w:szCs w:val="40"/>
          <w:lang w:val="en-US" w:eastAsia="zh-CN"/>
        </w:rPr>
        <w:t>。</w:t>
      </w:r>
      <w:r>
        <w:rPr>
          <w:rFonts w:ascii="Times New Roman" w:hAnsi="Times New Roman"/>
          <w:b/>
          <w:bCs/>
          <w:color w:val="000000"/>
          <w:sz w:val="32"/>
          <w:szCs w:val="40"/>
          <w:lang w:eastAsia="zh-CN"/>
        </w:rPr>
        <w:t>夯实汽车消费基础，</w:t>
      </w:r>
      <w:r>
        <w:rPr>
          <w:rFonts w:ascii="Times New Roman" w:hAnsi="Times New Roman"/>
          <w:color w:val="000000"/>
          <w:sz w:val="32"/>
          <w:szCs w:val="40"/>
          <w:lang w:eastAsia="zh-CN"/>
        </w:rPr>
        <w:t>常态化举办汽车展销会，落实消费补贴及以旧换新政策，充分释放汽车领域消费潜力；加快沁疆源汽车综合产业园建设，集聚商用车品牌4S店，打造业态齐全、功能完备的汽车服务综合体。</w:t>
      </w:r>
      <w:r>
        <w:rPr>
          <w:rFonts w:ascii="Times New Roman" w:hAnsi="Times New Roman" w:eastAsia="仿宋_GB2312"/>
          <w:b/>
          <w:bCs/>
          <w:color w:val="000000"/>
          <w:sz w:val="32"/>
          <w:szCs w:val="40"/>
        </w:rPr>
        <w:t>优化成品油销售网络</w:t>
      </w:r>
      <w:r>
        <w:rPr>
          <w:rFonts w:ascii="Times New Roman" w:hAnsi="Times New Roman"/>
          <w:b/>
          <w:bCs/>
          <w:color w:val="000000"/>
          <w:sz w:val="32"/>
          <w:szCs w:val="40"/>
          <w:lang w:eastAsia="zh-CN"/>
        </w:rPr>
        <w:t>，</w:t>
      </w:r>
      <w:r>
        <w:rPr>
          <w:rFonts w:ascii="Times New Roman" w:hAnsi="Times New Roman" w:eastAsia="仿宋_GB2312"/>
          <w:color w:val="000000"/>
          <w:sz w:val="32"/>
          <w:szCs w:val="40"/>
        </w:rPr>
        <w:t>围绕G577、G219公路沿线</w:t>
      </w:r>
      <w:r>
        <w:rPr>
          <w:rFonts w:ascii="Times New Roman" w:hAnsi="Times New Roman" w:eastAsia="仿宋_GB2312"/>
          <w:color w:val="000000"/>
          <w:sz w:val="32"/>
          <w:szCs w:val="40"/>
          <w:lang w:eastAsia="zh-CN"/>
        </w:rPr>
        <w:t>及重点城区</w:t>
      </w:r>
      <w:r>
        <w:rPr>
          <w:rFonts w:ascii="Times New Roman" w:hAnsi="Times New Roman" w:eastAsia="仿宋_GB2312"/>
          <w:color w:val="000000"/>
          <w:sz w:val="32"/>
          <w:szCs w:val="40"/>
        </w:rPr>
        <w:t>，</w:t>
      </w:r>
      <w:r>
        <w:rPr>
          <w:rFonts w:ascii="Times New Roman" w:hAnsi="Times New Roman" w:eastAsia="仿宋_GB2312"/>
          <w:color w:val="000000"/>
          <w:sz w:val="32"/>
          <w:szCs w:val="40"/>
          <w:lang w:eastAsia="zh-CN"/>
        </w:rPr>
        <w:t>规划</w:t>
      </w:r>
      <w:r>
        <w:rPr>
          <w:rFonts w:ascii="Times New Roman" w:hAnsi="Times New Roman" w:eastAsia="仿宋_GB2312"/>
          <w:color w:val="000000"/>
          <w:sz w:val="32"/>
          <w:szCs w:val="40"/>
        </w:rPr>
        <w:t>布局双河</w:t>
      </w:r>
      <w:r>
        <w:rPr>
          <w:rFonts w:hint="eastAsia"/>
          <w:color w:val="000000"/>
          <w:sz w:val="32"/>
          <w:szCs w:val="40"/>
          <w:lang w:eastAsia="zh-CN"/>
        </w:rPr>
        <w:t>市</w:t>
      </w:r>
      <w:r>
        <w:rPr>
          <w:rFonts w:ascii="Times New Roman" w:hAnsi="Times New Roman" w:eastAsia="仿宋_GB2312"/>
          <w:color w:val="000000"/>
          <w:sz w:val="32"/>
          <w:szCs w:val="40"/>
        </w:rPr>
        <w:t>、81团、84团等加油站项目</w:t>
      </w:r>
      <w:r>
        <w:rPr>
          <w:rFonts w:ascii="Times New Roman" w:hAnsi="Times New Roman"/>
          <w:color w:val="000000"/>
          <w:sz w:val="32"/>
          <w:szCs w:val="40"/>
          <w:lang w:eastAsia="zh-CN"/>
        </w:rPr>
        <w:t>，构建布局均衡、便捷高效的成品油零售体系</w:t>
      </w:r>
      <w:r>
        <w:rPr>
          <w:rFonts w:ascii="Times New Roman" w:hAnsi="Times New Roman" w:eastAsia="仿宋_GB2312"/>
          <w:color w:val="000000"/>
          <w:sz w:val="32"/>
          <w:szCs w:val="40"/>
        </w:rPr>
        <w:t>。</w:t>
      </w:r>
      <w:r>
        <w:rPr>
          <w:rFonts w:ascii="Times New Roman" w:hAnsi="Times New Roman" w:eastAsia="仿宋_GB2312"/>
          <w:b/>
          <w:bCs/>
          <w:color w:val="000000"/>
          <w:sz w:val="32"/>
          <w:szCs w:val="40"/>
          <w:lang w:eastAsia="zh-CN"/>
        </w:rPr>
        <w:t>促进家居联动消费升级</w:t>
      </w:r>
      <w:r>
        <w:rPr>
          <w:rFonts w:ascii="Times New Roman" w:hAnsi="Times New Roman"/>
          <w:b/>
          <w:bCs/>
          <w:color w:val="000000"/>
          <w:sz w:val="32"/>
          <w:szCs w:val="40"/>
          <w:lang w:eastAsia="zh-CN"/>
        </w:rPr>
        <w:t>，</w:t>
      </w:r>
      <w:r>
        <w:rPr>
          <w:rFonts w:ascii="Times New Roman" w:hAnsi="Times New Roman" w:eastAsia="仿宋_GB2312"/>
          <w:color w:val="000000"/>
          <w:sz w:val="32"/>
          <w:szCs w:val="40"/>
          <w:lang w:eastAsia="zh-CN"/>
        </w:rPr>
        <w:t>会同住建部门举办房交会，引导家居、家电等商品消费提档升级，推动</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lang w:eastAsia="zh-CN"/>
        </w:rPr>
        <w:t>家居一体化</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lang w:eastAsia="zh-CN"/>
        </w:rPr>
        <w:t>融合赋能，不断拓展家居联动消费增长空间。</w:t>
      </w:r>
      <w:r>
        <w:rPr>
          <w:rFonts w:ascii="Times New Roman" w:hAnsi="Times New Roman" w:eastAsia="仿宋_GB2312"/>
          <w:b/>
          <w:bCs/>
          <w:color w:val="000000"/>
          <w:sz w:val="32"/>
          <w:szCs w:val="40"/>
        </w:rPr>
        <w:t>拓展特色品牌消费渠道。</w:t>
      </w:r>
      <w:r>
        <w:rPr>
          <w:rFonts w:ascii="Times New Roman" w:hAnsi="Times New Roman" w:eastAsia="仿宋_GB2312"/>
          <w:color w:val="000000"/>
          <w:sz w:val="32"/>
          <w:szCs w:val="40"/>
        </w:rPr>
        <w:t>依托</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lang w:eastAsia="zh-CN"/>
        </w:rPr>
        <w:t>灵峪</w:t>
      </w:r>
      <w:r>
        <w:rPr>
          <w:rFonts w:ascii="Times New Roman" w:hAnsi="Times New Roman" w:eastAsia="仿宋_GB2312"/>
          <w:color w:val="000000"/>
          <w:sz w:val="32"/>
          <w:szCs w:val="40"/>
        </w:rPr>
        <w:t>双河</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品牌，组织企业参加国内外重点展会，</w:t>
      </w:r>
      <w:r>
        <w:rPr>
          <w:rFonts w:ascii="Times New Roman" w:hAnsi="Times New Roman" w:eastAsia="仿宋_GB2312"/>
          <w:color w:val="000000"/>
          <w:spacing w:val="-6"/>
          <w:sz w:val="32"/>
          <w:szCs w:val="40"/>
        </w:rPr>
        <w:t>持续提升品牌影响力</w:t>
      </w:r>
      <w:r>
        <w:rPr>
          <w:rFonts w:ascii="Times New Roman" w:hAnsi="Times New Roman"/>
          <w:color w:val="000000"/>
          <w:spacing w:val="-6"/>
          <w:sz w:val="32"/>
          <w:szCs w:val="40"/>
          <w:lang w:eastAsia="zh-CN"/>
        </w:rPr>
        <w:t>；</w:t>
      </w:r>
      <w:r>
        <w:rPr>
          <w:rFonts w:ascii="Times New Roman" w:hAnsi="Times New Roman" w:eastAsia="仿宋_GB2312"/>
          <w:color w:val="000000"/>
          <w:sz w:val="32"/>
          <w:szCs w:val="40"/>
        </w:rPr>
        <w:t>在景区、商超、酒店设立</w:t>
      </w:r>
      <w:r>
        <w:rPr>
          <w:rFonts w:ascii="Times New Roman" w:hAnsi="Times New Roman"/>
          <w:color w:val="000000"/>
          <w:sz w:val="32"/>
          <w:szCs w:val="40"/>
          <w:lang w:eastAsia="zh-CN"/>
        </w:rPr>
        <w:t>师市名优</w:t>
      </w:r>
      <w:r>
        <w:rPr>
          <w:rFonts w:ascii="Times New Roman" w:hAnsi="Times New Roman" w:eastAsia="仿宋_GB2312"/>
          <w:color w:val="000000"/>
          <w:sz w:val="32"/>
          <w:szCs w:val="40"/>
        </w:rPr>
        <w:t>特产</w:t>
      </w:r>
      <w:r>
        <w:rPr>
          <w:rFonts w:ascii="Times New Roman" w:hAnsi="Times New Roman"/>
          <w:color w:val="000000"/>
          <w:sz w:val="32"/>
          <w:szCs w:val="40"/>
          <w:lang w:eastAsia="zh-CN"/>
        </w:rPr>
        <w:t>品</w:t>
      </w:r>
      <w:r>
        <w:rPr>
          <w:rFonts w:ascii="Times New Roman" w:hAnsi="Times New Roman" w:eastAsia="仿宋_GB2312"/>
          <w:color w:val="000000"/>
          <w:sz w:val="32"/>
          <w:szCs w:val="40"/>
        </w:rPr>
        <w:t>专柜，推动大型商超定向采购特色农产</w:t>
      </w:r>
      <w:r>
        <w:rPr>
          <w:rFonts w:ascii="Times New Roman" w:hAnsi="Times New Roman" w:eastAsia="仿宋_GB2312"/>
          <w:color w:val="000000"/>
          <w:spacing w:val="-6"/>
          <w:sz w:val="32"/>
          <w:szCs w:val="40"/>
        </w:rPr>
        <w:t>品，建立稳定</w:t>
      </w:r>
      <w:r>
        <w:rPr>
          <w:rFonts w:hint="eastAsia"/>
          <w:color w:val="000000"/>
          <w:spacing w:val="-6"/>
          <w:sz w:val="32"/>
          <w:szCs w:val="40"/>
          <w:lang w:eastAsia="zh-CN"/>
        </w:rPr>
        <w:t>供应</w:t>
      </w:r>
      <w:r>
        <w:rPr>
          <w:rFonts w:ascii="Times New Roman" w:hAnsi="Times New Roman" w:eastAsia="仿宋_GB2312"/>
          <w:color w:val="000000"/>
          <w:spacing w:val="-6"/>
          <w:sz w:val="32"/>
          <w:szCs w:val="40"/>
        </w:rPr>
        <w:t>渠道。</w:t>
      </w:r>
    </w:p>
    <w:p w14:paraId="43ED1603">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仿宋_GB2312"/>
          <w:b/>
          <w:bCs/>
          <w:color w:val="000000"/>
          <w:sz w:val="32"/>
          <w:szCs w:val="40"/>
          <w:lang w:val="en-US" w:eastAsia="zh-CN"/>
        </w:rPr>
      </w:pPr>
      <w:r>
        <w:rPr>
          <w:rFonts w:ascii="Times New Roman" w:hAnsi="Times New Roman" w:eastAsia="仿宋_GB2312"/>
          <w:b/>
          <w:bCs/>
          <w:color w:val="000000"/>
          <w:sz w:val="32"/>
          <w:szCs w:val="40"/>
          <w:lang w:val="en-US" w:eastAsia="zh-CN"/>
        </w:rPr>
        <w:t>挖掘服务消费增长潜力。</w:t>
      </w:r>
      <w:r>
        <w:rPr>
          <w:rFonts w:ascii="Times New Roman" w:hAnsi="Times New Roman" w:eastAsia="仿宋_GB2312"/>
          <w:color w:val="000000"/>
          <w:sz w:val="32"/>
          <w:szCs w:val="40"/>
          <w:lang w:val="en-US" w:eastAsia="zh-CN"/>
        </w:rPr>
        <w:t>聚焦餐饮、住宿、康养等重点领域，构建业态丰富、特色鲜明、体验升级的服务消费新体系。</w:t>
      </w:r>
      <w:r>
        <w:rPr>
          <w:rFonts w:ascii="Times New Roman" w:hAnsi="Times New Roman" w:eastAsia="仿宋_GB2312"/>
          <w:b/>
          <w:bCs/>
          <w:color w:val="000000"/>
          <w:sz w:val="32"/>
          <w:szCs w:val="40"/>
          <w:lang w:val="en-US" w:eastAsia="zh-CN"/>
        </w:rPr>
        <w:t>做活餐饮消费市场，</w:t>
      </w:r>
      <w:r>
        <w:rPr>
          <w:rFonts w:ascii="Times New Roman" w:hAnsi="Times New Roman" w:eastAsia="仿宋_GB2312"/>
          <w:color w:val="000000"/>
          <w:sz w:val="32"/>
          <w:szCs w:val="40"/>
          <w:lang w:val="en-US" w:eastAsia="zh-CN"/>
        </w:rPr>
        <w:t>举办</w:t>
      </w:r>
      <w:r>
        <w:rPr>
          <w:rFonts w:hint="eastAsia" w:ascii="Times New Roman" w:hAnsi="Times New Roman"/>
          <w:color w:val="000000"/>
          <w:sz w:val="32"/>
          <w:szCs w:val="40"/>
          <w:lang w:val="en-US" w:eastAsia="zh-CN"/>
        </w:rPr>
        <w:t>“</w:t>
      </w:r>
      <w:r>
        <w:rPr>
          <w:rFonts w:ascii="Times New Roman" w:hAnsi="Times New Roman"/>
          <w:color w:val="000000"/>
          <w:sz w:val="32"/>
          <w:szCs w:val="40"/>
          <w:lang w:val="en-US" w:eastAsia="zh-CN"/>
        </w:rPr>
        <w:t>舌味双河</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美食大赛</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等主题活动，</w:t>
      </w:r>
      <w:r>
        <w:rPr>
          <w:rFonts w:ascii="Times New Roman" w:hAnsi="Times New Roman"/>
          <w:color w:val="000000"/>
          <w:sz w:val="32"/>
          <w:szCs w:val="40"/>
          <w:lang w:val="en-US" w:eastAsia="zh-CN"/>
        </w:rPr>
        <w:t>提升特色美食吸引力与辨识度。依托餐饮协会，引导企业精准定位、错位发展，形成</w:t>
      </w:r>
      <w:r>
        <w:rPr>
          <w:rFonts w:hint="eastAsia" w:ascii="Times New Roman" w:hAnsi="Times New Roman"/>
          <w:color w:val="000000"/>
          <w:sz w:val="32"/>
          <w:szCs w:val="40"/>
          <w:lang w:val="en-US" w:eastAsia="zh-CN"/>
        </w:rPr>
        <w:t>“</w:t>
      </w:r>
      <w:r>
        <w:rPr>
          <w:rFonts w:ascii="Times New Roman" w:hAnsi="Times New Roman"/>
          <w:color w:val="000000"/>
          <w:sz w:val="32"/>
          <w:szCs w:val="40"/>
          <w:lang w:val="en-US" w:eastAsia="zh-CN"/>
        </w:rPr>
        <w:t>名店引领、特色互补</w:t>
      </w:r>
      <w:r>
        <w:rPr>
          <w:rFonts w:hint="eastAsia" w:ascii="Times New Roman" w:hAnsi="Times New Roman"/>
          <w:color w:val="000000"/>
          <w:sz w:val="32"/>
          <w:szCs w:val="40"/>
          <w:lang w:val="en-US" w:eastAsia="zh-CN"/>
        </w:rPr>
        <w:t>”</w:t>
      </w:r>
      <w:r>
        <w:rPr>
          <w:rFonts w:ascii="Times New Roman" w:hAnsi="Times New Roman"/>
          <w:color w:val="000000"/>
          <w:sz w:val="32"/>
          <w:szCs w:val="40"/>
          <w:lang w:val="en-US" w:eastAsia="zh-CN"/>
        </w:rPr>
        <w:t>的餐饮发展新格局。</w:t>
      </w:r>
      <w:r>
        <w:rPr>
          <w:rFonts w:ascii="Times New Roman" w:hAnsi="Times New Roman" w:eastAsia="仿宋_GB2312"/>
          <w:b/>
          <w:bCs/>
          <w:color w:val="000000"/>
          <w:sz w:val="32"/>
          <w:szCs w:val="40"/>
          <w:lang w:val="en-US" w:eastAsia="zh-CN"/>
        </w:rPr>
        <w:t>做优住宿接待体系，</w:t>
      </w:r>
      <w:r>
        <w:rPr>
          <w:rFonts w:ascii="Times New Roman" w:hAnsi="Times New Roman" w:eastAsia="仿宋_GB2312"/>
          <w:color w:val="000000"/>
          <w:sz w:val="32"/>
          <w:szCs w:val="40"/>
          <w:lang w:val="en-US" w:eastAsia="zh-CN"/>
        </w:rPr>
        <w:t>加快</w:t>
      </w:r>
      <w:r>
        <w:rPr>
          <w:rFonts w:ascii="Times New Roman" w:hAnsi="Times New Roman"/>
          <w:color w:val="000000"/>
          <w:sz w:val="32"/>
          <w:szCs w:val="40"/>
          <w:lang w:val="en-US" w:eastAsia="zh-CN"/>
        </w:rPr>
        <w:t>万达</w:t>
      </w:r>
      <w:r>
        <w:rPr>
          <w:rFonts w:ascii="Times New Roman" w:hAnsi="Times New Roman" w:eastAsia="仿宋_GB2312"/>
          <w:color w:val="000000"/>
          <w:sz w:val="32"/>
          <w:szCs w:val="40"/>
          <w:lang w:val="en-US" w:eastAsia="zh-CN"/>
        </w:rPr>
        <w:t>、维也纳等中高端连锁酒店建设，推动住宿业向品牌化、高端化发展；鼓励</w:t>
      </w:r>
      <w:r>
        <w:rPr>
          <w:rFonts w:ascii="Times New Roman" w:hAnsi="Times New Roman"/>
          <w:color w:val="000000"/>
          <w:sz w:val="32"/>
          <w:szCs w:val="40"/>
          <w:lang w:val="en-US" w:eastAsia="zh-CN"/>
        </w:rPr>
        <w:t>84团、88团、91团等团场</w:t>
      </w:r>
      <w:r>
        <w:rPr>
          <w:rFonts w:ascii="Times New Roman" w:hAnsi="Times New Roman" w:eastAsia="仿宋_GB2312"/>
          <w:color w:val="000000"/>
          <w:sz w:val="32"/>
          <w:szCs w:val="40"/>
          <w:lang w:val="en-US" w:eastAsia="zh-CN"/>
        </w:rPr>
        <w:t>发展特色民宿，形成</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高端酒店+特色民宿</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的多元接待体系，满足不同层次消费需求。</w:t>
      </w:r>
      <w:r>
        <w:rPr>
          <w:rFonts w:ascii="Times New Roman" w:hAnsi="Times New Roman" w:eastAsia="仿宋_GB2312"/>
          <w:b/>
          <w:bCs/>
          <w:color w:val="000000"/>
          <w:sz w:val="32"/>
          <w:szCs w:val="40"/>
          <w:lang w:val="en-US" w:eastAsia="zh-CN"/>
        </w:rPr>
        <w:t>做大</w:t>
      </w:r>
      <w:r>
        <w:rPr>
          <w:rFonts w:ascii="Times New Roman" w:hAnsi="Times New Roman"/>
          <w:b/>
          <w:bCs/>
          <w:color w:val="000000"/>
          <w:sz w:val="32"/>
          <w:szCs w:val="40"/>
          <w:lang w:val="en-US" w:eastAsia="zh-CN"/>
        </w:rPr>
        <w:t>古道</w:t>
      </w:r>
      <w:r>
        <w:rPr>
          <w:rFonts w:ascii="Times New Roman" w:hAnsi="Times New Roman" w:eastAsia="仿宋_GB2312"/>
          <w:b/>
          <w:bCs/>
          <w:color w:val="000000"/>
          <w:sz w:val="32"/>
          <w:szCs w:val="40"/>
          <w:lang w:val="en-US" w:eastAsia="zh-CN"/>
        </w:rPr>
        <w:t>温泉IP，</w:t>
      </w:r>
      <w:r>
        <w:rPr>
          <w:rFonts w:ascii="Times New Roman" w:hAnsi="Times New Roman" w:eastAsia="仿宋_GB2312"/>
          <w:color w:val="000000"/>
          <w:sz w:val="32"/>
          <w:szCs w:val="40"/>
          <w:lang w:val="en-US" w:eastAsia="zh-CN"/>
        </w:rPr>
        <w:t>依托地热资源，以古道温泉康养中心为核心，培育中医理疗、度假康养、休闲娱乐等业态，丰富</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赏热带风光、沐古道温泉、享中医康养、品双河美食</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内涵，将</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兵团第一口地热井</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品牌转化为持续的消费热度。</w:t>
      </w:r>
    </w:p>
    <w:p w14:paraId="524E2BD6">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eastAsia="仿宋_GB2312"/>
          <w:b/>
          <w:bCs/>
          <w:color w:val="000000"/>
          <w:sz w:val="32"/>
          <w:szCs w:val="40"/>
          <w:lang w:eastAsia="zh-CN"/>
        </w:rPr>
      </w:pPr>
      <w:r>
        <w:rPr>
          <w:rFonts w:ascii="Times New Roman" w:hAnsi="Times New Roman" w:eastAsia="仿宋_GB2312"/>
          <w:b/>
          <w:bCs/>
          <w:color w:val="000000"/>
          <w:sz w:val="32"/>
          <w:szCs w:val="40"/>
          <w:lang w:eastAsia="zh-CN"/>
        </w:rPr>
        <w:t>创新多元化消费场景。</w:t>
      </w:r>
      <w:r>
        <w:rPr>
          <w:rFonts w:ascii="Times New Roman" w:hAnsi="Times New Roman"/>
          <w:b w:val="0"/>
          <w:bCs w:val="0"/>
          <w:color w:val="000000"/>
          <w:sz w:val="32"/>
          <w:szCs w:val="40"/>
          <w:lang w:eastAsia="zh-CN"/>
        </w:rPr>
        <w:t>围绕节庆赛事经济、夜间经济、首店经济、校园经济等重点方向，持续打造场景丰富、热度持续的消费新空间。</w:t>
      </w:r>
      <w:r>
        <w:rPr>
          <w:rFonts w:ascii="Times New Roman" w:hAnsi="Times New Roman" w:eastAsia="仿宋_GB2312"/>
          <w:b/>
          <w:bCs/>
          <w:color w:val="000000"/>
          <w:sz w:val="32"/>
          <w:szCs w:val="40"/>
          <w:lang w:val="en-US" w:eastAsia="zh-CN"/>
        </w:rPr>
        <w:t>繁荣节庆赛事经济，</w:t>
      </w:r>
      <w:r>
        <w:rPr>
          <w:rFonts w:ascii="Times New Roman" w:hAnsi="Times New Roman" w:eastAsia="仿宋_GB2312"/>
          <w:color w:val="000000"/>
          <w:sz w:val="32"/>
          <w:szCs w:val="40"/>
          <w:lang w:val="en-US" w:eastAsia="zh-CN"/>
        </w:rPr>
        <w:t>聚焦春节、中秋等重要消费节点，持续</w:t>
      </w:r>
      <w:r>
        <w:rPr>
          <w:rFonts w:ascii="Times New Roman" w:hAnsi="Times New Roman"/>
          <w:color w:val="000000"/>
          <w:sz w:val="32"/>
          <w:szCs w:val="40"/>
          <w:lang w:val="en-US" w:eastAsia="zh-CN"/>
        </w:rPr>
        <w:t>举办</w:t>
      </w:r>
      <w:r>
        <w:rPr>
          <w:rFonts w:ascii="Times New Roman" w:hAnsi="Times New Roman" w:eastAsia="仿宋_GB2312"/>
          <w:color w:val="000000"/>
          <w:sz w:val="32"/>
          <w:szCs w:val="40"/>
          <w:lang w:val="en-US" w:eastAsia="zh-CN"/>
        </w:rPr>
        <w:t>新春年货节和</w:t>
      </w:r>
      <w:r>
        <w:rPr>
          <w:rFonts w:ascii="Times New Roman" w:hAnsi="Times New Roman"/>
          <w:color w:val="000000"/>
          <w:sz w:val="32"/>
          <w:szCs w:val="40"/>
          <w:lang w:val="en-US" w:eastAsia="zh-CN"/>
        </w:rPr>
        <w:t>系列</w:t>
      </w:r>
      <w:r>
        <w:rPr>
          <w:rFonts w:ascii="Times New Roman" w:hAnsi="Times New Roman" w:eastAsia="仿宋_GB2312"/>
          <w:color w:val="000000"/>
          <w:sz w:val="32"/>
          <w:szCs w:val="40"/>
          <w:lang w:val="en-US" w:eastAsia="zh-CN"/>
        </w:rPr>
        <w:t>促消费活动，</w:t>
      </w:r>
      <w:r>
        <w:rPr>
          <w:rFonts w:ascii="Times New Roman" w:hAnsi="Times New Roman"/>
          <w:color w:val="000000"/>
          <w:sz w:val="32"/>
          <w:szCs w:val="40"/>
          <w:lang w:val="en-US" w:eastAsia="zh-CN"/>
        </w:rPr>
        <w:t>依托</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5·19</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旅游节、汽车拉力赛等特色节庆赛事活动，打造沉浸式、互动式消费新场景，将节庆流量转化为消费增量，以赛引流、以节促消。</w:t>
      </w:r>
      <w:r>
        <w:rPr>
          <w:rFonts w:hint="eastAsia"/>
          <w:b/>
          <w:bCs/>
          <w:color w:val="000000"/>
          <w:sz w:val="32"/>
          <w:szCs w:val="40"/>
          <w:lang w:val="en-US" w:eastAsia="zh-CN"/>
        </w:rPr>
        <w:t>丰富</w:t>
      </w:r>
      <w:r>
        <w:rPr>
          <w:rFonts w:ascii="Times New Roman" w:hAnsi="Times New Roman" w:eastAsia="仿宋_GB2312"/>
          <w:b/>
          <w:bCs/>
          <w:color w:val="000000"/>
          <w:sz w:val="32"/>
          <w:szCs w:val="40"/>
          <w:lang w:val="en-US" w:eastAsia="zh-CN"/>
        </w:rPr>
        <w:t>夜间经济，</w:t>
      </w:r>
      <w:r>
        <w:rPr>
          <w:rFonts w:ascii="Times New Roman" w:hAnsi="Times New Roman" w:eastAsia="仿宋_GB2312"/>
          <w:color w:val="000000"/>
          <w:sz w:val="32"/>
          <w:szCs w:val="40"/>
          <w:lang w:val="en-US" w:eastAsia="zh-CN"/>
        </w:rPr>
        <w:t>依托双河国际智慧城、壹号商业街等载体，丰富夜市餐饮、文创市集等夜间经济业态，提升城市烟火气，打造</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夜游双河</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消费新场景，点亮城市夜生活。</w:t>
      </w:r>
      <w:r>
        <w:rPr>
          <w:rFonts w:ascii="Times New Roman" w:hAnsi="Times New Roman" w:eastAsia="仿宋_GB2312"/>
          <w:b/>
          <w:bCs/>
          <w:color w:val="000000"/>
          <w:sz w:val="32"/>
          <w:szCs w:val="40"/>
        </w:rPr>
        <w:t>培育首店经济</w:t>
      </w:r>
      <w:r>
        <w:rPr>
          <w:rFonts w:ascii="Times New Roman" w:hAnsi="Times New Roman" w:eastAsia="仿宋_GB2312"/>
          <w:b/>
          <w:bCs/>
          <w:color w:val="000000"/>
          <w:sz w:val="32"/>
          <w:szCs w:val="40"/>
          <w:lang w:eastAsia="zh-CN"/>
        </w:rPr>
        <w:t>，</w:t>
      </w:r>
      <w:r>
        <w:rPr>
          <w:rFonts w:ascii="Times New Roman" w:hAnsi="Times New Roman" w:eastAsia="仿宋_GB2312"/>
          <w:color w:val="000000"/>
          <w:sz w:val="32"/>
          <w:szCs w:val="40"/>
          <w:lang w:eastAsia="zh-CN"/>
        </w:rPr>
        <w:t>积极引进知名品牌和优质企业设立区域性首店、旗舰店、体验店，构建业态丰富、品质高端、辐射力强的城市消费集聚区。</w:t>
      </w:r>
      <w:r>
        <w:rPr>
          <w:rFonts w:ascii="Times New Roman" w:hAnsi="Times New Roman" w:eastAsia="仿宋_GB2312"/>
          <w:b/>
          <w:bCs/>
          <w:color w:val="000000"/>
          <w:sz w:val="32"/>
          <w:szCs w:val="40"/>
          <w:lang w:eastAsia="zh-CN"/>
        </w:rPr>
        <w:t>激发校园经济，</w:t>
      </w:r>
      <w:r>
        <w:rPr>
          <w:rFonts w:ascii="Times New Roman" w:hAnsi="Times New Roman" w:eastAsia="仿宋_GB2312"/>
          <w:color w:val="000000"/>
          <w:sz w:val="32"/>
          <w:szCs w:val="40"/>
          <w:lang w:eastAsia="zh-CN"/>
        </w:rPr>
        <w:t>以双河职院大学城</w:t>
      </w:r>
      <w:r>
        <w:rPr>
          <w:rFonts w:hint="eastAsia"/>
          <w:color w:val="000000"/>
          <w:sz w:val="32"/>
          <w:szCs w:val="40"/>
          <w:u w:val="none"/>
          <w:lang w:eastAsia="zh-CN"/>
        </w:rPr>
        <w:t>项目</w:t>
      </w:r>
      <w:r>
        <w:rPr>
          <w:rFonts w:ascii="Times New Roman" w:hAnsi="Times New Roman" w:eastAsia="仿宋_GB2312"/>
          <w:color w:val="000000"/>
          <w:sz w:val="32"/>
          <w:szCs w:val="40"/>
          <w:lang w:eastAsia="zh-CN"/>
        </w:rPr>
        <w:t>建设为抓手，系统完善周边商业服务配套，科学布局餐饮、零售、文体、生活服务等多元业态，形成兼具活力与便利性的特色消费圈。</w:t>
      </w:r>
    </w:p>
    <w:p w14:paraId="144E9D18">
      <w:pPr>
        <w:keepNext w:val="0"/>
        <w:keepLines w:val="0"/>
        <w:pageBreakBefore w:val="0"/>
        <w:widowControl w:val="0"/>
        <w:kinsoku/>
        <w:wordWrap/>
        <w:overflowPunct/>
        <w:topLinePunct w:val="0"/>
        <w:autoSpaceDE/>
        <w:autoSpaceDN/>
        <w:bidi w:val="0"/>
        <w:snapToGrid/>
        <w:spacing w:line="560" w:lineRule="exact"/>
        <w:ind w:firstLine="619" w:firstLineChars="200"/>
        <w:rPr>
          <w:rFonts w:ascii="Times New Roman" w:hAnsi="Times New Roman" w:eastAsia="仿宋_GB2312"/>
          <w:b/>
          <w:bCs/>
          <w:color w:val="000000"/>
          <w:spacing w:val="-6"/>
          <w:sz w:val="32"/>
          <w:szCs w:val="40"/>
        </w:rPr>
      </w:pPr>
      <w:r>
        <w:rPr>
          <w:rFonts w:ascii="Times New Roman" w:hAnsi="Times New Roman" w:eastAsia="仿宋_GB2312"/>
          <w:b/>
          <w:bCs/>
          <w:color w:val="000000"/>
          <w:spacing w:val="-6"/>
          <w:sz w:val="32"/>
          <w:szCs w:val="40"/>
        </w:rPr>
        <w:t>持续优化消费环境。</w:t>
      </w:r>
      <w:r>
        <w:rPr>
          <w:rFonts w:ascii="Times New Roman" w:hAnsi="Times New Roman" w:eastAsia="仿宋_GB2312"/>
          <w:color w:val="000000"/>
          <w:spacing w:val="-6"/>
          <w:sz w:val="32"/>
          <w:szCs w:val="40"/>
        </w:rPr>
        <w:t>深入实施提振消费专项行动，加大政策支持力度。支持各类企业发展</w:t>
      </w:r>
      <w:r>
        <w:rPr>
          <w:rFonts w:hint="eastAsia" w:ascii="Times New Roman" w:hAnsi="Times New Roman"/>
          <w:color w:val="000000"/>
          <w:spacing w:val="-6"/>
          <w:sz w:val="32"/>
          <w:szCs w:val="40"/>
          <w:lang w:eastAsia="zh-CN"/>
        </w:rPr>
        <w:t>“</w:t>
      </w:r>
      <w:r>
        <w:rPr>
          <w:rFonts w:ascii="Times New Roman" w:hAnsi="Times New Roman" w:eastAsia="仿宋_GB2312"/>
          <w:color w:val="000000"/>
          <w:spacing w:val="-6"/>
          <w:sz w:val="32"/>
          <w:szCs w:val="40"/>
        </w:rPr>
        <w:t>线下</w:t>
      </w:r>
      <w:r>
        <w:rPr>
          <w:rFonts w:hint="eastAsia"/>
          <w:color w:val="000000"/>
          <w:spacing w:val="-6"/>
          <w:sz w:val="32"/>
          <w:szCs w:val="40"/>
          <w:lang w:eastAsia="zh-CN"/>
        </w:rPr>
        <w:t>搭台</w:t>
      </w:r>
      <w:r>
        <w:rPr>
          <w:rFonts w:ascii="Times New Roman" w:hAnsi="Times New Roman" w:eastAsia="仿宋_GB2312"/>
          <w:color w:val="000000"/>
          <w:spacing w:val="-6"/>
          <w:sz w:val="32"/>
          <w:szCs w:val="40"/>
        </w:rPr>
        <w:t>+线上直播</w:t>
      </w:r>
      <w:r>
        <w:rPr>
          <w:rFonts w:hint="eastAsia" w:ascii="Times New Roman" w:hAnsi="Times New Roman"/>
          <w:color w:val="000000"/>
          <w:spacing w:val="-6"/>
          <w:sz w:val="32"/>
          <w:szCs w:val="40"/>
          <w:lang w:eastAsia="zh-CN"/>
        </w:rPr>
        <w:t>”</w:t>
      </w:r>
      <w:r>
        <w:rPr>
          <w:rFonts w:ascii="Times New Roman" w:hAnsi="Times New Roman" w:eastAsia="仿宋_GB2312"/>
          <w:color w:val="000000"/>
          <w:spacing w:val="-6"/>
          <w:sz w:val="32"/>
          <w:szCs w:val="40"/>
        </w:rPr>
        <w:t>消费模式。推广文化旅游、餐饮住宿、养老托育、家政服务、数字消费、人工智能消费等领域标准。引导健康有序竞争，摆脱</w:t>
      </w:r>
      <w:r>
        <w:rPr>
          <w:rFonts w:hint="eastAsia" w:ascii="Times New Roman" w:hAnsi="Times New Roman"/>
          <w:color w:val="000000"/>
          <w:spacing w:val="-6"/>
          <w:sz w:val="32"/>
          <w:szCs w:val="40"/>
          <w:lang w:eastAsia="zh-CN"/>
        </w:rPr>
        <w:t>“</w:t>
      </w:r>
      <w:r>
        <w:rPr>
          <w:rFonts w:ascii="Times New Roman" w:hAnsi="Times New Roman" w:eastAsia="仿宋_GB2312"/>
          <w:color w:val="000000"/>
          <w:spacing w:val="-6"/>
          <w:sz w:val="32"/>
          <w:szCs w:val="40"/>
        </w:rPr>
        <w:t>内卷式</w:t>
      </w:r>
      <w:r>
        <w:rPr>
          <w:rFonts w:hint="eastAsia" w:ascii="Times New Roman" w:hAnsi="Times New Roman"/>
          <w:color w:val="000000"/>
          <w:spacing w:val="-6"/>
          <w:sz w:val="32"/>
          <w:szCs w:val="40"/>
          <w:lang w:eastAsia="zh-CN"/>
        </w:rPr>
        <w:t>”</w:t>
      </w:r>
      <w:r>
        <w:rPr>
          <w:rFonts w:ascii="Times New Roman" w:hAnsi="Times New Roman" w:eastAsia="仿宋_GB2312"/>
          <w:color w:val="000000"/>
          <w:spacing w:val="-6"/>
          <w:sz w:val="32"/>
          <w:szCs w:val="40"/>
        </w:rPr>
        <w:t>竞争。营造良好消费氛围，提升消费监管水平。</w:t>
      </w:r>
    </w:p>
    <w:p w14:paraId="712628A9">
      <w:pPr>
        <w:pStyle w:val="7"/>
        <w:bidi w:val="0"/>
        <w:rPr>
          <w:lang w:val="en-US" w:eastAsia="zh-CN"/>
        </w:rPr>
      </w:pPr>
      <w:bookmarkStart w:id="32" w:name="_Toc28259"/>
      <w:r>
        <w:rPr>
          <w:lang w:val="en-US" w:eastAsia="zh-CN"/>
        </w:rPr>
        <w:t>第二节 优化现代商贸流通体系</w:t>
      </w:r>
      <w:bookmarkEnd w:id="32"/>
    </w:p>
    <w:p w14:paraId="386C0E13">
      <w:pPr>
        <w:bidi w:val="0"/>
        <w:rPr>
          <w:rFonts w:ascii="Times New Roman" w:hAnsi="Times New Roman"/>
          <w:b/>
          <w:bCs/>
          <w:color w:val="000000"/>
          <w:sz w:val="32"/>
          <w:szCs w:val="40"/>
          <w:lang w:eastAsia="zh-CN"/>
        </w:rPr>
      </w:pPr>
      <w:r>
        <w:rPr>
          <w:rFonts w:ascii="Times New Roman" w:hAnsi="Times New Roman"/>
          <w:b/>
          <w:bCs/>
          <w:color w:val="000000"/>
          <w:sz w:val="32"/>
          <w:szCs w:val="40"/>
          <w:lang w:eastAsia="zh-CN"/>
        </w:rPr>
        <w:t>建强城市商业核心</w:t>
      </w:r>
      <w:r>
        <w:rPr>
          <w:rFonts w:ascii="Times New Roman" w:hAnsi="Times New Roman" w:eastAsia="仿宋_GB2312"/>
          <w:b/>
          <w:bCs/>
          <w:color w:val="000000"/>
          <w:sz w:val="32"/>
          <w:szCs w:val="40"/>
          <w:lang w:eastAsia="zh-CN"/>
        </w:rPr>
        <w:t>。</w:t>
      </w:r>
      <w:r>
        <w:rPr>
          <w:rFonts w:ascii="Times New Roman" w:hAnsi="Times New Roman" w:eastAsia="仿宋_GB2312"/>
          <w:color w:val="000000"/>
          <w:sz w:val="32"/>
          <w:szCs w:val="40"/>
        </w:rPr>
        <w:t>以双河市城区为核心，促进双河市城区与89团一体化发展，紧扣消费升级趋势，重点布局大型商业综合体、特色商业街区等高品质载体</w:t>
      </w:r>
      <w:r>
        <w:rPr>
          <w:rFonts w:ascii="Times New Roman" w:hAnsi="Times New Roman" w:eastAsia="仿宋_GB2312"/>
          <w:color w:val="000000"/>
          <w:sz w:val="32"/>
          <w:szCs w:val="40"/>
          <w:lang w:eastAsia="zh-CN"/>
        </w:rPr>
        <w:t>，提升城市综合能级</w:t>
      </w:r>
      <w:r>
        <w:rPr>
          <w:rFonts w:ascii="Times New Roman" w:hAnsi="Times New Roman" w:eastAsia="仿宋_GB2312"/>
          <w:color w:val="000000"/>
          <w:sz w:val="32"/>
          <w:szCs w:val="40"/>
        </w:rPr>
        <w:t>。</w:t>
      </w:r>
      <w:r>
        <w:rPr>
          <w:rFonts w:ascii="Times New Roman" w:hAnsi="Times New Roman" w:eastAsia="仿宋_GB2312"/>
          <w:color w:val="000000"/>
          <w:sz w:val="32"/>
          <w:szCs w:val="40"/>
          <w:lang w:eastAsia="zh-CN"/>
        </w:rPr>
        <w:t>加大以商招商力度，引进汇嘉时代、友好集团等大型商业连锁企业，</w:t>
      </w:r>
      <w:r>
        <w:rPr>
          <w:rFonts w:hint="eastAsia" w:ascii="Times New Roman" w:hAnsi="Times New Roman" w:eastAsia="仿宋_GB2312"/>
          <w:color w:val="000000"/>
          <w:sz w:val="32"/>
          <w:szCs w:val="40"/>
          <w:lang w:eastAsia="zh-CN"/>
        </w:rPr>
        <w:t>提升</w:t>
      </w:r>
      <w:r>
        <w:rPr>
          <w:rFonts w:ascii="Times New Roman" w:hAnsi="Times New Roman" w:eastAsia="仿宋_GB2312"/>
          <w:color w:val="000000"/>
          <w:sz w:val="32"/>
          <w:szCs w:val="40"/>
          <w:lang w:eastAsia="zh-CN"/>
        </w:rPr>
        <w:t>双河国际智慧城、新世纪商贸城、天一国际商贸城等项目</w:t>
      </w:r>
      <w:r>
        <w:rPr>
          <w:rFonts w:hint="eastAsia" w:ascii="Times New Roman" w:hAnsi="Times New Roman" w:eastAsia="仿宋_GB2312"/>
          <w:color w:val="000000"/>
          <w:sz w:val="32"/>
          <w:szCs w:val="40"/>
          <w:lang w:eastAsia="zh-CN"/>
        </w:rPr>
        <w:t>运营效益</w:t>
      </w:r>
      <w:r>
        <w:rPr>
          <w:rFonts w:ascii="Times New Roman" w:hAnsi="Times New Roman" w:eastAsia="仿宋_GB2312"/>
          <w:color w:val="000000"/>
          <w:sz w:val="32"/>
          <w:szCs w:val="40"/>
          <w:lang w:eastAsia="zh-CN"/>
        </w:rPr>
        <w:t>，着力打造集高端购物、文化体验、休闲娱乐于一体的综合性商业地标。</w:t>
      </w:r>
    </w:p>
    <w:p w14:paraId="69D698D3">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b/>
          <w:bCs/>
          <w:color w:val="000000"/>
          <w:sz w:val="32"/>
          <w:szCs w:val="40"/>
          <w:lang w:val="en-US" w:eastAsia="zh-CN"/>
        </w:rPr>
      </w:pPr>
      <w:r>
        <w:rPr>
          <w:rFonts w:ascii="Times New Roman" w:hAnsi="Times New Roman"/>
          <w:b/>
          <w:bCs/>
          <w:color w:val="000000"/>
          <w:sz w:val="32"/>
          <w:szCs w:val="40"/>
          <w:lang w:val="en-US" w:eastAsia="zh-CN"/>
        </w:rPr>
        <w:t>织密商贸流通网络</w:t>
      </w:r>
      <w:r>
        <w:rPr>
          <w:rFonts w:hint="eastAsia" w:ascii="Times New Roman" w:hAnsi="Times New Roman"/>
          <w:b/>
          <w:bCs/>
          <w:color w:val="000000"/>
          <w:sz w:val="32"/>
          <w:szCs w:val="40"/>
          <w:lang w:val="en-US" w:eastAsia="zh-CN"/>
        </w:rPr>
        <w:t>。</w:t>
      </w:r>
      <w:r>
        <w:rPr>
          <w:rFonts w:ascii="Times New Roman" w:hAnsi="Times New Roman" w:eastAsia="仿宋_GB2312"/>
          <w:color w:val="000000"/>
          <w:sz w:val="32"/>
          <w:szCs w:val="40"/>
        </w:rPr>
        <w:t>立足万豪物流园集散优势，打造辐射区域的智慧物流枢纽，聚力做强物流园区行业标杆。发挥秋林二手车交易市场平台优势，提升交易规模与服务能级，强化区域辐射带动能力，聚力打造汽车流通核心枢纽。发挥绿康果蔬批发市场保供效能，建设辐射城乡的生鲜农产品流通平台，</w:t>
      </w:r>
      <w:bookmarkStart w:id="76" w:name="_GoBack"/>
      <w:bookmarkEnd w:id="76"/>
      <w:r>
        <w:rPr>
          <w:rFonts w:ascii="Times New Roman" w:hAnsi="Times New Roman" w:eastAsia="仿宋_GB2312"/>
          <w:color w:val="000000"/>
          <w:sz w:val="32"/>
          <w:szCs w:val="40"/>
        </w:rPr>
        <w:t>全力做优农产品批发市场民生品牌。着力完善连队商业服务设施，支持连队商店与综合服务社、快递站点共建共享，叠加电商、快递、便民服务功能，切实打通服务职工群众的</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最后一公里</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，全面提升团场商业综合服务水平。</w:t>
      </w:r>
    </w:p>
    <w:p w14:paraId="7402A8AA">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b/>
          <w:bCs/>
          <w:color w:val="000000"/>
          <w:sz w:val="32"/>
          <w:szCs w:val="40"/>
          <w:lang w:eastAsia="zh-CN"/>
        </w:rPr>
      </w:pPr>
      <w:r>
        <w:rPr>
          <w:rFonts w:ascii="Times New Roman" w:hAnsi="Times New Roman"/>
          <w:b/>
          <w:bCs/>
          <w:color w:val="000000"/>
          <w:sz w:val="32"/>
          <w:szCs w:val="40"/>
          <w:lang w:eastAsia="zh-CN"/>
        </w:rPr>
        <w:t>提升产业物流能级。</w:t>
      </w:r>
      <w:r>
        <w:rPr>
          <w:rFonts w:ascii="Times New Roman" w:hAnsi="Times New Roman" w:eastAsia="仿宋_GB2312"/>
          <w:color w:val="000000"/>
          <w:sz w:val="32"/>
          <w:szCs w:val="40"/>
        </w:rPr>
        <w:t>聚焦</w:t>
      </w:r>
      <w:r>
        <w:rPr>
          <w:rFonts w:ascii="Times New Roman" w:hAnsi="Times New Roman" w:eastAsia="仿宋_GB2312"/>
          <w:color w:val="000000"/>
          <w:sz w:val="32"/>
          <w:szCs w:val="40"/>
          <w:lang w:eastAsia="zh-CN"/>
        </w:rPr>
        <w:t>双河经开区</w:t>
      </w:r>
      <w:r>
        <w:rPr>
          <w:rFonts w:ascii="Times New Roman" w:hAnsi="Times New Roman" w:eastAsia="仿宋_GB2312"/>
          <w:color w:val="000000"/>
          <w:sz w:val="32"/>
          <w:szCs w:val="40"/>
        </w:rPr>
        <w:t>跨境物流、保税物流、供应链管理等生产性服务业</w:t>
      </w:r>
      <w:r>
        <w:rPr>
          <w:rFonts w:ascii="Times New Roman" w:hAnsi="Times New Roman" w:eastAsia="仿宋_GB2312"/>
          <w:color w:val="000000"/>
          <w:sz w:val="32"/>
          <w:szCs w:val="40"/>
          <w:lang w:eastAsia="zh-CN"/>
        </w:rPr>
        <w:t>。积极推进东新兵地融合产业园建设，依托新赛工业园承接</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lang w:eastAsia="zh-CN"/>
        </w:rPr>
        <w:t>博阿精</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lang w:eastAsia="zh-CN"/>
        </w:rPr>
        <w:t>区域一体化战略，疏解口岸物流功能，将口岸监管与服务延伸至腹地，聚焦多式联运、运输代理、仓储等基础业态，积极布局智慧物流、冷链物流、低空</w:t>
      </w:r>
      <w:r>
        <w:rPr>
          <w:rFonts w:ascii="Times New Roman" w:hAnsi="Times New Roman" w:eastAsia="仿宋_GB2312"/>
          <w:color w:val="000000"/>
          <w:sz w:val="32"/>
          <w:szCs w:val="40"/>
          <w:lang w:val="en-US" w:eastAsia="zh-CN"/>
        </w:rPr>
        <w:t>+无人配送等高端业态，为农副产品精深加工产业提供仓储、运输等配套服务，形成</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产业+物流</w:t>
      </w:r>
      <w:r>
        <w:rPr>
          <w:rFonts w:hint="eastAsia" w:ascii="Times New Roman" w:hAnsi="Times New Roman"/>
          <w:color w:val="000000"/>
          <w:sz w:val="32"/>
          <w:szCs w:val="40"/>
          <w:lang w:val="en-US" w:eastAsia="zh-CN"/>
        </w:rPr>
        <w:t>”</w:t>
      </w:r>
      <w:r>
        <w:rPr>
          <w:rFonts w:ascii="Times New Roman" w:hAnsi="Times New Roman" w:eastAsia="仿宋_GB2312"/>
          <w:color w:val="000000"/>
          <w:sz w:val="32"/>
          <w:szCs w:val="40"/>
          <w:lang w:val="en-US" w:eastAsia="zh-CN"/>
        </w:rPr>
        <w:t>的联动发展模式，夯实区域涉农</w:t>
      </w:r>
      <w:r>
        <w:rPr>
          <w:rFonts w:hint="eastAsia"/>
          <w:color w:val="000000"/>
          <w:sz w:val="32"/>
          <w:szCs w:val="40"/>
          <w:lang w:val="en-US" w:eastAsia="zh-CN"/>
        </w:rPr>
        <w:t>产业链供应链</w:t>
      </w:r>
      <w:r>
        <w:rPr>
          <w:rFonts w:ascii="Times New Roman" w:hAnsi="Times New Roman" w:eastAsia="仿宋_GB2312"/>
          <w:color w:val="000000"/>
          <w:sz w:val="32"/>
          <w:szCs w:val="40"/>
          <w:lang w:val="en-US" w:eastAsia="zh-CN"/>
        </w:rPr>
        <w:t>基础。</w:t>
      </w:r>
      <w:r>
        <w:rPr>
          <w:rFonts w:ascii="Times New Roman" w:hAnsi="Times New Roman" w:eastAsia="仿宋_GB2312"/>
          <w:color w:val="000000"/>
          <w:sz w:val="32"/>
          <w:szCs w:val="40"/>
        </w:rPr>
        <w:t>以高效、精准服务供给赋能</w:t>
      </w:r>
      <w:r>
        <w:rPr>
          <w:rFonts w:ascii="Times New Roman" w:hAnsi="Times New Roman" w:eastAsia="仿宋_GB2312"/>
          <w:color w:val="000000"/>
          <w:sz w:val="32"/>
          <w:szCs w:val="40"/>
          <w:lang w:eastAsia="zh-CN"/>
        </w:rPr>
        <w:t>产</w:t>
      </w:r>
      <w:r>
        <w:rPr>
          <w:rFonts w:ascii="Times New Roman" w:hAnsi="Times New Roman" w:eastAsia="仿宋_GB2312"/>
          <w:color w:val="000000"/>
          <w:sz w:val="32"/>
          <w:szCs w:val="40"/>
        </w:rPr>
        <w:t>业转型升级，构建</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以产兴城、以城促产</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的融合发展新格局。</w:t>
      </w:r>
    </w:p>
    <w:p w14:paraId="63C95BA8">
      <w:pPr>
        <w:pStyle w:val="7"/>
        <w:bidi w:val="0"/>
        <w:rPr>
          <w:lang w:val="en-US" w:eastAsia="zh-CN"/>
        </w:rPr>
      </w:pPr>
      <w:bookmarkStart w:id="33" w:name="_Toc7867"/>
      <w:r>
        <w:rPr>
          <w:lang w:val="en-US" w:eastAsia="zh-CN"/>
        </w:rPr>
        <w:t>第三节 培育壮大市场主体规模</w:t>
      </w:r>
      <w:bookmarkEnd w:id="33"/>
    </w:p>
    <w:p w14:paraId="3C22BC0C">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eastAsia="仿宋_GB2312"/>
          <w:b/>
          <w:bCs/>
          <w:color w:val="000000"/>
          <w:sz w:val="32"/>
          <w:szCs w:val="40"/>
        </w:rPr>
      </w:pPr>
      <w:r>
        <w:rPr>
          <w:rFonts w:ascii="Times New Roman" w:hAnsi="Times New Roman" w:eastAsia="仿宋_GB2312"/>
          <w:b/>
          <w:bCs/>
          <w:color w:val="000000"/>
          <w:sz w:val="32"/>
          <w:szCs w:val="40"/>
        </w:rPr>
        <w:t>强化龙头引领带动作用</w:t>
      </w:r>
      <w:r>
        <w:rPr>
          <w:rFonts w:ascii="Times New Roman" w:hAnsi="Times New Roman" w:eastAsia="仿宋_GB2312"/>
          <w:b/>
          <w:bCs/>
          <w:color w:val="000000"/>
          <w:sz w:val="32"/>
          <w:szCs w:val="40"/>
          <w:lang w:eastAsia="zh-CN"/>
        </w:rPr>
        <w:t>。</w:t>
      </w:r>
      <w:r>
        <w:rPr>
          <w:rFonts w:ascii="Times New Roman" w:hAnsi="Times New Roman" w:eastAsia="仿宋_GB2312"/>
          <w:color w:val="000000"/>
          <w:sz w:val="32"/>
          <w:szCs w:val="40"/>
        </w:rPr>
        <w:t>聚焦内贸流通重点领域，建立动态招引库，通过产业链招商、平台招商等方式，重点引进在资金、技术、品牌、渠道等方面具备显著优势的企业，快速填补产业空白</w:t>
      </w:r>
      <w:r>
        <w:rPr>
          <w:rFonts w:ascii="Times New Roman" w:hAnsi="Times New Roman" w:eastAsia="仿宋_GB2312"/>
          <w:color w:val="000000"/>
          <w:sz w:val="32"/>
          <w:szCs w:val="40"/>
          <w:lang w:eastAsia="zh-CN"/>
        </w:rPr>
        <w:t>、</w:t>
      </w:r>
      <w:r>
        <w:rPr>
          <w:rFonts w:ascii="Times New Roman" w:hAnsi="Times New Roman" w:eastAsia="仿宋_GB2312"/>
          <w:color w:val="000000"/>
          <w:sz w:val="32"/>
          <w:szCs w:val="40"/>
        </w:rPr>
        <w:t>优化产业布局，提升产业整体竞争力。支持师属国有企业</w:t>
      </w:r>
      <w:r>
        <w:rPr>
          <w:rFonts w:ascii="Times New Roman" w:hAnsi="Times New Roman"/>
          <w:color w:val="000000"/>
          <w:sz w:val="32"/>
          <w:szCs w:val="40"/>
          <w:lang w:eastAsia="zh-CN"/>
        </w:rPr>
        <w:t>以</w:t>
      </w:r>
      <w:r>
        <w:rPr>
          <w:rFonts w:ascii="Times New Roman" w:hAnsi="Times New Roman" w:eastAsia="仿宋_GB2312"/>
          <w:color w:val="000000"/>
          <w:sz w:val="32"/>
          <w:szCs w:val="40"/>
        </w:rPr>
        <w:t>及特色优势企业做强做优</w:t>
      </w:r>
      <w:r>
        <w:rPr>
          <w:rFonts w:ascii="Times New Roman" w:hAnsi="Times New Roman" w:eastAsia="仿宋_GB2312"/>
          <w:color w:val="000000"/>
          <w:sz w:val="32"/>
          <w:szCs w:val="40"/>
          <w:lang w:eastAsia="zh-CN"/>
        </w:rPr>
        <w:t>。</w:t>
      </w:r>
      <w:r>
        <w:rPr>
          <w:rFonts w:ascii="Times New Roman" w:hAnsi="Times New Roman" w:eastAsia="仿宋_GB2312"/>
          <w:color w:val="000000"/>
          <w:sz w:val="32"/>
          <w:szCs w:val="40"/>
        </w:rPr>
        <w:t>鼓励限上商贸企业扩大经营规模，整合本地资源打造拳头产品和优势板块，发挥龙头企业在技术示范、市场开拓、产业链整合等方面的引领作用，带动中小微商贸主体协同发展，激活商贸经济内生增长动力。</w:t>
      </w:r>
    </w:p>
    <w:p w14:paraId="0E3E7AAB">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eastAsia="仿宋_GB2312"/>
          <w:b/>
          <w:bCs/>
          <w:color w:val="000000"/>
          <w:sz w:val="32"/>
          <w:szCs w:val="40"/>
        </w:rPr>
      </w:pPr>
      <w:r>
        <w:rPr>
          <w:rFonts w:ascii="Times New Roman" w:hAnsi="Times New Roman" w:eastAsia="仿宋_GB2312"/>
          <w:b/>
          <w:bCs/>
          <w:color w:val="000000"/>
          <w:sz w:val="32"/>
          <w:szCs w:val="40"/>
        </w:rPr>
        <w:t>实施小升规梯度培育</w:t>
      </w:r>
      <w:r>
        <w:rPr>
          <w:rFonts w:ascii="Times New Roman" w:hAnsi="Times New Roman" w:eastAsia="仿宋_GB2312"/>
          <w:b/>
          <w:bCs/>
          <w:color w:val="000000"/>
          <w:sz w:val="32"/>
          <w:szCs w:val="40"/>
          <w:lang w:eastAsia="zh-CN"/>
        </w:rPr>
        <w:t>。</w:t>
      </w:r>
      <w:r>
        <w:rPr>
          <w:rFonts w:ascii="Times New Roman" w:hAnsi="Times New Roman" w:eastAsia="仿宋_GB2312"/>
          <w:color w:val="000000"/>
          <w:sz w:val="32"/>
          <w:szCs w:val="40"/>
        </w:rPr>
        <w:t>建立</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限上企业抓增长、上限企业抓入库</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的</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小升规</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培育机制，动态跟踪批零住餐等重点行业中小微企业发展情况，靶向培育接近限额标准的企业。鼓励引导存量限上企业聚焦细分领域深耕细作，提升核心竞争力。完善入库纳统激励政策，在要素保障、市场拓展、品牌建设等方面给予倾斜支持。加强政策辅导与统计服务，推动达到标准的企业及时入库、应统尽统，落实企业奖励政策，营造有利于限上企业成长的良好环境。</w:t>
      </w:r>
    </w:p>
    <w:p w14:paraId="7A6D5967">
      <w:pPr>
        <w:keepNext w:val="0"/>
        <w:keepLines w:val="0"/>
        <w:pageBreakBefore w:val="0"/>
        <w:widowControl w:val="0"/>
        <w:kinsoku/>
        <w:wordWrap/>
        <w:overflowPunct/>
        <w:topLinePunct w:val="0"/>
        <w:autoSpaceDE/>
        <w:autoSpaceDN/>
        <w:bidi w:val="0"/>
        <w:snapToGrid/>
        <w:spacing w:line="560" w:lineRule="exact"/>
        <w:ind w:firstLine="643" w:firstLineChars="200"/>
        <w:rPr>
          <w:rFonts w:ascii="Times New Roman" w:hAnsi="Times New Roman" w:eastAsia="仿宋_GB2312"/>
          <w:b/>
          <w:bCs/>
          <w:color w:val="000000"/>
          <w:sz w:val="32"/>
          <w:szCs w:val="40"/>
        </w:rPr>
      </w:pPr>
      <w:r>
        <w:rPr>
          <w:rFonts w:ascii="Times New Roman" w:hAnsi="Times New Roman" w:eastAsia="仿宋_GB2312"/>
          <w:b/>
          <w:bCs/>
          <w:color w:val="000000"/>
          <w:sz w:val="32"/>
          <w:szCs w:val="40"/>
        </w:rPr>
        <w:t>精准扶持中小微主体</w:t>
      </w:r>
      <w:r>
        <w:rPr>
          <w:rFonts w:ascii="Times New Roman" w:hAnsi="Times New Roman" w:eastAsia="仿宋_GB2312"/>
          <w:b/>
          <w:bCs/>
          <w:color w:val="000000"/>
          <w:sz w:val="32"/>
          <w:szCs w:val="40"/>
          <w:lang w:eastAsia="zh-CN"/>
        </w:rPr>
        <w:t>。</w:t>
      </w:r>
      <w:r>
        <w:rPr>
          <w:rFonts w:ascii="Times New Roman" w:hAnsi="Times New Roman" w:eastAsia="仿宋_GB2312"/>
          <w:color w:val="000000"/>
          <w:sz w:val="32"/>
          <w:szCs w:val="40"/>
        </w:rPr>
        <w:t>建立常态化中小微企业筛选培育机制，将批零住餐行业中有潜力、有活力的企业纳入培育库，分类建立成长档案，精准匹配扶持资源。积极推动和引导符合条件的个体工商户向企业转型，扩大限上企业储备基数，提供政策咨询</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一站式</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服务，激发</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个转企</w:t>
      </w:r>
      <w:r>
        <w:rPr>
          <w:rFonts w:hint="eastAsia" w:ascii="Times New Roman" w:hAnsi="Times New Roman"/>
          <w:color w:val="000000"/>
          <w:sz w:val="32"/>
          <w:szCs w:val="40"/>
          <w:lang w:eastAsia="zh-CN"/>
        </w:rPr>
        <w:t>”</w:t>
      </w:r>
      <w:r>
        <w:rPr>
          <w:rFonts w:ascii="Times New Roman" w:hAnsi="Times New Roman" w:eastAsia="仿宋_GB2312"/>
          <w:color w:val="000000"/>
          <w:sz w:val="32"/>
          <w:szCs w:val="40"/>
        </w:rPr>
        <w:t>积极性。完善专项扶持政策体系，在融资服务、数字化转型、市场开拓、低成本经营场所供给等方面形成多维帮扶合力，切实降低企业制度性交易成本，破解发展难题、激发市场活力。</w:t>
      </w:r>
    </w:p>
    <w:p w14:paraId="6AE0119F">
      <w:pPr>
        <w:pStyle w:val="12"/>
        <w:spacing w:line="600" w:lineRule="auto"/>
        <w:ind w:left="0" w:leftChars="0" w:firstLine="0" w:firstLineChars="0"/>
        <w:rPr>
          <w:rFonts w:ascii="Times New Roman" w:hAnsi="Times New Roman" w:eastAsia="仿宋_GB2312"/>
          <w:color w:val="000000"/>
          <w:sz w:val="32"/>
          <w:szCs w:val="40"/>
        </w:rPr>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3"/>
      </w:tblGrid>
      <w:tr w14:paraId="39E5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3" w:type="dxa"/>
            <w:shd w:val="clear" w:color="auto" w:fill="D7D7D7"/>
            <w:vAlign w:val="top"/>
          </w:tcPr>
          <w:p w14:paraId="6E2AC18C">
            <w:pPr>
              <w:pStyle w:val="12"/>
              <w:keepNext w:val="0"/>
              <w:keepLines w:val="0"/>
              <w:pageBreakBefore w:val="0"/>
              <w:widowControl w:val="0"/>
              <w:kinsoku/>
              <w:wordWrap/>
              <w:overflowPunct/>
              <w:topLinePunct w:val="0"/>
              <w:autoSpaceDE/>
              <w:autoSpaceDN/>
              <w:bidi w:val="0"/>
              <w:snapToGrid/>
              <w:spacing w:before="157" w:after="157" w:line="240" w:lineRule="auto"/>
              <w:jc w:val="center"/>
              <w:rPr>
                <w:rFonts w:hint="eastAsia" w:ascii="黑体" w:hAnsi="黑体" w:eastAsia="黑体"/>
                <w:b w:val="0"/>
                <w:bCs/>
                <w:color w:val="000000"/>
                <w:sz w:val="28"/>
                <w:szCs w:val="28"/>
                <w:u w:val="none"/>
                <w:lang w:val="en-US" w:eastAsia="zh-CN"/>
              </w:rPr>
            </w:pPr>
            <w:r>
              <w:rPr>
                <w:rFonts w:hint="eastAsia" w:ascii="黑体" w:hAnsi="黑体" w:eastAsia="黑体"/>
                <w:b w:val="0"/>
                <w:bCs/>
                <w:color w:val="000000"/>
                <w:sz w:val="28"/>
                <w:szCs w:val="28"/>
                <w:u w:val="none"/>
                <w:lang w:val="en-US" w:eastAsia="zh-CN"/>
              </w:rPr>
              <w:t>专栏1 内贸重点项目</w:t>
            </w:r>
          </w:p>
        </w:tc>
      </w:tr>
      <w:tr w14:paraId="099C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3" w:type="dxa"/>
            <w:vAlign w:val="top"/>
          </w:tcPr>
          <w:p w14:paraId="597E8394">
            <w:pPr>
              <w:keepNext w:val="0"/>
              <w:keepLines w:val="0"/>
              <w:pageBreakBefore w:val="0"/>
              <w:widowControl/>
              <w:kinsoku/>
              <w:wordWrap/>
              <w:overflowPunct/>
              <w:topLinePunct w:val="0"/>
              <w:autoSpaceDE/>
              <w:autoSpaceDN/>
              <w:bidi w:val="0"/>
              <w:snapToGrid/>
              <w:spacing w:line="440" w:lineRule="exact"/>
              <w:ind w:firstLine="560" w:firstLineChars="200"/>
              <w:rPr>
                <w:rFonts w:ascii="Times New Roman" w:hAnsi="Times New Roman" w:eastAsia="仿宋_GB2312"/>
                <w:bCs/>
                <w:color w:val="000000"/>
                <w:kern w:val="2"/>
                <w:sz w:val="28"/>
                <w:szCs w:val="28"/>
                <w:u w:val="none"/>
                <w:lang w:val="en-US" w:eastAsia="zh-CN" w:bidi="ar-SA"/>
              </w:rPr>
            </w:pPr>
            <w:r>
              <w:rPr>
                <w:rFonts w:ascii="Times New Roman" w:hAnsi="Times New Roman" w:eastAsia="仿宋_GB2312"/>
                <w:bCs/>
                <w:color w:val="000000"/>
                <w:kern w:val="2"/>
                <w:sz w:val="28"/>
                <w:szCs w:val="28"/>
                <w:u w:val="none"/>
                <w:lang w:val="en-US" w:eastAsia="zh-CN" w:bidi="ar-SA"/>
              </w:rPr>
              <w:t>1.恒辉新天地商业广场项目</w:t>
            </w:r>
          </w:p>
          <w:p w14:paraId="36424D6C">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2</w:t>
            </w:r>
            <w:r>
              <w:rPr>
                <w:rFonts w:ascii="Times New Roman" w:hAnsi="Times New Roman" w:eastAsia="仿宋_GB2312"/>
                <w:bCs/>
                <w:color w:val="000000"/>
                <w:kern w:val="2"/>
                <w:sz w:val="28"/>
                <w:szCs w:val="28"/>
                <w:u w:val="none"/>
                <w:lang w:val="en-US" w:eastAsia="zh-CN" w:bidi="ar-SA"/>
              </w:rPr>
              <w:t>.83团金沙山物流园建设项目</w:t>
            </w:r>
          </w:p>
          <w:p w14:paraId="63E422AD">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3</w:t>
            </w:r>
            <w:r>
              <w:rPr>
                <w:rFonts w:ascii="Times New Roman" w:hAnsi="Times New Roman" w:eastAsia="仿宋_GB2312"/>
                <w:bCs/>
                <w:color w:val="000000"/>
                <w:kern w:val="2"/>
                <w:sz w:val="28"/>
                <w:szCs w:val="28"/>
                <w:u w:val="none"/>
                <w:lang w:val="en-US" w:eastAsia="zh-CN" w:bidi="ar-SA"/>
              </w:rPr>
              <w:t>.亿达商业广场项目</w:t>
            </w:r>
          </w:p>
          <w:p w14:paraId="34FDEA3D">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4</w:t>
            </w:r>
            <w:r>
              <w:rPr>
                <w:rFonts w:ascii="Times New Roman" w:hAnsi="Times New Roman" w:eastAsia="仿宋_GB2312"/>
                <w:bCs/>
                <w:color w:val="000000"/>
                <w:kern w:val="2"/>
                <w:sz w:val="28"/>
                <w:szCs w:val="28"/>
                <w:u w:val="none"/>
                <w:lang w:val="en-US" w:eastAsia="zh-CN" w:bidi="ar-SA"/>
              </w:rPr>
              <w:t>.九翔商业街建设项目</w:t>
            </w:r>
          </w:p>
          <w:p w14:paraId="37827141">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5</w:t>
            </w:r>
            <w:r>
              <w:rPr>
                <w:rFonts w:ascii="Times New Roman" w:hAnsi="Times New Roman" w:eastAsia="仿宋_GB2312"/>
                <w:bCs/>
                <w:color w:val="000000"/>
                <w:kern w:val="2"/>
                <w:sz w:val="28"/>
                <w:szCs w:val="28"/>
                <w:u w:val="none"/>
                <w:lang w:val="en-US" w:eastAsia="zh-CN" w:bidi="ar-SA"/>
              </w:rPr>
              <w:t>.88团万达文化锦华酒店等酒店建设项目</w:t>
            </w:r>
          </w:p>
          <w:p w14:paraId="74936394">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6</w:t>
            </w:r>
            <w:r>
              <w:rPr>
                <w:rFonts w:ascii="Times New Roman" w:hAnsi="Times New Roman" w:eastAsia="仿宋_GB2312"/>
                <w:bCs/>
                <w:color w:val="000000"/>
                <w:kern w:val="2"/>
                <w:sz w:val="28"/>
                <w:szCs w:val="28"/>
                <w:u w:val="none"/>
                <w:lang w:val="en-US" w:eastAsia="zh-CN" w:bidi="ar-SA"/>
              </w:rPr>
              <w:t>.89团古道温泉假日酒店项目</w:t>
            </w:r>
          </w:p>
          <w:p w14:paraId="698035F6">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7</w:t>
            </w:r>
            <w:r>
              <w:rPr>
                <w:rFonts w:ascii="Times New Roman" w:hAnsi="Times New Roman" w:eastAsia="仿宋_GB2312"/>
                <w:bCs/>
                <w:color w:val="000000"/>
                <w:kern w:val="2"/>
                <w:sz w:val="28"/>
                <w:szCs w:val="28"/>
                <w:u w:val="none"/>
                <w:lang w:val="en-US" w:eastAsia="zh-CN" w:bidi="ar-SA"/>
              </w:rPr>
              <w:t>.83团、91团农贸市场改造等县域商业提升项目</w:t>
            </w:r>
          </w:p>
          <w:p w14:paraId="764768A0">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8</w:t>
            </w:r>
            <w:r>
              <w:rPr>
                <w:rFonts w:ascii="Times New Roman" w:hAnsi="Times New Roman" w:eastAsia="仿宋_GB2312"/>
                <w:bCs/>
                <w:color w:val="000000"/>
                <w:kern w:val="2"/>
                <w:sz w:val="28"/>
                <w:szCs w:val="28"/>
                <w:u w:val="none"/>
                <w:lang w:val="en-US" w:eastAsia="zh-CN" w:bidi="ar-SA"/>
              </w:rPr>
              <w:t>.双河综合加油站、怪石峪加油站等8个加油站项目</w:t>
            </w:r>
          </w:p>
          <w:p w14:paraId="19FA902D">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eastAsia="仿宋_GB2312"/>
                <w:bCs/>
                <w:color w:val="000000"/>
                <w:kern w:val="2"/>
                <w:sz w:val="28"/>
                <w:szCs w:val="28"/>
                <w:u w:val="none"/>
                <w:lang w:val="en-US" w:eastAsia="zh-CN" w:bidi="ar-SA"/>
              </w:rPr>
            </w:pPr>
            <w:r>
              <w:rPr>
                <w:rFonts w:hint="eastAsia" w:ascii="Times New Roman" w:hAnsi="Times New Roman" w:eastAsia="仿宋_GB2312"/>
                <w:bCs/>
                <w:color w:val="000000"/>
                <w:kern w:val="2"/>
                <w:sz w:val="28"/>
                <w:szCs w:val="28"/>
                <w:u w:val="none"/>
                <w:lang w:val="en-US" w:eastAsia="zh-CN" w:bidi="ar-SA"/>
              </w:rPr>
              <w:t>9</w:t>
            </w:r>
            <w:r>
              <w:rPr>
                <w:rFonts w:ascii="Times New Roman" w:hAnsi="Times New Roman" w:eastAsia="仿宋_GB2312"/>
                <w:bCs/>
                <w:color w:val="000000"/>
                <w:kern w:val="2"/>
                <w:sz w:val="28"/>
                <w:szCs w:val="28"/>
                <w:u w:val="none"/>
                <w:lang w:val="en-US" w:eastAsia="zh-CN" w:bidi="ar-SA"/>
              </w:rPr>
              <w:t>.新赛</w:t>
            </w:r>
            <w:r>
              <w:rPr>
                <w:rFonts w:hint="eastAsia" w:ascii="Times New Roman" w:hAnsi="Times New Roman" w:eastAsia="仿宋_GB2312"/>
                <w:bCs/>
                <w:color w:val="000000"/>
                <w:kern w:val="2"/>
                <w:sz w:val="28"/>
                <w:szCs w:val="28"/>
                <w:u w:val="none"/>
                <w:lang w:val="en-US" w:eastAsia="zh-CN" w:bidi="ar-SA"/>
              </w:rPr>
              <w:t>园区城市快消品应急物流园项目</w:t>
            </w:r>
          </w:p>
          <w:p w14:paraId="5DC05A8F">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10</w:t>
            </w:r>
            <w:r>
              <w:rPr>
                <w:rFonts w:ascii="Times New Roman" w:hAnsi="Times New Roman" w:eastAsia="仿宋_GB2312"/>
                <w:bCs/>
                <w:color w:val="000000"/>
                <w:kern w:val="2"/>
                <w:sz w:val="28"/>
                <w:szCs w:val="28"/>
                <w:u w:val="none"/>
                <w:lang w:val="en-US" w:eastAsia="zh-CN" w:bidi="ar-SA"/>
              </w:rPr>
              <w:t>.</w:t>
            </w:r>
            <w:r>
              <w:rPr>
                <w:rFonts w:hint="eastAsia" w:ascii="Times New Roman" w:hAnsi="Times New Roman"/>
                <w:bCs/>
                <w:color w:val="000000"/>
                <w:kern w:val="2"/>
                <w:sz w:val="28"/>
                <w:szCs w:val="28"/>
                <w:u w:val="none"/>
                <w:lang w:val="en-US" w:eastAsia="zh-CN" w:bidi="ar-SA"/>
              </w:rPr>
              <w:t>东新工业园现代仓储物流园项目</w:t>
            </w:r>
          </w:p>
          <w:p w14:paraId="20DFEF1F">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u w:val="none"/>
                <w:lang w:val="en-US" w:eastAsia="zh-CN" w:bidi="ar-SA"/>
              </w:rPr>
            </w:pPr>
            <w:r>
              <w:rPr>
                <w:rFonts w:hint="eastAsia" w:ascii="Times New Roman" w:hAnsi="Times New Roman"/>
                <w:bCs/>
                <w:color w:val="000000"/>
                <w:kern w:val="2"/>
                <w:sz w:val="28"/>
                <w:szCs w:val="28"/>
                <w:u w:val="none"/>
                <w:lang w:val="en-US" w:eastAsia="zh-CN" w:bidi="ar-SA"/>
              </w:rPr>
              <w:t>11.双河市维也纳商贸综合体建设项目</w:t>
            </w:r>
          </w:p>
          <w:p w14:paraId="0782B776">
            <w:pPr>
              <w:keepNext w:val="0"/>
              <w:keepLines w:val="0"/>
              <w:pageBreakBefore w:val="0"/>
              <w:widowControl/>
              <w:kinsoku/>
              <w:wordWrap/>
              <w:overflowPunct/>
              <w:topLinePunct w:val="0"/>
              <w:autoSpaceDE/>
              <w:autoSpaceDN/>
              <w:bidi w:val="0"/>
              <w:snapToGrid/>
              <w:spacing w:line="440" w:lineRule="exact"/>
              <w:ind w:firstLine="560" w:firstLineChars="200"/>
              <w:rPr>
                <w:rFonts w:hint="eastAsia" w:ascii="Times New Roman" w:hAnsi="Times New Roman"/>
                <w:bCs/>
                <w:color w:val="000000"/>
                <w:kern w:val="2"/>
                <w:sz w:val="28"/>
                <w:szCs w:val="28"/>
                <w:highlight w:val="yellow"/>
                <w:u w:val="none"/>
                <w:lang w:val="en-US" w:eastAsia="zh-CN" w:bidi="ar-SA"/>
              </w:rPr>
            </w:pPr>
            <w:r>
              <w:rPr>
                <w:rFonts w:hint="eastAsia" w:ascii="Times New Roman" w:hAnsi="Times New Roman"/>
                <w:bCs/>
                <w:color w:val="000000"/>
                <w:kern w:val="2"/>
                <w:sz w:val="28"/>
                <w:szCs w:val="28"/>
                <w:u w:val="none"/>
                <w:lang w:val="en-US" w:eastAsia="zh-CN" w:bidi="ar-SA"/>
              </w:rPr>
              <w:t>12.90团艾比湖商业街建设项目</w:t>
            </w:r>
          </w:p>
        </w:tc>
      </w:tr>
    </w:tbl>
    <w:p w14:paraId="482F0248">
      <w:pPr>
        <w:pStyle w:val="6"/>
        <w:keepNext w:val="0"/>
        <w:keepLines w:val="0"/>
        <w:pageBreakBefore w:val="0"/>
        <w:kinsoku/>
        <w:wordWrap/>
        <w:topLinePunct w:val="0"/>
        <w:autoSpaceDE/>
        <w:autoSpaceDN/>
        <w:bidi w:val="0"/>
        <w:snapToGrid/>
        <w:spacing w:line="560" w:lineRule="exact"/>
        <w:rPr>
          <w:lang w:val="en-US" w:eastAsia="zh-CN"/>
        </w:rPr>
      </w:pPr>
      <w:r>
        <w:rPr>
          <w:lang w:val="en-US" w:eastAsia="zh-CN"/>
        </w:rPr>
        <w:br w:type="page"/>
      </w:r>
      <w:bookmarkStart w:id="34" w:name="_Toc30073"/>
      <w:r>
        <w:rPr>
          <w:lang w:val="en-US" w:eastAsia="zh-CN"/>
        </w:rPr>
        <w:t>第三章 培育壮大外向经济 提升对外开放水平</w:t>
      </w:r>
      <w:bookmarkEnd w:id="34"/>
    </w:p>
    <w:p w14:paraId="3477CC2F">
      <w:pPr>
        <w:pStyle w:val="7"/>
        <w:keepNext w:val="0"/>
        <w:keepLines w:val="0"/>
        <w:pageBreakBefore w:val="0"/>
        <w:kinsoku/>
        <w:wordWrap/>
        <w:topLinePunct w:val="0"/>
        <w:autoSpaceDE/>
        <w:autoSpaceDN/>
        <w:bidi w:val="0"/>
        <w:snapToGrid/>
        <w:spacing w:line="560" w:lineRule="exact"/>
        <w:rPr>
          <w:lang w:val="en-US" w:eastAsia="zh-CN"/>
        </w:rPr>
      </w:pPr>
      <w:bookmarkStart w:id="35" w:name="_Toc8927"/>
      <w:r>
        <w:rPr>
          <w:lang w:val="en-US" w:eastAsia="zh-CN"/>
        </w:rPr>
        <w:t>第一节 提升对外贸易质效</w:t>
      </w:r>
      <w:bookmarkEnd w:id="35"/>
    </w:p>
    <w:p w14:paraId="0F52139E">
      <w:pPr>
        <w:keepNext w:val="0"/>
        <w:keepLines w:val="0"/>
        <w:pageBreakBefore w:val="0"/>
        <w:kinsoku/>
        <w:wordWrap/>
        <w:overflowPunct/>
        <w:topLinePunct w:val="0"/>
        <w:autoSpaceDE/>
        <w:autoSpaceDN/>
        <w:bidi w:val="0"/>
        <w:snapToGrid/>
        <w:spacing w:line="560" w:lineRule="exact"/>
        <w:rPr>
          <w:rFonts w:ascii="Times New Roman" w:hAnsi="Times New Roman"/>
          <w:b/>
          <w:bCs/>
          <w:color w:val="000000"/>
          <w:lang w:val="en-US" w:eastAsia="zh-CN"/>
        </w:rPr>
      </w:pPr>
      <w:r>
        <w:rPr>
          <w:rFonts w:ascii="Times New Roman" w:hAnsi="Times New Roman"/>
          <w:b/>
          <w:bCs/>
          <w:color w:val="000000"/>
          <w:lang w:val="en-US" w:eastAsia="zh-CN"/>
        </w:rPr>
        <w:t>扩大自产品出口规模。</w:t>
      </w:r>
      <w:r>
        <w:rPr>
          <w:rFonts w:ascii="Times New Roman" w:hAnsi="Times New Roman"/>
          <w:color w:val="000000"/>
          <w:lang w:val="en-US" w:eastAsia="zh-CN"/>
        </w:rPr>
        <w:t>做强农产品出口优势，充分发挥绿色果蔬基地优势，稳固葡萄、番茄酱等现有产品出口规模。依托出口备案基地推广彩椒、高山蔬菜等新品种，推动果汁、果醋等精深加工产品出口，打造农产品出口集群。拓展工业品出口品类，持续扩大日用百货、服装、管材、滴灌带等传统产品及农资出口规模。积极扩宽中间品出口市场，鼓励企业拓展二手车、电子产品、无人机等高附加值产品出口。</w:t>
      </w:r>
    </w:p>
    <w:p w14:paraId="1FC3F6E5">
      <w:pPr>
        <w:keepNext w:val="0"/>
        <w:keepLines w:val="0"/>
        <w:pageBreakBefore w:val="0"/>
        <w:kinsoku/>
        <w:wordWrap/>
        <w:overflowPunct/>
        <w:topLinePunct w:val="0"/>
        <w:autoSpaceDE/>
        <w:autoSpaceDN/>
        <w:bidi w:val="0"/>
        <w:snapToGrid/>
        <w:spacing w:line="560" w:lineRule="exact"/>
        <w:rPr>
          <w:rFonts w:ascii="Times New Roman" w:hAnsi="Times New Roman"/>
          <w:b/>
          <w:bCs/>
          <w:color w:val="000000"/>
        </w:rPr>
      </w:pPr>
      <w:r>
        <w:rPr>
          <w:rFonts w:ascii="Times New Roman" w:hAnsi="Times New Roman"/>
          <w:b/>
          <w:bCs/>
          <w:color w:val="000000"/>
        </w:rPr>
        <w:t>壮大</w:t>
      </w:r>
      <w:r>
        <w:rPr>
          <w:rFonts w:ascii="Times New Roman" w:hAnsi="Times New Roman"/>
          <w:b/>
          <w:bCs/>
          <w:color w:val="000000"/>
          <w:lang w:val="en-US" w:eastAsia="zh-CN"/>
        </w:rPr>
        <w:t>进</w:t>
      </w:r>
      <w:r>
        <w:rPr>
          <w:rFonts w:ascii="Times New Roman" w:hAnsi="Times New Roman"/>
          <w:b/>
          <w:bCs/>
          <w:color w:val="000000"/>
        </w:rPr>
        <w:t>料加工产业</w:t>
      </w:r>
      <w:r>
        <w:rPr>
          <w:rFonts w:ascii="Times New Roman" w:hAnsi="Times New Roman"/>
          <w:b/>
          <w:bCs/>
          <w:color w:val="000000"/>
          <w:lang w:eastAsia="zh-CN"/>
        </w:rPr>
        <w:t>。</w:t>
      </w:r>
      <w:r>
        <w:rPr>
          <w:rFonts w:ascii="Times New Roman" w:hAnsi="Times New Roman"/>
          <w:color w:val="000000"/>
          <w:lang w:val="en-US" w:eastAsia="zh-CN"/>
        </w:rPr>
        <w:t>壮大进料加工产业。</w:t>
      </w:r>
      <w:r>
        <w:rPr>
          <w:rFonts w:hint="eastAsia" w:ascii="Times New Roman" w:hAnsi="Times New Roman"/>
          <w:color w:val="000000"/>
          <w:lang w:val="en-US" w:eastAsia="zh-CN"/>
        </w:rPr>
        <w:t>积极扩大优质粮油原料进口，鼓励农业龙头企业做大做强小麦、大麦、葵花籽、亚麻籽等粮油原料进口加工业务，着力打造进口粮油加工储备基地。</w:t>
      </w:r>
      <w:r>
        <w:rPr>
          <w:rFonts w:ascii="Times New Roman" w:hAnsi="Times New Roman"/>
          <w:color w:val="000000"/>
          <w:lang w:val="en-US" w:eastAsia="zh-CN"/>
        </w:rPr>
        <w:t>大力发展进口资源落地加工，充分发挥阿拉山口综合保税区兵地融合产业园平台优势，持续扩大从中亚、俄罗斯等地区进口铜、铬、锰等矿产资源规模。聚焦延链补链强链，重点引进培育铜杆、铜箔、铝型材、铝箔等精深加工企业，聚力打造铜基、铝基新材料产业集群。</w:t>
      </w:r>
    </w:p>
    <w:p w14:paraId="3F41A735">
      <w:pPr>
        <w:keepNext w:val="0"/>
        <w:keepLines w:val="0"/>
        <w:pageBreakBefore w:val="0"/>
        <w:kinsoku/>
        <w:wordWrap/>
        <w:overflowPunct/>
        <w:topLinePunct w:val="0"/>
        <w:autoSpaceDE/>
        <w:autoSpaceDN/>
        <w:bidi w:val="0"/>
        <w:snapToGrid/>
        <w:spacing w:line="560" w:lineRule="exact"/>
        <w:rPr>
          <w:rFonts w:ascii="Times New Roman" w:hAnsi="Times New Roman"/>
          <w:b/>
          <w:bCs/>
          <w:color w:val="000000"/>
          <w:lang w:val="en-US" w:eastAsia="zh-CN"/>
        </w:rPr>
      </w:pPr>
      <w:r>
        <w:rPr>
          <w:rFonts w:ascii="Times New Roman" w:hAnsi="Times New Roman"/>
          <w:b/>
          <w:bCs/>
          <w:color w:val="000000"/>
          <w:lang w:val="en-US" w:eastAsia="zh-CN"/>
        </w:rPr>
        <w:t>培育壮大外贸实体。</w:t>
      </w:r>
      <w:r>
        <w:rPr>
          <w:rFonts w:ascii="Times New Roman" w:hAnsi="Times New Roman"/>
          <w:color w:val="000000"/>
          <w:lang w:val="en-US" w:eastAsia="zh-CN"/>
        </w:rPr>
        <w:t>加快建立外贸企业白名单，成立对外经贸合作商会，搭建政企沟通桥梁，促进企业抱团发展、共享资源。支持自产品出口企业深耕中亚及</w:t>
      </w:r>
      <w:r>
        <w:rPr>
          <w:rFonts w:hint="eastAsia" w:ascii="Times New Roman" w:hAnsi="Times New Roman"/>
          <w:color w:val="000000"/>
          <w:lang w:val="en-US" w:eastAsia="zh-CN"/>
        </w:rPr>
        <w:t>“</w:t>
      </w:r>
      <w:r>
        <w:rPr>
          <w:rFonts w:ascii="Times New Roman" w:hAnsi="Times New Roman"/>
          <w:color w:val="000000"/>
          <w:lang w:val="en-US" w:eastAsia="zh-CN"/>
        </w:rPr>
        <w:t>一带一路</w:t>
      </w:r>
      <w:r>
        <w:rPr>
          <w:rFonts w:hint="eastAsia" w:ascii="Times New Roman" w:hAnsi="Times New Roman"/>
          <w:color w:val="000000"/>
          <w:lang w:val="en-US" w:eastAsia="zh-CN"/>
        </w:rPr>
        <w:t>”</w:t>
      </w:r>
      <w:r>
        <w:rPr>
          <w:rFonts w:ascii="Times New Roman" w:hAnsi="Times New Roman"/>
          <w:color w:val="000000"/>
          <w:lang w:val="en-US" w:eastAsia="zh-CN"/>
        </w:rPr>
        <w:t>沿线市场，强化品牌建设与标准认证，扩大高附加值产品出口规模，打造特色产业出口标杆。支持现有外贸企业优化贸易结构，丰富进口品类、扩大进口规模。推动有条件的代理企业升级为外贸综合服务企业，为中小微企业提供政策咨询、业务培训、通关代理、融资对接等一站式服务，加快形成主体多元、结构优化、活力充沛、竞争力强的企业梯度发展新格局</w:t>
      </w:r>
    </w:p>
    <w:p w14:paraId="78E69B20">
      <w:pPr>
        <w:pStyle w:val="7"/>
        <w:keepNext w:val="0"/>
        <w:keepLines w:val="0"/>
        <w:pageBreakBefore w:val="0"/>
        <w:kinsoku/>
        <w:wordWrap/>
        <w:topLinePunct w:val="0"/>
        <w:autoSpaceDE/>
        <w:autoSpaceDN/>
        <w:bidi w:val="0"/>
        <w:snapToGrid/>
        <w:spacing w:line="560" w:lineRule="exact"/>
        <w:rPr>
          <w:lang w:val="en-US" w:eastAsia="zh-CN"/>
        </w:rPr>
      </w:pPr>
      <w:bookmarkStart w:id="36" w:name="_Toc2815"/>
      <w:r>
        <w:rPr>
          <w:lang w:val="en-US" w:eastAsia="zh-CN"/>
        </w:rPr>
        <w:t>第二节 创新外贸业态模式</w:t>
      </w:r>
      <w:bookmarkEnd w:id="36"/>
    </w:p>
    <w:p w14:paraId="1ADDB719">
      <w:pPr>
        <w:keepNext w:val="0"/>
        <w:keepLines w:val="0"/>
        <w:pageBreakBefore w:val="0"/>
        <w:widowControl/>
        <w:kinsoku/>
        <w:wordWrap/>
        <w:overflowPunct/>
        <w:topLinePunct w:val="0"/>
        <w:autoSpaceDE/>
        <w:autoSpaceDN/>
        <w:bidi w:val="0"/>
        <w:snapToGrid/>
        <w:spacing w:line="560" w:lineRule="exact"/>
        <w:ind w:firstLine="643" w:firstLineChars="200"/>
        <w:rPr>
          <w:rFonts w:ascii="Times New Roman" w:hAnsi="Times New Roman"/>
          <w:b/>
          <w:bCs/>
          <w:color w:val="000000"/>
          <w:lang w:val="en-US" w:eastAsia="zh-CN"/>
        </w:rPr>
      </w:pPr>
      <w:r>
        <w:rPr>
          <w:rFonts w:ascii="Times New Roman" w:hAnsi="Times New Roman"/>
          <w:b/>
          <w:bCs/>
          <w:color w:val="000000"/>
          <w:lang w:val="en-US" w:eastAsia="zh-CN"/>
        </w:rPr>
        <w:t>升级边民互市贸易。</w:t>
      </w:r>
      <w:r>
        <w:rPr>
          <w:rFonts w:ascii="Times New Roman" w:hAnsi="Times New Roman"/>
          <w:b w:val="0"/>
          <w:bCs w:val="0"/>
          <w:color w:val="000000"/>
          <w:lang w:val="en-US" w:eastAsia="zh-CN"/>
        </w:rPr>
        <w:t>完善互市基础设施，加快边民互市贸易市场建设，完善仓储、物流、电子交易等基础设施配套，提升市场承载能力与运营效率。推广抱团经营模式，规范边民证办理，积极组建边民合作社或互助组，提升市场议价能力与抗风险能力，夯实互市发展基础。争取落地加工试点，主动对接并积极争取边民互市进口商品落地加工试点政策与资质，引导和支持企业开展粮油、冷链食品等进口商品落地精深加工，推动贸易与产业联动发展，</w:t>
      </w:r>
      <w:r>
        <w:rPr>
          <w:rFonts w:hint="eastAsia"/>
          <w:b w:val="0"/>
          <w:bCs w:val="0"/>
          <w:color w:val="000000"/>
          <w:lang w:val="en-US" w:eastAsia="zh-CN"/>
        </w:rPr>
        <w:t>提升</w:t>
      </w:r>
      <w:r>
        <w:rPr>
          <w:rFonts w:ascii="Times New Roman" w:hAnsi="Times New Roman"/>
          <w:b w:val="0"/>
          <w:bCs w:val="0"/>
          <w:color w:val="000000"/>
          <w:lang w:val="en-US" w:eastAsia="zh-CN"/>
        </w:rPr>
        <w:t>产业链价值。提升贸易便利化水平</w:t>
      </w:r>
      <w:r>
        <w:rPr>
          <w:rFonts w:hint="eastAsia"/>
          <w:b w:val="0"/>
          <w:bCs w:val="0"/>
          <w:color w:val="000000"/>
          <w:lang w:val="en-US" w:eastAsia="zh-CN"/>
        </w:rPr>
        <w:t>，</w:t>
      </w:r>
      <w:r>
        <w:rPr>
          <w:rFonts w:ascii="Times New Roman" w:hAnsi="Times New Roman"/>
          <w:b w:val="0"/>
          <w:bCs w:val="0"/>
          <w:color w:val="000000"/>
          <w:lang w:val="en-US" w:eastAsia="zh-CN"/>
        </w:rPr>
        <w:t>探索应用</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互联网+边民互市</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等服务新模式，优化交易流程与监管方式，提升贸易便利化与监管效能，为边民互市贸易高质量发展提供保障。</w:t>
      </w:r>
    </w:p>
    <w:p w14:paraId="50421F35">
      <w:pPr>
        <w:keepNext w:val="0"/>
        <w:keepLines w:val="0"/>
        <w:pageBreakBefore w:val="0"/>
        <w:widowControl/>
        <w:kinsoku/>
        <w:wordWrap/>
        <w:overflowPunct/>
        <w:topLinePunct w:val="0"/>
        <w:autoSpaceDE/>
        <w:autoSpaceDN/>
        <w:bidi w:val="0"/>
        <w:snapToGrid/>
        <w:spacing w:line="560" w:lineRule="exact"/>
        <w:ind w:firstLine="643" w:firstLineChars="200"/>
        <w:rPr>
          <w:rFonts w:ascii="Times New Roman" w:hAnsi="Times New Roman"/>
          <w:b/>
          <w:bCs/>
          <w:color w:val="000000"/>
          <w:lang w:val="en-US" w:eastAsia="zh-CN"/>
        </w:rPr>
      </w:pPr>
      <w:r>
        <w:rPr>
          <w:rFonts w:ascii="Times New Roman" w:hAnsi="Times New Roman"/>
          <w:b/>
          <w:bCs/>
          <w:color w:val="000000"/>
          <w:lang w:val="en-US" w:eastAsia="zh-CN"/>
        </w:rPr>
        <w:t>做强活畜全产业链。</w:t>
      </w:r>
      <w:r>
        <w:rPr>
          <w:rFonts w:ascii="Times New Roman" w:hAnsi="Times New Roman"/>
          <w:b w:val="0"/>
          <w:bCs w:val="0"/>
          <w:color w:val="000000"/>
          <w:lang w:val="en-US" w:eastAsia="zh-CN"/>
        </w:rPr>
        <w:t>构建境外养殖基地，加强与中新建农牧、东阿阿胶等重点企业战略合作，充分利用哈萨克斯坦等周边国家优质草场资源，建设境外规模化养殖与中转集散地，保障活畜稳定供应。打通进口核心通道，依托阿拉山口已有的隔离场、屠宰场等关键设施，在83团、90团配套建设小型隔离场，着力打通和稳定活畜进口检疫、屠宰准入等核心通道，确保活畜进口流程顺畅高效。打造全链条产业体系，整合境内</w:t>
      </w:r>
      <w:r>
        <w:rPr>
          <w:rFonts w:hint="eastAsia"/>
          <w:b w:val="0"/>
          <w:bCs w:val="0"/>
          <w:color w:val="000000"/>
          <w:lang w:val="en-US" w:eastAsia="zh-CN"/>
        </w:rPr>
        <w:t>育肥</w:t>
      </w:r>
      <w:r>
        <w:rPr>
          <w:rFonts w:ascii="Times New Roman" w:hAnsi="Times New Roman"/>
          <w:b w:val="0"/>
          <w:bCs w:val="0"/>
          <w:color w:val="000000"/>
          <w:lang w:val="en-US" w:eastAsia="zh-CN"/>
        </w:rPr>
        <w:t>、进口、精深加工与市场销售等关键环节，重点围绕驴、牛等品种，构建集活畜进口、标准化屠宰、精细分割、精深加工及品牌营销于一体的全产业链。</w:t>
      </w:r>
    </w:p>
    <w:p w14:paraId="478B99B2">
      <w:pPr>
        <w:keepNext w:val="0"/>
        <w:keepLines w:val="0"/>
        <w:pageBreakBefore w:val="0"/>
        <w:widowControl/>
        <w:kinsoku/>
        <w:wordWrap/>
        <w:overflowPunct/>
        <w:topLinePunct w:val="0"/>
        <w:autoSpaceDE/>
        <w:autoSpaceDN/>
        <w:bidi w:val="0"/>
        <w:snapToGrid/>
        <w:spacing w:line="560" w:lineRule="exact"/>
        <w:ind w:firstLine="643" w:firstLineChars="200"/>
        <w:rPr>
          <w:rFonts w:ascii="Times New Roman" w:hAnsi="Times New Roman"/>
          <w:b/>
          <w:bCs/>
          <w:color w:val="000000"/>
          <w:lang w:val="en-US" w:eastAsia="zh-CN"/>
        </w:rPr>
      </w:pPr>
      <w:r>
        <w:rPr>
          <w:rFonts w:ascii="Times New Roman" w:hAnsi="Times New Roman"/>
          <w:b/>
          <w:bCs/>
          <w:color w:val="000000"/>
          <w:lang w:val="en-US" w:eastAsia="zh-CN"/>
        </w:rPr>
        <w:t>做大跨境电商业态。</w:t>
      </w:r>
      <w:r>
        <w:rPr>
          <w:rFonts w:ascii="Times New Roman" w:hAnsi="Times New Roman"/>
          <w:b w:val="0"/>
          <w:bCs w:val="0"/>
          <w:color w:val="000000"/>
          <w:lang w:val="en-US" w:eastAsia="zh-CN"/>
        </w:rPr>
        <w:t>培育跨境电商市场主体，</w:t>
      </w:r>
      <w:r>
        <w:rPr>
          <w:rFonts w:ascii="Times New Roman" w:hAnsi="Times New Roman" w:eastAsia="仿宋_GB2312"/>
          <w:i w:val="0"/>
          <w:iCs w:val="0"/>
          <w:color w:val="000000"/>
          <w:spacing w:val="0"/>
          <w:sz w:val="32"/>
          <w:szCs w:val="32"/>
          <w:shd w:val="clear" w:color="auto" w:fill="auto"/>
        </w:rPr>
        <w:t>抢抓跨境电商综试区建设契机，</w:t>
      </w:r>
      <w:r>
        <w:rPr>
          <w:rFonts w:ascii="Times New Roman" w:hAnsi="Times New Roman"/>
          <w:b w:val="0"/>
          <w:bCs w:val="0"/>
          <w:color w:val="000000"/>
          <w:lang w:val="en-US" w:eastAsia="zh-CN"/>
        </w:rPr>
        <w:t>大力招引和培育跨境电商平台及运营企业，支持各类跨境电商平台企业来师市设立区域总部、结算中心及供应链管理中心。加快传统产业适销型转型，引导本地工业企业、农产品加工企业应用跨境电商开拓国际市场，推动</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双河制造</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双河特产</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产品出海。创新跨境电商融合模式，</w:t>
      </w:r>
      <w:r>
        <w:rPr>
          <w:rFonts w:ascii="Times New Roman" w:hAnsi="Times New Roman" w:eastAsia="仿宋_GB2312"/>
          <w:i w:val="0"/>
          <w:iCs w:val="0"/>
          <w:color w:val="000000"/>
          <w:spacing w:val="0"/>
          <w:sz w:val="32"/>
          <w:szCs w:val="32"/>
          <w:shd w:val="clear" w:color="auto" w:fill="auto"/>
        </w:rPr>
        <w:t>推行</w:t>
      </w:r>
      <w:r>
        <w:rPr>
          <w:rFonts w:hint="eastAsia" w:ascii="Times New Roman" w:hAnsi="Times New Roman"/>
          <w:i w:val="0"/>
          <w:iCs w:val="0"/>
          <w:color w:val="000000"/>
          <w:spacing w:val="0"/>
          <w:sz w:val="32"/>
          <w:szCs w:val="32"/>
          <w:shd w:val="clear" w:color="auto" w:fill="auto"/>
          <w:lang w:eastAsia="zh-CN"/>
        </w:rPr>
        <w:t>“</w:t>
      </w:r>
      <w:r>
        <w:rPr>
          <w:rFonts w:ascii="Times New Roman" w:hAnsi="Times New Roman" w:eastAsia="仿宋_GB2312"/>
          <w:i w:val="0"/>
          <w:iCs w:val="0"/>
          <w:color w:val="000000"/>
          <w:spacing w:val="0"/>
          <w:sz w:val="32"/>
          <w:szCs w:val="32"/>
          <w:shd w:val="clear" w:color="auto" w:fill="auto"/>
        </w:rPr>
        <w:t>跨境电商+产业+直播</w:t>
      </w:r>
      <w:r>
        <w:rPr>
          <w:rFonts w:hint="eastAsia" w:ascii="Times New Roman" w:hAnsi="Times New Roman"/>
          <w:i w:val="0"/>
          <w:iCs w:val="0"/>
          <w:color w:val="000000"/>
          <w:spacing w:val="0"/>
          <w:sz w:val="32"/>
          <w:szCs w:val="32"/>
          <w:shd w:val="clear" w:color="auto" w:fill="auto"/>
          <w:lang w:eastAsia="zh-CN"/>
        </w:rPr>
        <w:t>”</w:t>
      </w:r>
      <w:r>
        <w:rPr>
          <w:rFonts w:ascii="Times New Roman" w:hAnsi="Times New Roman" w:eastAsia="仿宋_GB2312"/>
          <w:i w:val="0"/>
          <w:iCs w:val="0"/>
          <w:color w:val="000000"/>
          <w:spacing w:val="0"/>
          <w:sz w:val="32"/>
          <w:szCs w:val="32"/>
          <w:shd w:val="clear" w:color="auto" w:fill="auto"/>
        </w:rPr>
        <w:t>模式，整合团场特色农产品资源，建设线上线下一体化产销平台，打造跨境电商出口选品中心。</w:t>
      </w:r>
      <w:r>
        <w:rPr>
          <w:rFonts w:ascii="Times New Roman" w:hAnsi="Times New Roman"/>
          <w:i w:val="0"/>
          <w:iCs w:val="0"/>
          <w:color w:val="000000"/>
          <w:spacing w:val="0"/>
          <w:sz w:val="32"/>
          <w:szCs w:val="32"/>
          <w:shd w:val="clear" w:color="auto" w:fill="auto"/>
          <w:lang w:eastAsia="zh-CN"/>
        </w:rPr>
        <w:t>推广跨境电商零售进口快速配送模式，推动进口直采与新零售结合，打造区域性跨境电商进口基地</w:t>
      </w:r>
      <w:r>
        <w:rPr>
          <w:rFonts w:hint="eastAsia"/>
          <w:i w:val="0"/>
          <w:iCs w:val="0"/>
          <w:color w:val="000000"/>
          <w:spacing w:val="0"/>
          <w:sz w:val="32"/>
          <w:szCs w:val="32"/>
          <w:shd w:val="clear" w:color="auto" w:fill="auto"/>
          <w:lang w:eastAsia="zh-CN"/>
        </w:rPr>
        <w:t>，</w:t>
      </w:r>
      <w:r>
        <w:rPr>
          <w:rFonts w:hint="eastAsia" w:ascii="Times New Roman" w:hAnsi="Times New Roman"/>
          <w:i w:val="0"/>
          <w:iCs w:val="0"/>
          <w:color w:val="000000"/>
          <w:spacing w:val="0"/>
          <w:sz w:val="32"/>
          <w:szCs w:val="32"/>
          <w:shd w:val="clear" w:color="auto" w:fill="auto"/>
          <w:lang w:eastAsia="zh-CN"/>
        </w:rPr>
        <w:t>到</w:t>
      </w:r>
      <w:r>
        <w:rPr>
          <w:rFonts w:hint="eastAsia" w:ascii="Times New Roman" w:hAnsi="Times New Roman"/>
          <w:i w:val="0"/>
          <w:iCs w:val="0"/>
          <w:color w:val="000000"/>
          <w:spacing w:val="0"/>
          <w:sz w:val="32"/>
          <w:szCs w:val="32"/>
          <w:shd w:val="clear" w:color="auto" w:fill="auto"/>
          <w:lang w:val="en-US" w:eastAsia="zh-CN"/>
        </w:rPr>
        <w:t>2030年跨境电商进出口贸易额达到</w:t>
      </w:r>
      <w:r>
        <w:rPr>
          <w:rFonts w:hint="eastAsia"/>
          <w:i w:val="0"/>
          <w:iCs w:val="0"/>
          <w:color w:val="000000"/>
          <w:spacing w:val="0"/>
          <w:sz w:val="32"/>
          <w:szCs w:val="32"/>
          <w:shd w:val="clear" w:color="auto" w:fill="auto"/>
          <w:lang w:val="en-US" w:eastAsia="zh-CN"/>
        </w:rPr>
        <w:t>XX</w:t>
      </w:r>
      <w:r>
        <w:rPr>
          <w:rFonts w:hint="eastAsia" w:ascii="Times New Roman" w:hAnsi="Times New Roman"/>
          <w:i w:val="0"/>
          <w:iCs w:val="0"/>
          <w:color w:val="000000"/>
          <w:spacing w:val="0"/>
          <w:sz w:val="32"/>
          <w:szCs w:val="32"/>
          <w:shd w:val="clear" w:color="auto" w:fill="auto"/>
          <w:lang w:val="en-US" w:eastAsia="zh-CN"/>
        </w:rPr>
        <w:t>亿元以上</w:t>
      </w:r>
      <w:r>
        <w:rPr>
          <w:rFonts w:ascii="Times New Roman" w:hAnsi="Times New Roman"/>
          <w:i w:val="0"/>
          <w:iCs w:val="0"/>
          <w:color w:val="000000"/>
          <w:spacing w:val="0"/>
          <w:sz w:val="32"/>
          <w:szCs w:val="32"/>
          <w:shd w:val="clear" w:color="auto" w:fill="auto"/>
          <w:lang w:eastAsia="zh-CN"/>
        </w:rPr>
        <w:t>。</w:t>
      </w:r>
    </w:p>
    <w:p w14:paraId="036DAF8F">
      <w:pPr>
        <w:keepNext w:val="0"/>
        <w:keepLines w:val="0"/>
        <w:pageBreakBefore w:val="0"/>
        <w:widowControl/>
        <w:kinsoku/>
        <w:wordWrap/>
        <w:overflowPunct/>
        <w:topLinePunct w:val="0"/>
        <w:autoSpaceDE/>
        <w:autoSpaceDN/>
        <w:bidi w:val="0"/>
        <w:snapToGrid/>
        <w:spacing w:line="560" w:lineRule="exact"/>
        <w:ind w:firstLine="643" w:firstLineChars="200"/>
        <w:rPr>
          <w:rFonts w:ascii="Times New Roman" w:hAnsi="Times New Roman"/>
          <w:b/>
          <w:bCs/>
          <w:color w:val="000000"/>
          <w:lang w:val="en-US" w:eastAsia="zh-CN"/>
        </w:rPr>
      </w:pPr>
      <w:r>
        <w:rPr>
          <w:rFonts w:ascii="Times New Roman" w:hAnsi="Times New Roman"/>
          <w:b/>
          <w:bCs/>
          <w:color w:val="000000"/>
          <w:lang w:val="en-US" w:eastAsia="zh-CN"/>
        </w:rPr>
        <w:t>拓展新型贸易方式。</w:t>
      </w:r>
      <w:r>
        <w:rPr>
          <w:rFonts w:ascii="Times New Roman" w:hAnsi="Times New Roman"/>
          <w:b w:val="0"/>
          <w:bCs w:val="0"/>
          <w:color w:val="000000"/>
          <w:lang w:val="en-US" w:eastAsia="zh-CN"/>
        </w:rPr>
        <w:t>探索发展易货贸易，在巩固传统货物贸易基础上，探索开展涵盖货物、服务、技术及知识产权等多元标的的新型易货贸易，以规避汇率风险、优化资源配置，培育外贸竞争新优势并提升贸易灵活性。探索发展数字贸易，鼓励企业利用大数据分析深度挖掘中亚、俄罗斯等目标市场需求，运用直播电商等数字化手段推广本地特色产品，精准调整产品结构与营销策略，提升外贸全链条的数字化应用水平。</w:t>
      </w:r>
    </w:p>
    <w:p w14:paraId="7AB46C40">
      <w:pPr>
        <w:pStyle w:val="7"/>
        <w:keepNext w:val="0"/>
        <w:keepLines w:val="0"/>
        <w:pageBreakBefore w:val="0"/>
        <w:kinsoku/>
        <w:wordWrap/>
        <w:topLinePunct w:val="0"/>
        <w:autoSpaceDE/>
        <w:autoSpaceDN/>
        <w:bidi w:val="0"/>
        <w:snapToGrid/>
        <w:spacing w:line="560" w:lineRule="exact"/>
        <w:rPr>
          <w:lang w:val="en-US" w:eastAsia="zh-CN"/>
        </w:rPr>
      </w:pPr>
      <w:bookmarkStart w:id="37" w:name="_Toc14019"/>
      <w:bookmarkStart w:id="38" w:name="_Toc24353"/>
      <w:bookmarkStart w:id="39" w:name="_Toc23786"/>
      <w:bookmarkStart w:id="40" w:name="_Toc12827"/>
      <w:bookmarkStart w:id="41" w:name="_Toc25687"/>
      <w:bookmarkStart w:id="42" w:name="_Toc14005"/>
      <w:bookmarkStart w:id="43" w:name="_Toc31306"/>
      <w:r>
        <w:rPr>
          <w:lang w:val="en-US" w:eastAsia="zh-CN"/>
        </w:rPr>
        <w:t>第三节 发挥平台集聚优势</w:t>
      </w:r>
      <w:bookmarkEnd w:id="37"/>
      <w:bookmarkEnd w:id="38"/>
      <w:bookmarkEnd w:id="39"/>
      <w:bookmarkEnd w:id="40"/>
      <w:bookmarkEnd w:id="41"/>
      <w:bookmarkEnd w:id="42"/>
      <w:bookmarkEnd w:id="43"/>
    </w:p>
    <w:p w14:paraId="44E20891">
      <w:pPr>
        <w:keepNext w:val="0"/>
        <w:keepLines w:val="0"/>
        <w:pageBreakBefore w:val="0"/>
        <w:widowControl/>
        <w:kinsoku/>
        <w:wordWrap/>
        <w:overflowPunct/>
        <w:topLinePunct w:val="0"/>
        <w:autoSpaceDE/>
        <w:autoSpaceDN/>
        <w:bidi w:val="0"/>
        <w:snapToGrid/>
        <w:spacing w:line="560" w:lineRule="exact"/>
        <w:ind w:firstLine="643" w:firstLineChars="200"/>
        <w:rPr>
          <w:rFonts w:ascii="Times New Roman" w:hAnsi="Times New Roman"/>
          <w:b/>
          <w:bCs/>
          <w:color w:val="000000"/>
          <w:kern w:val="2"/>
          <w:sz w:val="32"/>
          <w:szCs w:val="32"/>
          <w:lang w:val="en-US" w:eastAsia="zh-CN" w:bidi="ar-SA"/>
        </w:rPr>
      </w:pPr>
      <w:r>
        <w:rPr>
          <w:rFonts w:ascii="Times New Roman" w:hAnsi="Times New Roman"/>
          <w:b/>
          <w:bCs/>
          <w:color w:val="000000"/>
          <w:kern w:val="2"/>
          <w:sz w:val="32"/>
          <w:szCs w:val="32"/>
          <w:lang w:val="en-US" w:eastAsia="zh-CN" w:bidi="ar-SA"/>
        </w:rPr>
        <w:t>深化跨区域协同</w:t>
      </w:r>
      <w:r>
        <w:rPr>
          <w:rFonts w:hint="eastAsia"/>
          <w:b/>
          <w:bCs/>
          <w:color w:val="000000"/>
          <w:kern w:val="2"/>
          <w:sz w:val="32"/>
          <w:szCs w:val="32"/>
          <w:lang w:val="en-US" w:eastAsia="zh-CN" w:bidi="ar-SA"/>
        </w:rPr>
        <w:t>合作</w:t>
      </w:r>
      <w:r>
        <w:rPr>
          <w:rFonts w:ascii="Times New Roman" w:hAnsi="Times New Roman"/>
          <w:b/>
          <w:bCs/>
          <w:color w:val="000000"/>
          <w:kern w:val="2"/>
          <w:sz w:val="32"/>
          <w:szCs w:val="32"/>
          <w:lang w:val="en-US" w:eastAsia="zh-CN" w:bidi="ar-SA"/>
        </w:rPr>
        <w:t>。</w:t>
      </w:r>
      <w:r>
        <w:rPr>
          <w:rFonts w:hint="eastAsia" w:ascii="Times New Roman" w:hAnsi="Times New Roman"/>
          <w:b w:val="0"/>
          <w:bCs w:val="0"/>
          <w:color w:val="000000"/>
          <w:lang w:val="en-US" w:eastAsia="zh-CN"/>
        </w:rPr>
        <w:t>高标准建设阿拉山口重点开发开放试验区五师片区、自贸试验区博州（五师）联动创新区，</w:t>
      </w:r>
      <w:r>
        <w:rPr>
          <w:rFonts w:ascii="Times New Roman" w:hAnsi="Times New Roman"/>
          <w:b w:val="0"/>
          <w:bCs w:val="0"/>
          <w:color w:val="000000"/>
          <w:lang w:val="en-US" w:eastAsia="zh-CN"/>
        </w:rPr>
        <w:t>依托双河</w:t>
      </w:r>
      <w:r>
        <w:rPr>
          <w:rFonts w:hint="eastAsia" w:ascii="Times New Roman" w:hAnsi="Times New Roman"/>
          <w:b w:val="0"/>
          <w:bCs w:val="0"/>
          <w:color w:val="000000"/>
          <w:lang w:val="en-US" w:eastAsia="zh-CN"/>
        </w:rPr>
        <w:t>经</w:t>
      </w:r>
      <w:r>
        <w:rPr>
          <w:rFonts w:ascii="Times New Roman" w:hAnsi="Times New Roman"/>
          <w:b w:val="0"/>
          <w:bCs w:val="0"/>
          <w:color w:val="000000"/>
          <w:lang w:val="en-US" w:eastAsia="zh-CN"/>
        </w:rPr>
        <w:t>开区推动兵地共建矿产品保税仓储基地与国家</w:t>
      </w:r>
      <w:r>
        <w:rPr>
          <w:rFonts w:hint="eastAsia" w:ascii="Times New Roman" w:hAnsi="Times New Roman"/>
          <w:b w:val="0"/>
          <w:bCs w:val="0"/>
          <w:color w:val="000000"/>
          <w:lang w:val="en-US" w:eastAsia="zh-CN"/>
        </w:rPr>
        <w:t>战略性矿产资源</w:t>
      </w:r>
      <w:r>
        <w:rPr>
          <w:rFonts w:ascii="Times New Roman" w:hAnsi="Times New Roman"/>
          <w:b w:val="0"/>
          <w:bCs w:val="0"/>
          <w:color w:val="000000"/>
          <w:lang w:val="en-US" w:eastAsia="zh-CN"/>
        </w:rPr>
        <w:t>进口加工储备基地，建立联动招商机制。复制推广全国自贸试验区成熟经验，在投资促进、贸易便利化、金融创新等领域推出一批制度型开放举措，提升区域开放型经济发展水平。强化兵地融合与区域联动，加强与第四师及博州的深度协同，共同做大进料加工产业，强化政策互鉴与产业对接，利用双口岸联动优势，推动企业享受更多政策红利。</w:t>
      </w:r>
    </w:p>
    <w:p w14:paraId="4C809B2E">
      <w:pPr>
        <w:keepNext w:val="0"/>
        <w:keepLines w:val="0"/>
        <w:pageBreakBefore w:val="0"/>
        <w:widowControl w:val="0"/>
        <w:kinsoku/>
        <w:wordWrap/>
        <w:overflowPunct w:val="0"/>
        <w:topLinePunct w:val="0"/>
        <w:autoSpaceDE/>
        <w:autoSpaceDN/>
        <w:bidi w:val="0"/>
        <w:snapToGrid/>
        <w:spacing w:line="560" w:lineRule="exact"/>
        <w:ind w:firstLine="643" w:firstLineChars="200"/>
        <w:rPr>
          <w:rFonts w:ascii="Times New Roman" w:hAnsi="Times New Roman"/>
          <w:b/>
          <w:bCs/>
          <w:color w:val="000000"/>
          <w:kern w:val="2"/>
          <w:sz w:val="32"/>
          <w:szCs w:val="32"/>
          <w:lang w:val="en-US" w:eastAsia="zh-CN" w:bidi="ar-SA"/>
        </w:rPr>
      </w:pPr>
      <w:r>
        <w:rPr>
          <w:rFonts w:ascii="Times New Roman" w:hAnsi="Times New Roman"/>
          <w:b/>
          <w:bCs/>
          <w:color w:val="000000"/>
          <w:kern w:val="2"/>
          <w:sz w:val="32"/>
          <w:szCs w:val="32"/>
          <w:lang w:val="en-US" w:eastAsia="zh-CN" w:bidi="ar-SA"/>
        </w:rPr>
        <w:t>用活外贸发展载体。</w:t>
      </w:r>
      <w:r>
        <w:rPr>
          <w:rFonts w:ascii="Times New Roman" w:hAnsi="Times New Roman"/>
          <w:b w:val="0"/>
          <w:bCs w:val="0"/>
          <w:color w:val="000000"/>
          <w:kern w:val="2"/>
          <w:sz w:val="32"/>
          <w:szCs w:val="32"/>
          <w:lang w:val="en-US" w:eastAsia="zh-CN" w:bidi="ar-SA"/>
        </w:rPr>
        <w:t>提升现有平台运营水平，推动跨境电商监管中心、双河公用型保税仓库、双河铁路专用线等现有平台高效运营，充分释放其在保税仓储、转关贸易等方面的高附加值服务效能，为企业降低运营成本、提升贸易效率提供支撑。拓展平台功能布局，发挥出口农产品备案基地、智能温室等生产载体作用，稳定优质农产品供应链。吸引更多优质企业入驻阿拉山口综保区兵地融合产业园，开展牛副、粮油、</w:t>
      </w:r>
      <w:r>
        <w:rPr>
          <w:rFonts w:hint="eastAsia"/>
          <w:b w:val="0"/>
          <w:bCs w:val="0"/>
          <w:color w:val="000000"/>
          <w:kern w:val="2"/>
          <w:sz w:val="32"/>
          <w:szCs w:val="32"/>
          <w:lang w:val="en-US" w:eastAsia="zh-CN" w:bidi="ar-SA"/>
        </w:rPr>
        <w:t>电解</w:t>
      </w:r>
      <w:r>
        <w:rPr>
          <w:rFonts w:ascii="Times New Roman" w:hAnsi="Times New Roman"/>
          <w:b w:val="0"/>
          <w:bCs w:val="0"/>
          <w:color w:val="000000"/>
          <w:kern w:val="2"/>
          <w:sz w:val="32"/>
          <w:szCs w:val="32"/>
          <w:lang w:val="en-US" w:eastAsia="zh-CN" w:bidi="ar-SA"/>
        </w:rPr>
        <w:t>铜、铬铁矿、电解铝等保税加工，提升外贸载体的综合服务能力和产业集聚效应。</w:t>
      </w:r>
    </w:p>
    <w:p w14:paraId="4FE277DB">
      <w:pPr>
        <w:keepNext w:val="0"/>
        <w:keepLines w:val="0"/>
        <w:pageBreakBefore w:val="0"/>
        <w:widowControl w:val="0"/>
        <w:kinsoku/>
        <w:wordWrap/>
        <w:overflowPunct w:val="0"/>
        <w:topLinePunct w:val="0"/>
        <w:autoSpaceDE/>
        <w:autoSpaceDN/>
        <w:bidi w:val="0"/>
        <w:snapToGrid/>
        <w:spacing w:line="560" w:lineRule="exact"/>
        <w:ind w:firstLine="641"/>
        <w:rPr>
          <w:rFonts w:ascii="Times New Roman" w:hAnsi="Times New Roman"/>
          <w:b/>
          <w:bCs/>
          <w:color w:val="000000"/>
          <w:kern w:val="2"/>
          <w:sz w:val="32"/>
          <w:szCs w:val="32"/>
          <w:lang w:val="en-US" w:eastAsia="zh-CN" w:bidi="ar-SA"/>
        </w:rPr>
      </w:pPr>
      <w:r>
        <w:rPr>
          <w:rFonts w:ascii="Times New Roman" w:hAnsi="Times New Roman"/>
          <w:b/>
          <w:bCs/>
          <w:color w:val="000000"/>
          <w:kern w:val="2"/>
          <w:sz w:val="32"/>
          <w:szCs w:val="32"/>
          <w:lang w:val="en-US" w:eastAsia="zh-CN" w:bidi="ar-SA"/>
        </w:rPr>
        <w:t>打通国际物流通道。</w:t>
      </w:r>
      <w:r>
        <w:rPr>
          <w:rFonts w:ascii="Times New Roman" w:hAnsi="Times New Roman"/>
          <w:b w:val="0"/>
          <w:bCs w:val="0"/>
          <w:color w:val="000000"/>
          <w:kern w:val="2"/>
          <w:sz w:val="32"/>
          <w:szCs w:val="32"/>
          <w:lang w:val="en-US" w:eastAsia="zh-CN" w:bidi="ar-SA"/>
        </w:rPr>
        <w:t>完善基础设施衔接，高效运营双河铁路专用线，推动与阿拉山口口岸、中欧班列实现基础设施与运营服务无缝衔接，强化物流保障能力。拓展多式联运服务，积极对接援疆省市机场、空港，积极拓展国际</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水公铁</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多式联运服务，有效整合周边地区进出口货源，提升货物运输效率。引进大型综合物流企业，提升专业运营能力，优化物流资源配置。积极布局海外仓，引导师市重点企业联合疆外大型企业、平台等在</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一带一路</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沿线国家合作共建公共海外仓，丰富海外仓功能，建设集咨询展示、仓储物流、售后维修于一体的海外仓公共服务体系，支持建设</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边境仓+海外仓</w:t>
      </w:r>
      <w:r>
        <w:rPr>
          <w:rFonts w:hint="eastAsia" w:ascii="Times New Roman" w:hAnsi="Times New Roman"/>
          <w:b w:val="0"/>
          <w:bCs w:val="0"/>
          <w:color w:val="000000"/>
          <w:kern w:val="2"/>
          <w:sz w:val="32"/>
          <w:szCs w:val="32"/>
          <w:lang w:val="en-US" w:eastAsia="zh-CN" w:bidi="ar-SA"/>
        </w:rPr>
        <w:t>”</w:t>
      </w:r>
      <w:r>
        <w:rPr>
          <w:rFonts w:ascii="Times New Roman" w:hAnsi="Times New Roman"/>
          <w:b w:val="0"/>
          <w:bCs w:val="0"/>
          <w:color w:val="000000"/>
          <w:kern w:val="2"/>
          <w:sz w:val="32"/>
          <w:szCs w:val="32"/>
          <w:lang w:val="en-US" w:eastAsia="zh-CN" w:bidi="ar-SA"/>
        </w:rPr>
        <w:t>联动体系。</w:t>
      </w:r>
    </w:p>
    <w:p w14:paraId="2DA46E6A">
      <w:pPr>
        <w:pStyle w:val="7"/>
        <w:keepNext w:val="0"/>
        <w:keepLines w:val="0"/>
        <w:pageBreakBefore w:val="0"/>
        <w:widowControl w:val="0"/>
        <w:kinsoku/>
        <w:wordWrap/>
        <w:topLinePunct w:val="0"/>
        <w:autoSpaceDE/>
        <w:autoSpaceDN/>
        <w:bidi w:val="0"/>
        <w:snapToGrid/>
        <w:spacing w:line="560" w:lineRule="exact"/>
        <w:rPr>
          <w:lang w:val="en-US" w:eastAsia="zh-CN"/>
        </w:rPr>
      </w:pPr>
      <w:bookmarkStart w:id="44" w:name="_Toc22035"/>
      <w:bookmarkStart w:id="45" w:name="_Toc6398"/>
      <w:bookmarkStart w:id="46" w:name="_Toc550"/>
      <w:bookmarkStart w:id="47" w:name="_Toc24590"/>
      <w:bookmarkStart w:id="48" w:name="_Toc20565"/>
      <w:bookmarkStart w:id="49" w:name="_Toc24305"/>
      <w:bookmarkStart w:id="50" w:name="_Toc19715"/>
      <w:r>
        <w:rPr>
          <w:lang w:val="en-US" w:eastAsia="zh-CN"/>
        </w:rPr>
        <w:t xml:space="preserve">第四节 </w:t>
      </w:r>
      <w:bookmarkEnd w:id="44"/>
      <w:bookmarkEnd w:id="45"/>
      <w:bookmarkEnd w:id="46"/>
      <w:bookmarkEnd w:id="47"/>
      <w:bookmarkEnd w:id="48"/>
      <w:bookmarkEnd w:id="49"/>
      <w:r>
        <w:rPr>
          <w:lang w:val="en-US" w:eastAsia="zh-CN"/>
        </w:rPr>
        <w:t>深化对外交流合作</w:t>
      </w:r>
      <w:bookmarkEnd w:id="50"/>
    </w:p>
    <w:p w14:paraId="170C1375">
      <w:pPr>
        <w:keepNext w:val="0"/>
        <w:keepLines w:val="0"/>
        <w:pageBreakBefore w:val="0"/>
        <w:widowControl w:val="0"/>
        <w:kinsoku/>
        <w:wordWrap/>
        <w:topLinePunct w:val="0"/>
        <w:autoSpaceDE/>
        <w:autoSpaceDN/>
        <w:bidi w:val="0"/>
        <w:snapToGrid/>
        <w:spacing w:line="560" w:lineRule="exact"/>
        <w:rPr>
          <w:rFonts w:ascii="Times New Roman" w:hAnsi="Times New Roman"/>
          <w:b/>
          <w:bCs/>
          <w:color w:val="000000"/>
        </w:rPr>
      </w:pPr>
      <w:r>
        <w:rPr>
          <w:rFonts w:ascii="Times New Roman" w:hAnsi="Times New Roman"/>
          <w:b/>
          <w:bCs/>
          <w:color w:val="000000"/>
          <w:lang w:eastAsia="zh-CN"/>
        </w:rPr>
        <w:t>推进与周边国家双向合作。</w:t>
      </w:r>
      <w:r>
        <w:rPr>
          <w:rFonts w:ascii="Times New Roman" w:hAnsi="Times New Roman"/>
          <w:b w:val="0"/>
          <w:bCs w:val="0"/>
          <w:color w:val="000000"/>
        </w:rPr>
        <w:t>拓展多元投资领域</w:t>
      </w:r>
      <w:r>
        <w:rPr>
          <w:rFonts w:ascii="Times New Roman" w:hAnsi="Times New Roman"/>
          <w:b w:val="0"/>
          <w:bCs w:val="0"/>
          <w:color w:val="000000"/>
          <w:lang w:eastAsia="zh-CN"/>
        </w:rPr>
        <w:t>，与周边国家相关邻近州、市、县建立友好城市关系，</w:t>
      </w:r>
      <w:r>
        <w:rPr>
          <w:rFonts w:ascii="Times New Roman" w:hAnsi="Times New Roman"/>
          <w:b w:val="0"/>
          <w:bCs w:val="0"/>
          <w:color w:val="000000"/>
        </w:rPr>
        <w:t>深化与中亚国家在能</w:t>
      </w:r>
      <w:r>
        <w:rPr>
          <w:rFonts w:ascii="Times New Roman" w:hAnsi="Times New Roman"/>
          <w:b w:val="0"/>
          <w:bCs w:val="0"/>
          <w:color w:val="000000"/>
          <w:lang w:val="en-US" w:eastAsia="zh-CN"/>
        </w:rPr>
        <w:t>源、</w:t>
      </w:r>
      <w:r>
        <w:rPr>
          <w:rFonts w:ascii="Times New Roman" w:hAnsi="Times New Roman"/>
          <w:b w:val="0"/>
          <w:bCs w:val="0"/>
          <w:color w:val="000000"/>
        </w:rPr>
        <w:t>矿</w:t>
      </w:r>
      <w:r>
        <w:rPr>
          <w:rFonts w:ascii="Times New Roman" w:hAnsi="Times New Roman"/>
          <w:b w:val="0"/>
          <w:bCs w:val="0"/>
          <w:color w:val="000000"/>
          <w:lang w:val="en-US" w:eastAsia="zh-CN"/>
        </w:rPr>
        <w:t>产</w:t>
      </w:r>
      <w:r>
        <w:rPr>
          <w:rFonts w:ascii="Times New Roman" w:hAnsi="Times New Roman"/>
          <w:b w:val="0"/>
          <w:bCs w:val="0"/>
          <w:color w:val="000000"/>
        </w:rPr>
        <w:t>、农业等优势资源领域</w:t>
      </w:r>
      <w:r>
        <w:rPr>
          <w:rFonts w:ascii="Times New Roman" w:hAnsi="Times New Roman"/>
          <w:b w:val="0"/>
          <w:bCs w:val="0"/>
          <w:color w:val="000000"/>
          <w:lang w:eastAsia="zh-CN"/>
        </w:rPr>
        <w:t>全方位</w:t>
      </w:r>
      <w:r>
        <w:rPr>
          <w:rFonts w:ascii="Times New Roman" w:hAnsi="Times New Roman"/>
          <w:b w:val="0"/>
          <w:bCs w:val="0"/>
          <w:color w:val="000000"/>
        </w:rPr>
        <w:t>合作</w:t>
      </w:r>
      <w:r>
        <w:rPr>
          <w:rFonts w:ascii="Times New Roman" w:hAnsi="Times New Roman"/>
          <w:b w:val="0"/>
          <w:bCs w:val="0"/>
          <w:color w:val="000000"/>
          <w:lang w:eastAsia="zh-CN"/>
        </w:rPr>
        <w:t>，构建粮油、矿产、能源等国际商品双向流通体系</w:t>
      </w:r>
      <w:r>
        <w:rPr>
          <w:rFonts w:ascii="Times New Roman" w:hAnsi="Times New Roman"/>
          <w:b w:val="0"/>
          <w:bCs w:val="0"/>
          <w:color w:val="000000"/>
        </w:rPr>
        <w:t>。拓宽外资引入领域</w:t>
      </w:r>
      <w:r>
        <w:rPr>
          <w:rFonts w:ascii="Times New Roman" w:hAnsi="Times New Roman"/>
          <w:b w:val="0"/>
          <w:bCs w:val="0"/>
          <w:color w:val="000000"/>
          <w:lang w:eastAsia="zh-CN"/>
        </w:rPr>
        <w:t>，</w:t>
      </w:r>
      <w:r>
        <w:rPr>
          <w:rFonts w:ascii="Times New Roman" w:hAnsi="Times New Roman"/>
          <w:b w:val="0"/>
          <w:bCs w:val="0"/>
          <w:color w:val="000000"/>
        </w:rPr>
        <w:t>重点引导外资投向新能源新材料、高端制造、农产品精深加工、现代物流、跨境电商等产业。全面落实外资准入前国民待遇加负面清单管理制度，保障外资企业依法平等享受各项产业政策</w:t>
      </w:r>
      <w:r>
        <w:rPr>
          <w:rFonts w:ascii="Times New Roman" w:hAnsi="Times New Roman"/>
          <w:b w:val="0"/>
          <w:bCs w:val="0"/>
          <w:color w:val="000000"/>
          <w:lang w:eastAsia="zh-CN"/>
        </w:rPr>
        <w:t>，</w:t>
      </w:r>
      <w:r>
        <w:rPr>
          <w:rFonts w:ascii="Times New Roman" w:hAnsi="Times New Roman"/>
          <w:color w:val="000000"/>
        </w:rPr>
        <w:t>营造市场化、法治化、国际化的营商环境。建立健全跨境劳务输出服务体系，搭建劳务合作对接平台，与中亚国家企业建立稳定的劳务合作关系</w:t>
      </w:r>
      <w:r>
        <w:rPr>
          <w:rFonts w:ascii="Times New Roman" w:hAnsi="Times New Roman"/>
          <w:color w:val="000000"/>
          <w:lang w:eastAsia="zh-CN"/>
        </w:rPr>
        <w:t>。</w:t>
      </w:r>
    </w:p>
    <w:p w14:paraId="7E19C6A9">
      <w:pPr>
        <w:keepNext w:val="0"/>
        <w:keepLines w:val="0"/>
        <w:pageBreakBefore w:val="0"/>
        <w:widowControl w:val="0"/>
        <w:kinsoku/>
        <w:wordWrap/>
        <w:overflowPunct/>
        <w:topLinePunct w:val="0"/>
        <w:autoSpaceDE/>
        <w:autoSpaceDN/>
        <w:bidi w:val="0"/>
        <w:snapToGrid/>
        <w:spacing w:line="560" w:lineRule="exact"/>
        <w:rPr>
          <w:rFonts w:ascii="Times New Roman" w:hAnsi="Times New Roman"/>
          <w:b/>
          <w:bCs/>
          <w:color w:val="000000"/>
        </w:rPr>
      </w:pPr>
      <w:r>
        <w:rPr>
          <w:rFonts w:ascii="Times New Roman" w:hAnsi="Times New Roman"/>
          <w:b/>
          <w:bCs/>
          <w:color w:val="000000"/>
        </w:rPr>
        <w:t>扩大境外开发投资</w:t>
      </w:r>
      <w:r>
        <w:rPr>
          <w:rFonts w:ascii="Times New Roman" w:hAnsi="Times New Roman"/>
          <w:b/>
          <w:bCs/>
          <w:color w:val="000000"/>
          <w:lang w:eastAsia="zh-CN"/>
        </w:rPr>
        <w:t>。</w:t>
      </w:r>
      <w:r>
        <w:rPr>
          <w:rFonts w:hint="eastAsia" w:ascii="Times New Roman" w:hAnsi="Times New Roman"/>
          <w:color w:val="000000"/>
        </w:rPr>
        <w:t>推进境外农业资源开发，引导国有企业、骨干企业赴哈萨克斯坦等中亚国家及俄罗斯，开展农业资源开发合作。</w:t>
      </w:r>
      <w:r>
        <w:rPr>
          <w:rFonts w:ascii="Times New Roman" w:hAnsi="Times New Roman"/>
          <w:b w:val="0"/>
          <w:bCs w:val="0"/>
          <w:color w:val="000000"/>
        </w:rPr>
        <w:t>与中新建农牧及当地农业企业合作规模化经营境外农场，</w:t>
      </w:r>
      <w:r>
        <w:rPr>
          <w:rFonts w:ascii="Times New Roman" w:hAnsi="Times New Roman"/>
          <w:b w:val="0"/>
          <w:bCs w:val="0"/>
          <w:color w:val="000000"/>
          <w:lang w:val="en-US" w:eastAsia="zh-CN"/>
        </w:rPr>
        <w:t>推进</w:t>
      </w:r>
      <w:r>
        <w:rPr>
          <w:rFonts w:ascii="Times New Roman" w:hAnsi="Times New Roman"/>
          <w:b w:val="0"/>
          <w:bCs w:val="0"/>
          <w:color w:val="000000"/>
        </w:rPr>
        <w:t>小麦、玉米、油料等作物种植。构建产业出海生态</w:t>
      </w:r>
      <w:r>
        <w:rPr>
          <w:rFonts w:ascii="Times New Roman" w:hAnsi="Times New Roman"/>
          <w:b w:val="0"/>
          <w:bCs w:val="0"/>
          <w:color w:val="000000"/>
          <w:lang w:eastAsia="zh-CN"/>
        </w:rPr>
        <w:t>，探索</w:t>
      </w:r>
      <w:r>
        <w:rPr>
          <w:rFonts w:hint="eastAsia" w:ascii="Times New Roman" w:hAnsi="Times New Roman"/>
          <w:b w:val="0"/>
          <w:bCs w:val="0"/>
          <w:color w:val="000000"/>
          <w:lang w:eastAsia="zh-CN"/>
        </w:rPr>
        <w:t>“</w:t>
      </w:r>
      <w:r>
        <w:rPr>
          <w:rFonts w:ascii="Times New Roman" w:hAnsi="Times New Roman"/>
          <w:b w:val="0"/>
          <w:bCs w:val="0"/>
          <w:color w:val="000000"/>
          <w:lang w:eastAsia="zh-CN"/>
        </w:rPr>
        <w:t>两国双园</w:t>
      </w:r>
      <w:r>
        <w:rPr>
          <w:rFonts w:hint="eastAsia" w:ascii="Times New Roman" w:hAnsi="Times New Roman"/>
          <w:b w:val="0"/>
          <w:bCs w:val="0"/>
          <w:color w:val="000000"/>
          <w:lang w:eastAsia="zh-CN"/>
        </w:rPr>
        <w:t>”</w:t>
      </w:r>
      <w:r>
        <w:rPr>
          <w:rFonts w:ascii="Times New Roman" w:hAnsi="Times New Roman"/>
          <w:b w:val="0"/>
          <w:bCs w:val="0"/>
          <w:color w:val="000000"/>
          <w:lang w:eastAsia="zh-CN"/>
        </w:rPr>
        <w:t>模式</w:t>
      </w:r>
      <w:r>
        <w:rPr>
          <w:rFonts w:ascii="Times New Roman" w:hAnsi="Times New Roman"/>
          <w:b w:val="0"/>
          <w:bCs w:val="0"/>
          <w:color w:val="000000"/>
        </w:rPr>
        <w:t>，鼓励企业</w:t>
      </w:r>
      <w:r>
        <w:rPr>
          <w:rFonts w:hint="eastAsia" w:ascii="Times New Roman" w:hAnsi="Times New Roman"/>
          <w:b w:val="0"/>
          <w:bCs w:val="0"/>
          <w:color w:val="000000"/>
          <w:lang w:eastAsia="zh-CN"/>
        </w:rPr>
        <w:t>“</w:t>
      </w:r>
      <w:r>
        <w:rPr>
          <w:rFonts w:ascii="Times New Roman" w:hAnsi="Times New Roman"/>
          <w:b w:val="0"/>
          <w:bCs w:val="0"/>
          <w:color w:val="000000"/>
        </w:rPr>
        <w:t>抱团出海</w:t>
      </w:r>
      <w:r>
        <w:rPr>
          <w:rFonts w:hint="eastAsia" w:ascii="Times New Roman" w:hAnsi="Times New Roman"/>
          <w:b w:val="0"/>
          <w:bCs w:val="0"/>
          <w:color w:val="000000"/>
          <w:lang w:eastAsia="zh-CN"/>
        </w:rPr>
        <w:t>”</w:t>
      </w:r>
      <w:r>
        <w:rPr>
          <w:rFonts w:ascii="Times New Roman" w:hAnsi="Times New Roman"/>
          <w:b w:val="0"/>
          <w:bCs w:val="0"/>
          <w:color w:val="000000"/>
        </w:rPr>
        <w:t>，支持农业机械、滴灌设备、农膜、种子等关联企业共同开拓海外市场，</w:t>
      </w:r>
      <w:r>
        <w:rPr>
          <w:rFonts w:ascii="Times New Roman" w:hAnsi="Times New Roman"/>
          <w:b w:val="0"/>
          <w:bCs w:val="0"/>
          <w:color w:val="000000"/>
          <w:lang w:eastAsia="zh-CN"/>
        </w:rPr>
        <w:t>形成</w:t>
      </w:r>
      <w:r>
        <w:rPr>
          <w:rFonts w:hint="eastAsia" w:ascii="Times New Roman" w:hAnsi="Times New Roman"/>
          <w:b w:val="0"/>
          <w:bCs w:val="0"/>
          <w:color w:val="000000"/>
          <w:lang w:eastAsia="zh-CN"/>
        </w:rPr>
        <w:t>“</w:t>
      </w:r>
      <w:r>
        <w:rPr>
          <w:rFonts w:ascii="Times New Roman" w:hAnsi="Times New Roman"/>
          <w:b w:val="0"/>
          <w:bCs w:val="0"/>
          <w:color w:val="000000"/>
          <w:lang w:eastAsia="zh-CN"/>
        </w:rPr>
        <w:t>技术</w:t>
      </w:r>
      <w:r>
        <w:rPr>
          <w:rFonts w:ascii="Times New Roman" w:hAnsi="Times New Roman"/>
          <w:b w:val="0"/>
          <w:bCs w:val="0"/>
          <w:color w:val="000000"/>
          <w:lang w:val="en-US" w:eastAsia="zh-CN"/>
        </w:rPr>
        <w:t>+产能</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双输出模式</w:t>
      </w:r>
      <w:r>
        <w:rPr>
          <w:rFonts w:ascii="Times New Roman" w:hAnsi="Times New Roman"/>
          <w:b w:val="0"/>
          <w:bCs w:val="0"/>
          <w:color w:val="000000"/>
        </w:rPr>
        <w:t>。推动双河城建集团深化与央</w:t>
      </w:r>
      <w:r>
        <w:rPr>
          <w:rFonts w:ascii="Times New Roman" w:hAnsi="Times New Roman"/>
          <w:b w:val="0"/>
          <w:bCs w:val="0"/>
          <w:color w:val="000000"/>
          <w:lang w:val="en-US" w:eastAsia="zh-CN"/>
        </w:rPr>
        <w:t>国</w:t>
      </w:r>
      <w:r>
        <w:rPr>
          <w:rFonts w:ascii="Times New Roman" w:hAnsi="Times New Roman"/>
          <w:b w:val="0"/>
          <w:bCs w:val="0"/>
          <w:color w:val="000000"/>
        </w:rPr>
        <w:t>企、兵团龙头企业战略合作，</w:t>
      </w:r>
      <w:r>
        <w:rPr>
          <w:rFonts w:ascii="Times New Roman" w:hAnsi="Times New Roman"/>
          <w:b w:val="0"/>
          <w:bCs w:val="0"/>
          <w:color w:val="000000"/>
          <w:lang w:val="en-US" w:eastAsia="zh-CN"/>
        </w:rPr>
        <w:t>积极</w:t>
      </w:r>
      <w:r>
        <w:rPr>
          <w:rFonts w:ascii="Times New Roman" w:hAnsi="Times New Roman"/>
          <w:b w:val="0"/>
          <w:bCs w:val="0"/>
          <w:color w:val="000000"/>
        </w:rPr>
        <w:t>开拓中亚地区基建市场，聚焦水电站、公路、市政工程等优势领域，拓展境外工程承包业务规模</w:t>
      </w:r>
      <w:r>
        <w:rPr>
          <w:rFonts w:ascii="Times New Roman" w:hAnsi="Times New Roman"/>
          <w:b w:val="0"/>
          <w:bCs w:val="0"/>
          <w:color w:val="000000"/>
          <w:lang w:eastAsia="zh-CN"/>
        </w:rPr>
        <w:t>。</w:t>
      </w:r>
    </w:p>
    <w:p w14:paraId="7E08E38D">
      <w:pPr>
        <w:keepNext w:val="0"/>
        <w:keepLines w:val="0"/>
        <w:pageBreakBefore w:val="0"/>
        <w:widowControl w:val="0"/>
        <w:kinsoku/>
        <w:wordWrap/>
        <w:overflowPunct/>
        <w:topLinePunct w:val="0"/>
        <w:autoSpaceDE/>
        <w:autoSpaceDN/>
        <w:bidi w:val="0"/>
        <w:snapToGrid/>
        <w:spacing w:line="560" w:lineRule="exact"/>
        <w:rPr>
          <w:rFonts w:ascii="Times New Roman" w:hAnsi="Times New Roman"/>
          <w:b/>
          <w:bCs/>
          <w:color w:val="000000"/>
        </w:rPr>
      </w:pPr>
      <w:r>
        <w:rPr>
          <w:rFonts w:ascii="Times New Roman" w:hAnsi="Times New Roman"/>
          <w:b/>
          <w:bCs/>
          <w:color w:val="000000"/>
        </w:rPr>
        <w:t>强化跨境旅游合作</w:t>
      </w:r>
      <w:r>
        <w:rPr>
          <w:rFonts w:ascii="Times New Roman" w:hAnsi="Times New Roman"/>
          <w:b/>
          <w:bCs/>
          <w:color w:val="000000"/>
          <w:lang w:eastAsia="zh-CN"/>
        </w:rPr>
        <w:t>。</w:t>
      </w:r>
      <w:r>
        <w:rPr>
          <w:rFonts w:ascii="Times New Roman" w:hAnsi="Times New Roman"/>
          <w:b w:val="0"/>
          <w:bCs w:val="0"/>
          <w:color w:val="000000"/>
        </w:rPr>
        <w:t>打造跨境旅游产品体系</w:t>
      </w:r>
      <w:r>
        <w:rPr>
          <w:rFonts w:ascii="Times New Roman" w:hAnsi="Times New Roman"/>
          <w:b w:val="0"/>
          <w:bCs w:val="0"/>
          <w:color w:val="000000"/>
          <w:lang w:eastAsia="zh-CN"/>
        </w:rPr>
        <w:t>，</w:t>
      </w:r>
      <w:r>
        <w:rPr>
          <w:rFonts w:ascii="Times New Roman" w:hAnsi="Times New Roman"/>
          <w:b w:val="0"/>
          <w:bCs w:val="0"/>
          <w:color w:val="000000"/>
        </w:rPr>
        <w:t>依托</w:t>
      </w:r>
      <w:r>
        <w:rPr>
          <w:rFonts w:hint="eastAsia" w:ascii="Times New Roman" w:hAnsi="Times New Roman"/>
          <w:b w:val="0"/>
          <w:bCs w:val="0"/>
          <w:color w:val="000000"/>
          <w:lang w:eastAsia="zh-CN"/>
        </w:rPr>
        <w:t>“</w:t>
      </w:r>
      <w:r>
        <w:rPr>
          <w:rFonts w:ascii="Times New Roman" w:hAnsi="Times New Roman"/>
          <w:b w:val="0"/>
          <w:bCs w:val="0"/>
          <w:color w:val="000000"/>
        </w:rPr>
        <w:t>古道温泉—‘五带’—夏尔希里</w:t>
      </w:r>
      <w:r>
        <w:rPr>
          <w:rFonts w:ascii="Times New Roman" w:hAnsi="Times New Roman"/>
          <w:b w:val="0"/>
          <w:bCs w:val="0"/>
          <w:color w:val="000000"/>
          <w:lang w:eastAsia="zh-CN"/>
        </w:rPr>
        <w:t>、艾比湖</w:t>
      </w:r>
      <w:r>
        <w:rPr>
          <w:rFonts w:hint="eastAsia" w:ascii="Times New Roman" w:hAnsi="Times New Roman"/>
          <w:b w:val="0"/>
          <w:bCs w:val="0"/>
          <w:color w:val="000000"/>
          <w:lang w:eastAsia="zh-CN"/>
        </w:rPr>
        <w:t>”</w:t>
      </w:r>
      <w:r>
        <w:rPr>
          <w:rFonts w:ascii="Times New Roman" w:hAnsi="Times New Roman"/>
          <w:b w:val="0"/>
          <w:bCs w:val="0"/>
          <w:color w:val="000000"/>
        </w:rPr>
        <w:t>文旅</w:t>
      </w:r>
      <w:r>
        <w:rPr>
          <w:rFonts w:ascii="Times New Roman" w:hAnsi="Times New Roman"/>
          <w:b w:val="0"/>
          <w:bCs w:val="0"/>
          <w:color w:val="000000"/>
          <w:lang w:eastAsia="zh-CN"/>
        </w:rPr>
        <w:t>之城建设</w:t>
      </w:r>
      <w:r>
        <w:rPr>
          <w:rFonts w:ascii="Times New Roman" w:hAnsi="Times New Roman"/>
          <w:b w:val="0"/>
          <w:bCs w:val="0"/>
          <w:color w:val="000000"/>
        </w:rPr>
        <w:t>，充分挖掘红色文化、军垦文化及生态康养资源，打造集康养休闲、自然观光、边境体验于一体的跨境旅游产品。利用中哈</w:t>
      </w:r>
      <w:r>
        <w:rPr>
          <w:rFonts w:hint="eastAsia" w:ascii="Times New Roman" w:hAnsi="Times New Roman"/>
          <w:b w:val="0"/>
          <w:bCs w:val="0"/>
          <w:color w:val="000000"/>
          <w:lang w:eastAsia="zh-CN"/>
        </w:rPr>
        <w:t>“</w:t>
      </w:r>
      <w:r>
        <w:rPr>
          <w:rFonts w:ascii="Times New Roman" w:hAnsi="Times New Roman"/>
          <w:b w:val="0"/>
          <w:bCs w:val="0"/>
          <w:color w:val="000000"/>
        </w:rPr>
        <w:t>30日免签</w:t>
      </w:r>
      <w:r>
        <w:rPr>
          <w:rFonts w:hint="eastAsia" w:ascii="Times New Roman" w:hAnsi="Times New Roman"/>
          <w:b w:val="0"/>
          <w:bCs w:val="0"/>
          <w:color w:val="000000"/>
          <w:lang w:eastAsia="zh-CN"/>
        </w:rPr>
        <w:t>”</w:t>
      </w:r>
      <w:r>
        <w:rPr>
          <w:rFonts w:ascii="Times New Roman" w:hAnsi="Times New Roman"/>
          <w:b w:val="0"/>
          <w:bCs w:val="0"/>
          <w:color w:val="000000"/>
        </w:rPr>
        <w:t>政策红利，加快建设边境旅游重要中转集散地，完善景区交通接驳、住宿餐饮、导览服务等配套设施。深化旅游市场联动</w:t>
      </w:r>
      <w:r>
        <w:rPr>
          <w:rFonts w:ascii="Times New Roman" w:hAnsi="Times New Roman"/>
          <w:b w:val="0"/>
          <w:bCs w:val="0"/>
          <w:color w:val="000000"/>
          <w:lang w:eastAsia="zh-CN"/>
        </w:rPr>
        <w:t>，</w:t>
      </w:r>
      <w:r>
        <w:rPr>
          <w:rFonts w:ascii="Times New Roman" w:hAnsi="Times New Roman"/>
          <w:b w:val="0"/>
          <w:bCs w:val="0"/>
          <w:color w:val="000000"/>
        </w:rPr>
        <w:t>主动融入阿拉山口跨</w:t>
      </w:r>
      <w:r>
        <w:rPr>
          <w:rFonts w:ascii="Times New Roman" w:hAnsi="Times New Roman"/>
          <w:b w:val="0"/>
          <w:bCs w:val="0"/>
          <w:color w:val="000000"/>
          <w:lang w:eastAsia="zh-CN"/>
        </w:rPr>
        <w:t>境旅</w:t>
      </w:r>
      <w:r>
        <w:rPr>
          <w:rFonts w:ascii="Times New Roman" w:hAnsi="Times New Roman"/>
          <w:b w:val="0"/>
          <w:bCs w:val="0"/>
          <w:color w:val="000000"/>
        </w:rPr>
        <w:t>游发展格局，加强与哈萨克斯坦旅游部门、企业的合作，搭建跨境旅游合作平台。</w:t>
      </w:r>
    </w:p>
    <w:p w14:paraId="4AFBCEF4">
      <w:pPr>
        <w:keepNext w:val="0"/>
        <w:keepLines w:val="0"/>
        <w:pageBreakBefore w:val="0"/>
        <w:widowControl w:val="0"/>
        <w:kinsoku/>
        <w:wordWrap/>
        <w:overflowPunct/>
        <w:topLinePunct w:val="0"/>
        <w:autoSpaceDE/>
        <w:autoSpaceDN/>
        <w:bidi w:val="0"/>
        <w:snapToGrid/>
        <w:spacing w:line="560" w:lineRule="exact"/>
        <w:rPr>
          <w:rFonts w:ascii="Times New Roman" w:hAnsi="Times New Roman"/>
          <w:b/>
          <w:bCs/>
          <w:color w:val="000000"/>
        </w:rPr>
      </w:pPr>
      <w:r>
        <w:rPr>
          <w:rFonts w:ascii="Times New Roman" w:hAnsi="Times New Roman"/>
          <w:b/>
          <w:bCs/>
          <w:color w:val="000000"/>
        </w:rPr>
        <w:t>发展跨境服务贸易</w:t>
      </w:r>
      <w:r>
        <w:rPr>
          <w:rFonts w:ascii="Times New Roman" w:hAnsi="Times New Roman"/>
          <w:b/>
          <w:bCs/>
          <w:color w:val="000000"/>
          <w:lang w:eastAsia="zh-CN"/>
        </w:rPr>
        <w:t>。</w:t>
      </w:r>
      <w:r>
        <w:rPr>
          <w:rFonts w:ascii="Times New Roman" w:hAnsi="Times New Roman"/>
          <w:b w:val="0"/>
          <w:bCs w:val="0"/>
          <w:color w:val="000000"/>
        </w:rPr>
        <w:t>推进跨境教育合作</w:t>
      </w:r>
      <w:r>
        <w:rPr>
          <w:rFonts w:ascii="Times New Roman" w:hAnsi="Times New Roman"/>
          <w:b w:val="0"/>
          <w:bCs w:val="0"/>
          <w:color w:val="000000"/>
          <w:lang w:eastAsia="zh-CN"/>
        </w:rPr>
        <w:t>，</w:t>
      </w:r>
      <w:r>
        <w:rPr>
          <w:rFonts w:ascii="Times New Roman" w:hAnsi="Times New Roman"/>
          <w:b w:val="0"/>
          <w:bCs w:val="0"/>
          <w:color w:val="000000"/>
        </w:rPr>
        <w:t>依托双河职业技术学院，建设面向中亚的国际文化交流与职业技术培训基地。采用联合培养</w:t>
      </w:r>
      <w:r>
        <w:rPr>
          <w:rFonts w:hint="eastAsia" w:ascii="Times New Roman" w:hAnsi="Times New Roman"/>
          <w:b w:val="0"/>
          <w:bCs w:val="0"/>
          <w:color w:val="000000"/>
          <w:lang w:eastAsia="zh-CN"/>
        </w:rPr>
        <w:t>“</w:t>
      </w:r>
      <w:r>
        <w:rPr>
          <w:rFonts w:ascii="Times New Roman" w:hAnsi="Times New Roman"/>
          <w:b w:val="0"/>
          <w:bCs w:val="0"/>
          <w:color w:val="000000"/>
        </w:rPr>
        <w:t>中亚班</w:t>
      </w:r>
      <w:r>
        <w:rPr>
          <w:rFonts w:hint="eastAsia" w:ascii="Times New Roman" w:hAnsi="Times New Roman"/>
          <w:b w:val="0"/>
          <w:bCs w:val="0"/>
          <w:color w:val="000000"/>
          <w:lang w:eastAsia="zh-CN"/>
        </w:rPr>
        <w:t>”</w:t>
      </w:r>
      <w:r>
        <w:rPr>
          <w:rFonts w:ascii="Times New Roman" w:hAnsi="Times New Roman"/>
          <w:b w:val="0"/>
          <w:bCs w:val="0"/>
          <w:color w:val="000000"/>
        </w:rPr>
        <w:t>等形式，招收周边国家留学生与实习生，开展汉语教学及跨境电商、现代农业等领域的职业技能培训，并提供实习就业机会。拓展跨境医疗服务</w:t>
      </w:r>
      <w:r>
        <w:rPr>
          <w:rFonts w:ascii="Times New Roman" w:hAnsi="Times New Roman"/>
          <w:b w:val="0"/>
          <w:bCs w:val="0"/>
          <w:color w:val="000000"/>
          <w:lang w:eastAsia="zh-CN"/>
        </w:rPr>
        <w:t>，</w:t>
      </w:r>
      <w:r>
        <w:rPr>
          <w:rFonts w:ascii="Times New Roman" w:hAnsi="Times New Roman"/>
          <w:b w:val="0"/>
          <w:bCs w:val="0"/>
          <w:color w:val="000000"/>
        </w:rPr>
        <w:t>依托双河市中医医院及援疆医疗资源，加强与周边国家的医疗合作，重点推广中医药康养、康复理疗等特色服务，吸引境外患者赴师市就诊。积极探索</w:t>
      </w:r>
      <w:r>
        <w:rPr>
          <w:rFonts w:hint="eastAsia" w:ascii="Times New Roman" w:hAnsi="Times New Roman"/>
          <w:b w:val="0"/>
          <w:bCs w:val="0"/>
          <w:color w:val="000000"/>
          <w:lang w:eastAsia="zh-CN"/>
        </w:rPr>
        <w:t>“</w:t>
      </w:r>
      <w:r>
        <w:rPr>
          <w:rFonts w:ascii="Times New Roman" w:hAnsi="Times New Roman"/>
          <w:b w:val="0"/>
          <w:bCs w:val="0"/>
          <w:color w:val="000000"/>
        </w:rPr>
        <w:t>互联网+中医药</w:t>
      </w:r>
      <w:r>
        <w:rPr>
          <w:rFonts w:hint="eastAsia" w:ascii="Times New Roman" w:hAnsi="Times New Roman"/>
          <w:b w:val="0"/>
          <w:bCs w:val="0"/>
          <w:color w:val="000000"/>
          <w:lang w:eastAsia="zh-CN"/>
        </w:rPr>
        <w:t>”</w:t>
      </w:r>
      <w:r>
        <w:rPr>
          <w:rFonts w:ascii="Times New Roman" w:hAnsi="Times New Roman"/>
          <w:b w:val="0"/>
          <w:bCs w:val="0"/>
          <w:color w:val="000000"/>
        </w:rPr>
        <w:t>跨境服务贸易新模式，推动中医药服务走出去，扩大服务贸易规模。</w:t>
      </w:r>
    </w:p>
    <w:p w14:paraId="2E6FE870">
      <w:pPr>
        <w:ind w:left="0" w:leftChars="0" w:firstLine="0" w:firstLineChars="0"/>
        <w:rPr>
          <w:lang w:eastAsia="zh-CN"/>
        </w:rPr>
      </w:pP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3"/>
      </w:tblGrid>
      <w:tr w14:paraId="7DEE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dxa"/>
            <w:shd w:val="clear" w:color="auto" w:fill="D7D7D7"/>
            <w:vAlign w:val="center"/>
          </w:tcPr>
          <w:p w14:paraId="4DC35061">
            <w:pPr>
              <w:pStyle w:val="12"/>
              <w:keepNext w:val="0"/>
              <w:keepLines w:val="0"/>
              <w:pageBreakBefore w:val="0"/>
              <w:widowControl w:val="0"/>
              <w:kinsoku/>
              <w:wordWrap/>
              <w:overflowPunct/>
              <w:topLinePunct w:val="0"/>
              <w:autoSpaceDE/>
              <w:autoSpaceDN/>
              <w:bidi w:val="0"/>
              <w:snapToGrid/>
              <w:spacing w:before="157" w:after="157" w:line="240" w:lineRule="auto"/>
              <w:jc w:val="center"/>
              <w:rPr>
                <w:rFonts w:ascii="Times New Roman" w:hAnsi="Times New Roman" w:eastAsia="黑体"/>
                <w:b w:val="0"/>
                <w:bCs/>
                <w:color w:val="000000"/>
                <w:sz w:val="28"/>
                <w:szCs w:val="28"/>
                <w:u w:val="none"/>
                <w:lang w:val="en-US" w:eastAsia="zh-CN"/>
              </w:rPr>
            </w:pPr>
            <w:r>
              <w:rPr>
                <w:rFonts w:ascii="Times New Roman" w:hAnsi="Times New Roman" w:eastAsia="黑体"/>
                <w:b w:val="0"/>
                <w:bCs/>
                <w:color w:val="000000"/>
                <w:sz w:val="28"/>
                <w:szCs w:val="28"/>
                <w:u w:val="none"/>
                <w:lang w:val="en-US" w:eastAsia="zh-CN"/>
              </w:rPr>
              <w:t>专栏2</w:t>
            </w:r>
            <w:r>
              <w:rPr>
                <w:rFonts w:hint="eastAsia" w:ascii="Times New Roman" w:hAnsi="Times New Roman" w:eastAsia="黑体"/>
                <w:b w:val="0"/>
                <w:bCs/>
                <w:color w:val="000000"/>
                <w:sz w:val="28"/>
                <w:szCs w:val="28"/>
                <w:u w:val="none"/>
                <w:lang w:val="en-US" w:eastAsia="zh-CN"/>
              </w:rPr>
              <w:t xml:space="preserve"> </w:t>
            </w:r>
            <w:r>
              <w:rPr>
                <w:rFonts w:ascii="Times New Roman" w:hAnsi="Times New Roman" w:eastAsia="黑体"/>
                <w:b w:val="0"/>
                <w:bCs/>
                <w:color w:val="000000"/>
                <w:sz w:val="28"/>
                <w:szCs w:val="28"/>
                <w:u w:val="none"/>
                <w:lang w:val="en-US" w:eastAsia="zh-CN"/>
              </w:rPr>
              <w:t>外贸重点项目</w:t>
            </w:r>
          </w:p>
        </w:tc>
      </w:tr>
      <w:tr w14:paraId="7810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dxa"/>
            <w:vAlign w:val="top"/>
          </w:tcPr>
          <w:p w14:paraId="14015DAA">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1.</w:t>
            </w:r>
            <w:r>
              <w:rPr>
                <w:rFonts w:ascii="Times New Roman" w:hAnsi="Times New Roman" w:eastAsia="仿宋_GB2312"/>
                <w:sz w:val="28"/>
                <w:szCs w:val="28"/>
              </w:rPr>
              <w:t>新疆自贸试验区博州（五师）联动创新区</w:t>
            </w:r>
            <w:r>
              <w:rPr>
                <w:rFonts w:ascii="Times New Roman" w:hAnsi="Times New Roman" w:eastAsia="仿宋_GB2312"/>
                <w:sz w:val="28"/>
                <w:szCs w:val="28"/>
                <w:lang w:eastAsia="zh-CN"/>
              </w:rPr>
              <w:t>项目</w:t>
            </w:r>
          </w:p>
          <w:p w14:paraId="31BE70BF">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2.</w:t>
            </w:r>
            <w:r>
              <w:rPr>
                <w:rFonts w:hint="eastAsia" w:ascii="Times New Roman" w:hAnsi="Times New Roman" w:eastAsia="仿宋_GB2312"/>
                <w:sz w:val="28"/>
                <w:szCs w:val="28"/>
                <w:lang w:val="en-US" w:eastAsia="zh-CN"/>
              </w:rPr>
              <w:t>国家战略物资通用仓库新疆双河市项目</w:t>
            </w:r>
          </w:p>
          <w:p w14:paraId="61828B9B">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3.铜基新材料精深加工基地</w:t>
            </w:r>
          </w:p>
          <w:p w14:paraId="5CA56F98">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4.</w:t>
            </w:r>
            <w:r>
              <w:rPr>
                <w:rFonts w:ascii="Times New Roman" w:hAnsi="Times New Roman" w:eastAsia="仿宋_GB2312"/>
                <w:sz w:val="28"/>
                <w:szCs w:val="28"/>
              </w:rPr>
              <w:t>边民互市落地加工区</w:t>
            </w:r>
          </w:p>
          <w:p w14:paraId="7B3DC232">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5.中亚活畜进口检疫隔离与冷链物流基地</w:t>
            </w:r>
          </w:p>
          <w:p w14:paraId="27AC47C1">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6</w:t>
            </w:r>
            <w:r>
              <w:rPr>
                <w:rFonts w:ascii="Times New Roman" w:hAnsi="Times New Roman" w:eastAsia="仿宋_GB2312"/>
                <w:sz w:val="28"/>
                <w:szCs w:val="28"/>
              </w:rPr>
              <w:t>.</w:t>
            </w:r>
            <w:r>
              <w:rPr>
                <w:rFonts w:ascii="Times New Roman" w:hAnsi="Times New Roman" w:eastAsia="仿宋_GB2312"/>
                <w:b w:val="0"/>
                <w:bCs/>
                <w:color w:val="000000"/>
                <w:kern w:val="2"/>
                <w:sz w:val="28"/>
                <w:szCs w:val="28"/>
                <w:u w:val="none"/>
                <w:lang w:val="en-US" w:eastAsia="zh-CN" w:bidi="ar-SA"/>
              </w:rPr>
              <w:t>进口粮油加工产业园项目</w:t>
            </w:r>
          </w:p>
          <w:p w14:paraId="5413B7A4">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7.蔬菜出口基地项目</w:t>
            </w:r>
          </w:p>
          <w:p w14:paraId="75744E3A">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8.二手车及零配件出口基地项目</w:t>
            </w:r>
          </w:p>
          <w:p w14:paraId="51D270A1">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9.中亚日用消费品出口集采中心</w:t>
            </w:r>
          </w:p>
          <w:p w14:paraId="3153C4FD">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10.</w:t>
            </w:r>
            <w:r>
              <w:rPr>
                <w:rFonts w:ascii="Times New Roman" w:hAnsi="Times New Roman" w:eastAsia="仿宋_GB2312"/>
                <w:sz w:val="28"/>
                <w:szCs w:val="28"/>
              </w:rPr>
              <w:t>双河经开区物流枢纽基础建设项目</w:t>
            </w:r>
          </w:p>
          <w:p w14:paraId="0FDBB054">
            <w:pPr>
              <w:keepNext w:val="0"/>
              <w:keepLines w:val="0"/>
              <w:pageBreakBefore w:val="0"/>
              <w:widowControl/>
              <w:kinsoku/>
              <w:wordWrap/>
              <w:overflowPunct/>
              <w:topLinePunct w:val="0"/>
              <w:autoSpaceDE/>
              <w:autoSpaceDN/>
              <w:bidi w:val="0"/>
              <w:snapToGrid/>
              <w:spacing w:line="240" w:lineRule="auto"/>
              <w:jc w:val="left"/>
              <w:rPr>
                <w:rFonts w:ascii="Times New Roman" w:hAnsi="Times New Roman" w:eastAsia="仿宋_GB2312"/>
                <w:sz w:val="28"/>
                <w:szCs w:val="28"/>
                <w:lang w:val="en-US" w:eastAsia="zh-CN"/>
              </w:rPr>
            </w:pPr>
            <w:r>
              <w:rPr>
                <w:rFonts w:ascii="Times New Roman" w:hAnsi="Times New Roman" w:eastAsia="仿宋_GB2312"/>
                <w:sz w:val="28"/>
                <w:szCs w:val="28"/>
                <w:lang w:val="en-US" w:eastAsia="zh-CN"/>
              </w:rPr>
              <w:t>11.</w:t>
            </w:r>
            <w:r>
              <w:rPr>
                <w:rFonts w:ascii="Times New Roman" w:hAnsi="Times New Roman" w:eastAsia="仿宋_GB2312"/>
                <w:sz w:val="28"/>
                <w:szCs w:val="28"/>
              </w:rPr>
              <w:t>跨境电商产教融合基地</w:t>
            </w:r>
          </w:p>
          <w:p w14:paraId="2B9276D2">
            <w:pPr>
              <w:pStyle w:val="12"/>
              <w:rPr>
                <w:rFonts w:hint="eastAsia"/>
                <w:sz w:val="28"/>
                <w:szCs w:val="28"/>
                <w:highlight w:val="yellow"/>
                <w:lang w:val="en-US" w:eastAsia="zh-CN"/>
              </w:rPr>
            </w:pPr>
            <w:r>
              <w:rPr>
                <w:rFonts w:hint="eastAsia" w:ascii="Times New Roman" w:hAnsi="Times New Roman" w:eastAsia="仿宋_GB2312" w:cs="Times New Roman"/>
                <w:kern w:val="2"/>
                <w:sz w:val="28"/>
                <w:szCs w:val="28"/>
                <w:lang w:val="en-US" w:eastAsia="zh-CN" w:bidi="ar-SA"/>
              </w:rPr>
              <w:t>12.84团年产3000吨高端亚麻籽油及衍生品加工厂</w:t>
            </w:r>
          </w:p>
        </w:tc>
      </w:tr>
    </w:tbl>
    <w:p w14:paraId="0E2E9D47">
      <w:pPr>
        <w:pStyle w:val="6"/>
        <w:keepNext w:val="0"/>
        <w:keepLines w:val="0"/>
        <w:pageBreakBefore w:val="0"/>
        <w:kinsoku/>
        <w:wordWrap/>
        <w:overflowPunct/>
        <w:topLinePunct w:val="0"/>
        <w:autoSpaceDE/>
        <w:autoSpaceDN/>
        <w:bidi w:val="0"/>
        <w:snapToGrid/>
        <w:spacing w:line="560" w:lineRule="exact"/>
        <w:rPr>
          <w:rFonts w:ascii="Times New Roman" w:hAnsi="Times New Roman" w:eastAsia="黑体"/>
          <w:color w:val="000000"/>
          <w:lang w:val="en-US" w:eastAsia="zh-CN"/>
        </w:rPr>
      </w:pPr>
      <w:r>
        <w:rPr>
          <w:rFonts w:ascii="Times New Roman" w:hAnsi="Times New Roman" w:eastAsia="黑体"/>
          <w:color w:val="000000"/>
          <w:lang w:val="en-US" w:eastAsia="zh-CN"/>
        </w:rPr>
        <w:br w:type="page"/>
      </w:r>
      <w:bookmarkStart w:id="51" w:name="_Toc32646"/>
      <w:r>
        <w:rPr>
          <w:rFonts w:ascii="Times New Roman" w:hAnsi="Times New Roman" w:eastAsia="黑体"/>
          <w:color w:val="000000"/>
          <w:lang w:val="en-US" w:eastAsia="zh-CN"/>
        </w:rPr>
        <w:t>第四章 加大招商引资力度 增强经济发展后劲</w:t>
      </w:r>
      <w:bookmarkEnd w:id="51"/>
    </w:p>
    <w:p w14:paraId="2C390731">
      <w:pPr>
        <w:pStyle w:val="7"/>
        <w:keepNext w:val="0"/>
        <w:keepLines w:val="0"/>
        <w:pageBreakBefore w:val="0"/>
        <w:kinsoku/>
        <w:wordWrap/>
        <w:overflowPunct/>
        <w:topLinePunct w:val="0"/>
        <w:autoSpaceDE/>
        <w:autoSpaceDN/>
        <w:bidi w:val="0"/>
        <w:snapToGrid/>
        <w:spacing w:line="560" w:lineRule="exact"/>
        <w:rPr>
          <w:lang w:val="en-US" w:eastAsia="zh-CN"/>
        </w:rPr>
      </w:pPr>
      <w:bookmarkStart w:id="52" w:name="_Toc635"/>
      <w:r>
        <w:rPr>
          <w:lang w:val="en-US" w:eastAsia="zh-CN"/>
        </w:rPr>
        <w:t>第一节 着力健全招商引资工作机制</w:t>
      </w:r>
      <w:bookmarkEnd w:id="52"/>
    </w:p>
    <w:p w14:paraId="02ACF8BE">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构建全域协同招商体系。</w:t>
      </w:r>
      <w:r>
        <w:rPr>
          <w:rFonts w:ascii="Times New Roman" w:hAnsi="Times New Roman"/>
          <w:color w:val="000000"/>
          <w:lang w:val="en-US" w:eastAsia="zh-CN"/>
        </w:rPr>
        <w:t>坚持师市高位统筹，发挥经开区核心引擎作用，强化团场配套支撑功能和国企资本引领作用，推动部门协同联动、政策精准赋能，形成上下贯通、左右协同的招商作战格局。通过资源统合、力量统配、行动统一，实现信息互联互通、目标同向发力、节奏同频共振，着力提升项目招引精准度和落地转化率。</w:t>
      </w:r>
    </w:p>
    <w:p w14:paraId="7F4C4D42">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完善招商引资政策体系</w:t>
      </w:r>
      <w:r>
        <w:rPr>
          <w:rFonts w:ascii="Times New Roman" w:hAnsi="Times New Roman"/>
          <w:color w:val="000000"/>
          <w:lang w:val="en-US" w:eastAsia="zh-CN"/>
        </w:rPr>
        <w:t>。积极落实国家、兵团、师市各项产业发展扶持政策。重点用好</w:t>
      </w:r>
      <w:r>
        <w:rPr>
          <w:rFonts w:hint="eastAsia" w:ascii="Times New Roman" w:hAnsi="Times New Roman"/>
          <w:color w:val="000000"/>
          <w:lang w:val="en-US" w:eastAsia="zh-CN"/>
        </w:rPr>
        <w:t>边境困难地区</w:t>
      </w:r>
      <w:r>
        <w:rPr>
          <w:rFonts w:ascii="Times New Roman" w:hAnsi="Times New Roman"/>
          <w:color w:val="000000"/>
          <w:lang w:val="en-US" w:eastAsia="zh-CN"/>
        </w:rPr>
        <w:t>所得税</w:t>
      </w:r>
      <w:r>
        <w:rPr>
          <w:rFonts w:hint="eastAsia" w:ascii="Times New Roman" w:hAnsi="Times New Roman"/>
          <w:color w:val="000000"/>
          <w:lang w:val="en-US" w:eastAsia="zh-CN"/>
        </w:rPr>
        <w:t>“</w:t>
      </w:r>
      <w:r>
        <w:rPr>
          <w:rFonts w:ascii="Times New Roman" w:hAnsi="Times New Roman"/>
          <w:color w:val="000000"/>
          <w:lang w:val="en-US" w:eastAsia="zh-CN"/>
        </w:rPr>
        <w:t>两免三减半</w:t>
      </w:r>
      <w:r>
        <w:rPr>
          <w:rFonts w:hint="eastAsia" w:ascii="Times New Roman" w:hAnsi="Times New Roman"/>
          <w:color w:val="000000"/>
          <w:lang w:val="en-US" w:eastAsia="zh-CN"/>
        </w:rPr>
        <w:t>”、“</w:t>
      </w:r>
      <w:r>
        <w:rPr>
          <w:rFonts w:ascii="Times New Roman" w:hAnsi="Times New Roman"/>
          <w:color w:val="000000"/>
          <w:lang w:val="en-US" w:eastAsia="zh-CN"/>
        </w:rPr>
        <w:t>新工九条</w:t>
      </w:r>
      <w:r>
        <w:rPr>
          <w:rFonts w:hint="eastAsia" w:ascii="Times New Roman" w:hAnsi="Times New Roman"/>
          <w:color w:val="000000"/>
          <w:lang w:val="en-US" w:eastAsia="zh-CN"/>
        </w:rPr>
        <w:t>”</w:t>
      </w:r>
      <w:r>
        <w:rPr>
          <w:rFonts w:ascii="Times New Roman" w:hAnsi="Times New Roman"/>
          <w:color w:val="000000"/>
          <w:lang w:val="en-US" w:eastAsia="zh-CN"/>
        </w:rPr>
        <w:t>中的民贸贴息、师市产业发展引导资金等各类优惠政策，支持优势产业做强做优做大。</w:t>
      </w:r>
    </w:p>
    <w:p w14:paraId="3EB55B35">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健全招商引资考核体系。</w:t>
      </w:r>
      <w:r>
        <w:rPr>
          <w:rFonts w:ascii="Times New Roman" w:hAnsi="Times New Roman"/>
          <w:color w:val="000000"/>
          <w:lang w:val="en-US" w:eastAsia="zh-CN"/>
        </w:rPr>
        <w:t>充分发挥考核</w:t>
      </w:r>
      <w:r>
        <w:rPr>
          <w:rFonts w:hint="eastAsia" w:ascii="Times New Roman" w:hAnsi="Times New Roman"/>
          <w:color w:val="000000"/>
          <w:lang w:val="en-US" w:eastAsia="zh-CN"/>
        </w:rPr>
        <w:t>“</w:t>
      </w:r>
      <w:r>
        <w:rPr>
          <w:rFonts w:ascii="Times New Roman" w:hAnsi="Times New Roman"/>
          <w:color w:val="000000"/>
          <w:lang w:val="en-US" w:eastAsia="zh-CN"/>
        </w:rPr>
        <w:t>指挥棒</w:t>
      </w:r>
      <w:r>
        <w:rPr>
          <w:rFonts w:hint="eastAsia" w:ascii="Times New Roman" w:hAnsi="Times New Roman"/>
          <w:color w:val="000000"/>
          <w:lang w:val="en-US" w:eastAsia="zh-CN"/>
        </w:rPr>
        <w:t>”</w:t>
      </w:r>
      <w:r>
        <w:rPr>
          <w:rFonts w:ascii="Times New Roman" w:hAnsi="Times New Roman"/>
          <w:color w:val="000000"/>
          <w:lang w:val="en-US" w:eastAsia="zh-CN"/>
        </w:rPr>
        <w:t>作用，制定完善招商引资考核激励办法，突出差异化考核，根据经开区、团场、国企等不同主体的功能定位，科学设定考核权重，引导各责任单位聚焦主责主业精准发力。强化考核结果运用，推动形成比学赶超、争先进位的招商引资浓厚氛围，确保招商引资成果实实在在转化为发展动能。</w:t>
      </w:r>
    </w:p>
    <w:p w14:paraId="03DED46E">
      <w:pPr>
        <w:pStyle w:val="7"/>
        <w:keepNext w:val="0"/>
        <w:keepLines w:val="0"/>
        <w:pageBreakBefore w:val="0"/>
        <w:kinsoku/>
        <w:wordWrap/>
        <w:overflowPunct/>
        <w:topLinePunct w:val="0"/>
        <w:autoSpaceDE/>
        <w:autoSpaceDN/>
        <w:bidi w:val="0"/>
        <w:snapToGrid/>
        <w:spacing w:line="560" w:lineRule="exact"/>
        <w:rPr>
          <w:lang w:val="en-US" w:eastAsia="zh-CN"/>
        </w:rPr>
      </w:pPr>
      <w:bookmarkStart w:id="53" w:name="_Toc32145"/>
      <w:r>
        <w:rPr>
          <w:lang w:val="en-US" w:eastAsia="zh-CN"/>
        </w:rPr>
        <w:t>第二节 聚</w:t>
      </w:r>
      <w:r>
        <w:rPr>
          <w:rFonts w:ascii="Times New Roman" w:hAnsi="Times New Roman"/>
          <w:lang w:val="en-US" w:eastAsia="zh-CN"/>
        </w:rPr>
        <w:t>焦全域统筹，实</w:t>
      </w:r>
      <w:r>
        <w:rPr>
          <w:lang w:val="en-US" w:eastAsia="zh-CN"/>
        </w:rPr>
        <w:t>施靶向精准招商</w:t>
      </w:r>
      <w:bookmarkEnd w:id="53"/>
    </w:p>
    <w:p w14:paraId="45C565B1">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强化主阵地功能，提升产业集聚能级。</w:t>
      </w:r>
      <w:r>
        <w:rPr>
          <w:rFonts w:ascii="Times New Roman" w:hAnsi="Times New Roman" w:eastAsia="仿宋_GB2312"/>
          <w:b w:val="0"/>
          <w:bCs w:val="0"/>
          <w:color w:val="000000"/>
          <w:sz w:val="32"/>
          <w:szCs w:val="32"/>
        </w:rPr>
        <w:t>双河经开区作为招商引资主阵地</w:t>
      </w:r>
      <w:r>
        <w:rPr>
          <w:rFonts w:hint="eastAsia" w:ascii="Times New Roman" w:hAnsi="Times New Roman" w:eastAsia="仿宋_GB2312"/>
          <w:b w:val="0"/>
          <w:bCs w:val="0"/>
          <w:color w:val="000000"/>
          <w:sz w:val="32"/>
          <w:szCs w:val="32"/>
          <w:lang w:eastAsia="zh-CN"/>
        </w:rPr>
        <w:t>、工业经济主引擎</w:t>
      </w:r>
      <w:r>
        <w:rPr>
          <w:rFonts w:ascii="Times New Roman" w:hAnsi="Times New Roman" w:eastAsia="仿宋_GB2312"/>
          <w:b w:val="0"/>
          <w:bCs w:val="0"/>
          <w:color w:val="000000"/>
          <w:sz w:val="32"/>
          <w:szCs w:val="32"/>
        </w:rPr>
        <w:t>，</w:t>
      </w:r>
      <w:r>
        <w:rPr>
          <w:rFonts w:ascii="Times New Roman" w:hAnsi="Times New Roman"/>
          <w:color w:val="000000"/>
          <w:lang w:val="en-US" w:eastAsia="zh-CN"/>
        </w:rPr>
        <w:t>在全师市招商任务中发挥挑大梁作用，</w:t>
      </w:r>
      <w:r>
        <w:rPr>
          <w:rFonts w:ascii="Times New Roman" w:hAnsi="Times New Roman" w:eastAsia="仿宋_GB2312"/>
          <w:b w:val="0"/>
          <w:bCs w:val="0"/>
          <w:color w:val="000000"/>
          <w:sz w:val="32"/>
          <w:szCs w:val="32"/>
        </w:rPr>
        <w:t>打造师市</w:t>
      </w:r>
      <w:r>
        <w:rPr>
          <w:rFonts w:hint="eastAsia" w:ascii="Times New Roman" w:hAnsi="Times New Roman" w:eastAsia="仿宋_GB2312"/>
          <w:b w:val="0"/>
          <w:bCs w:val="0"/>
          <w:color w:val="000000"/>
          <w:sz w:val="32"/>
          <w:szCs w:val="32"/>
          <w:lang w:eastAsia="zh-CN"/>
        </w:rPr>
        <w:t>工业经济</w:t>
      </w:r>
      <w:r>
        <w:rPr>
          <w:rFonts w:ascii="Times New Roman" w:hAnsi="Times New Roman" w:eastAsia="仿宋_GB2312"/>
          <w:b w:val="0"/>
          <w:bCs w:val="0"/>
          <w:color w:val="000000"/>
          <w:sz w:val="32"/>
          <w:szCs w:val="32"/>
        </w:rPr>
        <w:t>核心增长极。</w:t>
      </w:r>
      <w:r>
        <w:rPr>
          <w:rFonts w:ascii="Times New Roman" w:hAnsi="Times New Roman"/>
          <w:color w:val="000000"/>
          <w:lang w:val="en-US" w:eastAsia="zh-CN"/>
        </w:rPr>
        <w:t>承担产业集聚和重大项目落地核心职能。聚焦新材料、农副产品精深加工及</w:t>
      </w:r>
      <w:r>
        <w:rPr>
          <w:rFonts w:hint="eastAsia"/>
          <w:color w:val="000000"/>
          <w:lang w:val="en-US" w:eastAsia="zh-CN"/>
        </w:rPr>
        <w:t>有色金属加工、绿色算力、智能仓储物流等</w:t>
      </w:r>
      <w:r>
        <w:rPr>
          <w:rFonts w:ascii="Times New Roman" w:hAnsi="Times New Roman"/>
          <w:color w:val="000000"/>
          <w:lang w:val="en-US" w:eastAsia="zh-CN"/>
        </w:rPr>
        <w:t>主导产业，重点发展铝基、碳基、钙基、铜基、锰基、铬铁等新材料、金属冶炼产业链，以及玉米、棉花、进口粮油精深加工产业链。打造专业化招商队伍，完善园区基础设施和产业配套，为招商项目提供从签约到投产运营的全生命周期服务，充分发挥产业集聚和重大项目落地的核心载体作用。</w:t>
      </w:r>
    </w:p>
    <w:p w14:paraId="6DF15E69">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发挥资源腹地优势，夯实产业配套基础。</w:t>
      </w:r>
      <w:r>
        <w:rPr>
          <w:rFonts w:ascii="Times New Roman" w:hAnsi="Times New Roman"/>
          <w:color w:val="000000"/>
          <w:lang w:val="en-US" w:eastAsia="zh-CN"/>
        </w:rPr>
        <w:t>团场围绕开发区主导产业，因地制宜发展仓储物流、包装加工、生活服务等配套产业，构建产业协同生态。立足本地资源禀赋，积极发展特色养殖、新能源、设施农业、文旅等特色产业，培育差异化竞争优势。充分发挥基层连队</w:t>
      </w:r>
      <w:r>
        <w:rPr>
          <w:rFonts w:hint="eastAsia" w:ascii="Times New Roman" w:hAnsi="Times New Roman"/>
          <w:color w:val="000000"/>
          <w:lang w:val="en-US" w:eastAsia="zh-CN"/>
        </w:rPr>
        <w:t>“</w:t>
      </w:r>
      <w:r>
        <w:rPr>
          <w:rFonts w:ascii="Times New Roman" w:hAnsi="Times New Roman"/>
          <w:color w:val="000000"/>
          <w:lang w:val="en-US" w:eastAsia="zh-CN"/>
        </w:rPr>
        <w:t>两委</w:t>
      </w:r>
      <w:r>
        <w:rPr>
          <w:rFonts w:hint="eastAsia" w:ascii="Times New Roman" w:hAnsi="Times New Roman"/>
          <w:color w:val="000000"/>
          <w:lang w:val="en-US" w:eastAsia="zh-CN"/>
        </w:rPr>
        <w:t>”</w:t>
      </w:r>
      <w:r>
        <w:rPr>
          <w:rFonts w:ascii="Times New Roman" w:hAnsi="Times New Roman"/>
          <w:color w:val="000000"/>
          <w:lang w:val="en-US" w:eastAsia="zh-CN"/>
        </w:rPr>
        <w:t>力量，强化招商信息收集和对外推介。同时积极为主阵地引荐</w:t>
      </w:r>
      <w:r>
        <w:rPr>
          <w:rFonts w:hint="eastAsia" w:ascii="Times New Roman" w:hAnsi="Times New Roman"/>
          <w:color w:val="000000"/>
          <w:lang w:val="en-US" w:eastAsia="zh-CN"/>
        </w:rPr>
        <w:t>“</w:t>
      </w:r>
      <w:r>
        <w:rPr>
          <w:rFonts w:ascii="Times New Roman" w:hAnsi="Times New Roman"/>
          <w:color w:val="000000"/>
          <w:lang w:val="en-US" w:eastAsia="zh-CN"/>
        </w:rPr>
        <w:t>飞地</w:t>
      </w:r>
      <w:r>
        <w:rPr>
          <w:rFonts w:hint="eastAsia" w:ascii="Times New Roman" w:hAnsi="Times New Roman"/>
          <w:color w:val="000000"/>
          <w:lang w:val="en-US" w:eastAsia="zh-CN"/>
        </w:rPr>
        <w:t>”</w:t>
      </w:r>
      <w:r>
        <w:rPr>
          <w:rFonts w:ascii="Times New Roman" w:hAnsi="Times New Roman"/>
          <w:color w:val="000000"/>
          <w:lang w:val="en-US" w:eastAsia="zh-CN"/>
        </w:rPr>
        <w:t>项目，实现资源互补、发展共享。</w:t>
      </w:r>
    </w:p>
    <w:p w14:paraId="6B2F1BCE">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lang w:val="en-US" w:eastAsia="zh-CN"/>
        </w:rPr>
      </w:pPr>
      <w:r>
        <w:rPr>
          <w:rFonts w:ascii="Times New Roman" w:hAnsi="Times New Roman"/>
          <w:b/>
          <w:bCs/>
          <w:color w:val="000000"/>
          <w:lang w:val="en-US" w:eastAsia="zh-CN"/>
        </w:rPr>
        <w:t>发挥资本纽带作用，增强产业协同带动能力。</w:t>
      </w:r>
      <w:r>
        <w:rPr>
          <w:rFonts w:ascii="Times New Roman" w:hAnsi="Times New Roman"/>
          <w:color w:val="000000"/>
          <w:lang w:val="en-US" w:eastAsia="zh-CN"/>
        </w:rPr>
        <w:t>国有企业立足生产要素和资本优势，担当长期投资者和风险共担者，为各类市场主体营造稳定优越的投资环境。将整合盘活存量资产、清理退出低效无效资产、壮大优质资产作为招商引资重点任务，提升国有资本配置效率。积极为经开区、团场引荐</w:t>
      </w:r>
      <w:r>
        <w:rPr>
          <w:rFonts w:hint="eastAsia" w:ascii="Times New Roman" w:hAnsi="Times New Roman"/>
          <w:color w:val="000000"/>
          <w:lang w:val="en-US" w:eastAsia="zh-CN"/>
        </w:rPr>
        <w:t>“</w:t>
      </w:r>
      <w:r>
        <w:rPr>
          <w:rFonts w:ascii="Times New Roman" w:hAnsi="Times New Roman"/>
          <w:color w:val="000000"/>
          <w:lang w:val="en-US" w:eastAsia="zh-CN"/>
        </w:rPr>
        <w:t>飞地</w:t>
      </w:r>
      <w:r>
        <w:rPr>
          <w:rFonts w:hint="eastAsia" w:ascii="Times New Roman" w:hAnsi="Times New Roman"/>
          <w:color w:val="000000"/>
          <w:lang w:val="en-US" w:eastAsia="zh-CN"/>
        </w:rPr>
        <w:t>”</w:t>
      </w:r>
      <w:r>
        <w:rPr>
          <w:rFonts w:ascii="Times New Roman" w:hAnsi="Times New Roman"/>
          <w:color w:val="000000"/>
          <w:lang w:val="en-US" w:eastAsia="zh-CN"/>
        </w:rPr>
        <w:t>项目，充分发挥国有企业在优化产业结构、畅通要素循环、稳定经济增长中的引领带动作用，助力经开区做大做强。</w:t>
      </w:r>
    </w:p>
    <w:p w14:paraId="155C69F1">
      <w:pPr>
        <w:pStyle w:val="7"/>
        <w:keepNext w:val="0"/>
        <w:keepLines w:val="0"/>
        <w:pageBreakBefore w:val="0"/>
        <w:kinsoku/>
        <w:wordWrap/>
        <w:overflowPunct/>
        <w:topLinePunct w:val="0"/>
        <w:autoSpaceDE/>
        <w:autoSpaceDN/>
        <w:bidi w:val="0"/>
        <w:snapToGrid/>
        <w:spacing w:line="560" w:lineRule="exact"/>
        <w:rPr>
          <w:lang w:val="en-US" w:eastAsia="zh-CN"/>
        </w:rPr>
      </w:pPr>
      <w:r>
        <w:rPr>
          <w:lang w:val="en-US" w:eastAsia="zh-CN"/>
        </w:rPr>
        <w:t>第三节 创新多元方式，提升招商引资实效</w:t>
      </w:r>
    </w:p>
    <w:p w14:paraId="67132E01">
      <w:pPr>
        <w:keepNext w:val="0"/>
        <w:keepLines w:val="0"/>
        <w:pageBreakBefore w:val="0"/>
        <w:kinsoku/>
        <w:wordWrap/>
        <w:overflowPunct/>
        <w:topLinePunct w:val="0"/>
        <w:autoSpaceDE/>
        <w:autoSpaceDN/>
        <w:bidi w:val="0"/>
        <w:snapToGrid/>
        <w:spacing w:line="560" w:lineRule="exact"/>
        <w:rPr>
          <w:b/>
          <w:bCs/>
          <w:lang w:val="en-US" w:eastAsia="zh-CN"/>
        </w:rPr>
      </w:pPr>
      <w:r>
        <w:rPr>
          <w:b/>
          <w:bCs/>
          <w:lang w:val="en-US" w:eastAsia="zh-CN"/>
        </w:rPr>
        <w:t>发挥平台优势，提升数字化招商效能。</w:t>
      </w:r>
      <w:r>
        <w:rPr>
          <w:lang w:val="en-US" w:eastAsia="zh-CN"/>
        </w:rPr>
        <w:t>整合兵团招商数字信息平台、师市政府门户网站、微信公众号等官方渠道与自媒体资源，构建</w:t>
      </w:r>
      <w:r>
        <w:rPr>
          <w:rFonts w:hint="eastAsia"/>
          <w:lang w:val="en-US" w:eastAsia="zh-CN"/>
        </w:rPr>
        <w:t>“</w:t>
      </w:r>
      <w:r>
        <w:rPr>
          <w:lang w:val="en-US" w:eastAsia="zh-CN"/>
        </w:rPr>
        <w:t>官方+民间</w:t>
      </w:r>
      <w:r>
        <w:rPr>
          <w:rFonts w:hint="eastAsia"/>
          <w:lang w:val="en-US" w:eastAsia="zh-CN"/>
        </w:rPr>
        <w:t>”</w:t>
      </w:r>
      <w:r>
        <w:rPr>
          <w:lang w:val="en-US" w:eastAsia="zh-CN"/>
        </w:rPr>
        <w:t>协同推介格局，高频次、高精度展示师市投资环境与产业优势，持续扩大招商影响力。运用大数据技术挖掘分析产业链条，精准识别重点产业上下游企业及潜在投资主体，为目标企业画像、为靶向招商赋能，通过数字化手段实现招商资源精准匹配与高效对接。</w:t>
      </w:r>
    </w:p>
    <w:p w14:paraId="2EFE8B5C">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深化援疆资源转化，提升招商引资实效。</w:t>
      </w:r>
      <w:r>
        <w:rPr>
          <w:rFonts w:ascii="Times New Roman" w:hAnsi="Times New Roman"/>
          <w:color w:val="000000"/>
          <w:lang w:val="en-US" w:eastAsia="zh-CN"/>
        </w:rPr>
        <w:t>充分发挥援疆工作的政治与资源优势，精准把握师市与陕西产业发展的契合点，主动对接优势企业，积极承接产业梯度转移。同步导入先进管理经验、招商模式和营销渠道，推动援疆工作由</w:t>
      </w:r>
      <w:r>
        <w:rPr>
          <w:rFonts w:hint="eastAsia" w:ascii="Times New Roman" w:hAnsi="Times New Roman"/>
          <w:color w:val="000000"/>
          <w:lang w:val="en-US" w:eastAsia="zh-CN"/>
        </w:rPr>
        <w:t>“</w:t>
      </w:r>
      <w:r>
        <w:rPr>
          <w:rFonts w:ascii="Times New Roman" w:hAnsi="Times New Roman"/>
          <w:color w:val="000000"/>
          <w:lang w:val="en-US" w:eastAsia="zh-CN"/>
        </w:rPr>
        <w:t>输血</w:t>
      </w:r>
      <w:r>
        <w:rPr>
          <w:rFonts w:hint="eastAsia" w:ascii="Times New Roman" w:hAnsi="Times New Roman"/>
          <w:color w:val="000000"/>
          <w:lang w:val="en-US" w:eastAsia="zh-CN"/>
        </w:rPr>
        <w:t>”</w:t>
      </w:r>
      <w:r>
        <w:rPr>
          <w:rFonts w:ascii="Times New Roman" w:hAnsi="Times New Roman"/>
          <w:color w:val="000000"/>
          <w:lang w:val="en-US" w:eastAsia="zh-CN"/>
        </w:rPr>
        <w:t>向</w:t>
      </w:r>
      <w:r>
        <w:rPr>
          <w:rFonts w:hint="eastAsia" w:ascii="Times New Roman" w:hAnsi="Times New Roman"/>
          <w:color w:val="000000"/>
          <w:lang w:val="en-US" w:eastAsia="zh-CN"/>
        </w:rPr>
        <w:t>“</w:t>
      </w:r>
      <w:r>
        <w:rPr>
          <w:rFonts w:ascii="Times New Roman" w:hAnsi="Times New Roman"/>
          <w:color w:val="000000"/>
          <w:lang w:val="en-US" w:eastAsia="zh-CN"/>
        </w:rPr>
        <w:t>造血</w:t>
      </w:r>
      <w:r>
        <w:rPr>
          <w:rFonts w:hint="eastAsia" w:ascii="Times New Roman" w:hAnsi="Times New Roman"/>
          <w:color w:val="000000"/>
          <w:lang w:val="en-US" w:eastAsia="zh-CN"/>
        </w:rPr>
        <w:t>”</w:t>
      </w:r>
      <w:r>
        <w:rPr>
          <w:rFonts w:ascii="Times New Roman" w:hAnsi="Times New Roman"/>
          <w:color w:val="000000"/>
          <w:lang w:val="en-US" w:eastAsia="zh-CN"/>
        </w:rPr>
        <w:t>转变。持续巩固与湖北省的援疆合作关系，紧盯前期对接的意向企业，深化与湖北企业及商会的务实合作，确保援疆招商资源的稳定接续。</w:t>
      </w:r>
    </w:p>
    <w:p w14:paraId="09C8B998">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强化会展招商，深化产业对接合作。</w:t>
      </w:r>
      <w:r>
        <w:rPr>
          <w:rFonts w:ascii="Times New Roman" w:hAnsi="Times New Roman"/>
          <w:color w:val="000000"/>
          <w:lang w:val="en-US" w:eastAsia="zh-CN"/>
        </w:rPr>
        <w:t>充分发挥师市区位优势，在积极组织企业参与亚欧博览会、哈展会、进博会、消博会、投洽会等国际性展会的基础上，创新举办专题招商推介会。通过</w:t>
      </w:r>
      <w:r>
        <w:rPr>
          <w:rFonts w:hint="eastAsia" w:ascii="Times New Roman" w:hAnsi="Times New Roman"/>
          <w:color w:val="000000"/>
          <w:lang w:val="en-US" w:eastAsia="zh-CN"/>
        </w:rPr>
        <w:t>“</w:t>
      </w:r>
      <w:r>
        <w:rPr>
          <w:rFonts w:ascii="Times New Roman" w:hAnsi="Times New Roman"/>
          <w:color w:val="000000"/>
          <w:lang w:val="en-US" w:eastAsia="zh-CN"/>
        </w:rPr>
        <w:t>展会+推介</w:t>
      </w:r>
      <w:r>
        <w:rPr>
          <w:rFonts w:hint="eastAsia" w:ascii="Times New Roman" w:hAnsi="Times New Roman"/>
          <w:color w:val="000000"/>
          <w:lang w:val="en-US" w:eastAsia="zh-CN"/>
        </w:rPr>
        <w:t>”</w:t>
      </w:r>
      <w:r>
        <w:rPr>
          <w:rFonts w:ascii="Times New Roman" w:hAnsi="Times New Roman"/>
          <w:color w:val="000000"/>
          <w:lang w:val="en-US" w:eastAsia="zh-CN"/>
        </w:rPr>
        <w:t>联动模式，主动对接境内外优质企业，精准推介师市产业特色与投资环境。同步精选黑小麦、NFC果汁、双河优选干果等名优特产品集中展示，结合现场品鉴、产品展销等方式，全方位提升师市名优特产品知名度，推动招商引资与对外合作取得新突破。</w:t>
      </w:r>
    </w:p>
    <w:p w14:paraId="71550889">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拓展市场化招商路径，提升专业化招商水平。</w:t>
      </w:r>
      <w:r>
        <w:rPr>
          <w:rFonts w:ascii="Times New Roman" w:hAnsi="Times New Roman"/>
          <w:color w:val="000000"/>
          <w:lang w:val="en-US" w:eastAsia="zh-CN"/>
        </w:rPr>
        <w:t>大力推行</w:t>
      </w:r>
      <w:r>
        <w:rPr>
          <w:rFonts w:hint="eastAsia" w:ascii="Times New Roman" w:hAnsi="Times New Roman"/>
          <w:color w:val="000000"/>
          <w:lang w:val="en-US" w:eastAsia="zh-CN"/>
        </w:rPr>
        <w:t>“</w:t>
      </w:r>
      <w:r>
        <w:rPr>
          <w:rFonts w:ascii="Times New Roman" w:hAnsi="Times New Roman"/>
          <w:color w:val="000000"/>
          <w:lang w:val="en-US" w:eastAsia="zh-CN"/>
        </w:rPr>
        <w:t>以商招商</w:t>
      </w:r>
      <w:r>
        <w:rPr>
          <w:rFonts w:hint="eastAsia" w:ascii="Times New Roman" w:hAnsi="Times New Roman"/>
          <w:color w:val="000000"/>
          <w:lang w:val="en-US" w:eastAsia="zh-CN"/>
        </w:rPr>
        <w:t>”</w:t>
      </w:r>
      <w:r>
        <w:rPr>
          <w:rFonts w:ascii="Times New Roman" w:hAnsi="Times New Roman"/>
          <w:color w:val="000000"/>
          <w:lang w:val="en-US" w:eastAsia="zh-CN"/>
        </w:rPr>
        <w:t>，深度挖掘已落地企业的上下游脉络，通过企业家</w:t>
      </w:r>
      <w:r>
        <w:rPr>
          <w:rFonts w:hint="eastAsia" w:ascii="Times New Roman" w:hAnsi="Times New Roman"/>
          <w:color w:val="000000"/>
          <w:lang w:val="en-US" w:eastAsia="zh-CN"/>
        </w:rPr>
        <w:t>“</w:t>
      </w:r>
      <w:r>
        <w:rPr>
          <w:rFonts w:ascii="Times New Roman" w:hAnsi="Times New Roman"/>
          <w:color w:val="000000"/>
          <w:lang w:val="en-US" w:eastAsia="zh-CN"/>
        </w:rPr>
        <w:t>现身说法</w:t>
      </w:r>
      <w:r>
        <w:rPr>
          <w:rFonts w:hint="eastAsia" w:ascii="Times New Roman" w:hAnsi="Times New Roman"/>
          <w:color w:val="000000"/>
          <w:lang w:val="en-US" w:eastAsia="zh-CN"/>
        </w:rPr>
        <w:t>”</w:t>
      </w:r>
      <w:r>
        <w:rPr>
          <w:rFonts w:ascii="Times New Roman" w:hAnsi="Times New Roman"/>
          <w:color w:val="000000"/>
          <w:lang w:val="en-US" w:eastAsia="zh-CN"/>
        </w:rPr>
        <w:t>、产业链供需对接会等形式，吸引合作伙伴、关联企业集聚，形成</w:t>
      </w:r>
      <w:r>
        <w:rPr>
          <w:rFonts w:hint="eastAsia" w:ascii="Times New Roman" w:hAnsi="Times New Roman"/>
          <w:color w:val="000000"/>
          <w:lang w:val="en-US" w:eastAsia="zh-CN"/>
        </w:rPr>
        <w:t>“</w:t>
      </w:r>
      <w:r>
        <w:rPr>
          <w:rFonts w:ascii="Times New Roman" w:hAnsi="Times New Roman"/>
          <w:color w:val="000000"/>
          <w:lang w:val="en-US" w:eastAsia="zh-CN"/>
        </w:rPr>
        <w:t>引进一个、带动一批、辐射一片</w:t>
      </w:r>
      <w:r>
        <w:rPr>
          <w:rFonts w:hint="eastAsia" w:ascii="Times New Roman" w:hAnsi="Times New Roman"/>
          <w:color w:val="000000"/>
          <w:lang w:val="en-US" w:eastAsia="zh-CN"/>
        </w:rPr>
        <w:t>”</w:t>
      </w:r>
      <w:r>
        <w:rPr>
          <w:rFonts w:ascii="Times New Roman" w:hAnsi="Times New Roman"/>
          <w:color w:val="000000"/>
          <w:lang w:val="en-US" w:eastAsia="zh-CN"/>
        </w:rPr>
        <w:t>的乘数效应。积极探索</w:t>
      </w:r>
      <w:r>
        <w:rPr>
          <w:rFonts w:hint="eastAsia" w:ascii="Times New Roman" w:hAnsi="Times New Roman"/>
          <w:color w:val="000000"/>
          <w:lang w:val="en-US" w:eastAsia="zh-CN"/>
        </w:rPr>
        <w:t>“</w:t>
      </w:r>
      <w:r>
        <w:rPr>
          <w:rFonts w:ascii="Times New Roman" w:hAnsi="Times New Roman"/>
          <w:color w:val="000000"/>
          <w:lang w:val="en-US" w:eastAsia="zh-CN"/>
        </w:rPr>
        <w:t>基金招商</w:t>
      </w:r>
      <w:r>
        <w:rPr>
          <w:rFonts w:hint="eastAsia" w:ascii="Times New Roman" w:hAnsi="Times New Roman"/>
          <w:color w:val="000000"/>
          <w:lang w:val="en-US" w:eastAsia="zh-CN"/>
        </w:rPr>
        <w:t>”</w:t>
      </w:r>
      <w:r>
        <w:rPr>
          <w:rFonts w:ascii="Times New Roman" w:hAnsi="Times New Roman"/>
          <w:color w:val="000000"/>
          <w:lang w:val="en-US" w:eastAsia="zh-CN"/>
        </w:rPr>
        <w:t>，依托</w:t>
      </w:r>
      <w:r>
        <w:rPr>
          <w:rFonts w:hint="eastAsia"/>
          <w:color w:val="000000"/>
          <w:lang w:val="en-US" w:eastAsia="zh-CN"/>
        </w:rPr>
        <w:t>灵峪双河基金公司母基金</w:t>
      </w:r>
      <w:r>
        <w:rPr>
          <w:rFonts w:ascii="Times New Roman" w:hAnsi="Times New Roman"/>
          <w:color w:val="000000"/>
          <w:lang w:val="en-US" w:eastAsia="zh-CN"/>
        </w:rPr>
        <w:t>，联合社会资本设立专业招商</w:t>
      </w:r>
      <w:r>
        <w:rPr>
          <w:rFonts w:hint="eastAsia"/>
          <w:color w:val="000000"/>
          <w:lang w:val="en-US" w:eastAsia="zh-CN"/>
        </w:rPr>
        <w:t>子</w:t>
      </w:r>
      <w:r>
        <w:rPr>
          <w:rFonts w:ascii="Times New Roman" w:hAnsi="Times New Roman"/>
          <w:color w:val="000000"/>
          <w:lang w:val="en-US" w:eastAsia="zh-CN"/>
        </w:rPr>
        <w:t>基金，发挥资本在项目筛选、风险研判、投贷联动中的杠杆作用，以</w:t>
      </w:r>
      <w:r>
        <w:rPr>
          <w:rFonts w:hint="eastAsia" w:ascii="Times New Roman" w:hAnsi="Times New Roman"/>
          <w:color w:val="000000"/>
          <w:lang w:val="en-US" w:eastAsia="zh-CN"/>
        </w:rPr>
        <w:t>“</w:t>
      </w:r>
      <w:r>
        <w:rPr>
          <w:rFonts w:ascii="Times New Roman" w:hAnsi="Times New Roman"/>
          <w:color w:val="000000"/>
          <w:lang w:val="en-US" w:eastAsia="zh-CN"/>
        </w:rPr>
        <w:t>资本+产业</w:t>
      </w:r>
      <w:r>
        <w:rPr>
          <w:rFonts w:hint="eastAsia" w:ascii="Times New Roman" w:hAnsi="Times New Roman"/>
          <w:color w:val="000000"/>
          <w:lang w:val="en-US" w:eastAsia="zh-CN"/>
        </w:rPr>
        <w:t>”</w:t>
      </w:r>
      <w:r>
        <w:rPr>
          <w:rFonts w:ascii="Times New Roman" w:hAnsi="Times New Roman"/>
          <w:color w:val="000000"/>
          <w:lang w:val="en-US" w:eastAsia="zh-CN"/>
        </w:rPr>
        <w:t>双轮驱动，精准撬动一批成长性好、带动性强的优质项目落地。</w:t>
      </w:r>
    </w:p>
    <w:p w14:paraId="4A39ED5A">
      <w:pPr>
        <w:pStyle w:val="7"/>
        <w:keepNext w:val="0"/>
        <w:keepLines w:val="0"/>
        <w:pageBreakBefore w:val="0"/>
        <w:kinsoku/>
        <w:wordWrap/>
        <w:overflowPunct/>
        <w:topLinePunct w:val="0"/>
        <w:autoSpaceDE/>
        <w:autoSpaceDN/>
        <w:bidi w:val="0"/>
        <w:snapToGrid/>
        <w:spacing w:line="560" w:lineRule="exact"/>
        <w:rPr>
          <w:lang w:val="en-US" w:eastAsia="zh-CN"/>
        </w:rPr>
      </w:pPr>
      <w:r>
        <w:rPr>
          <w:lang w:val="en-US" w:eastAsia="zh-CN"/>
        </w:rPr>
        <w:t>第四节 狠抓项目落地，强化全生命周期服务保障</w:t>
      </w:r>
    </w:p>
    <w:p w14:paraId="7F7B243B">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深化项目全流程包保服务。</w:t>
      </w:r>
      <w:r>
        <w:rPr>
          <w:rFonts w:ascii="Times New Roman" w:hAnsi="Times New Roman"/>
          <w:color w:val="000000"/>
          <w:lang w:val="en-US" w:eastAsia="zh-CN"/>
        </w:rPr>
        <w:t>健全从签约到运营的全生命周期服务机制，深入落实重点项目包保责任制，明确责任主体与完成时限，实行挂图作战。做实</w:t>
      </w:r>
      <w:r>
        <w:rPr>
          <w:rFonts w:hint="eastAsia" w:ascii="Times New Roman" w:hAnsi="Times New Roman"/>
          <w:color w:val="000000"/>
          <w:lang w:val="en-US" w:eastAsia="zh-CN"/>
        </w:rPr>
        <w:t>“</w:t>
      </w:r>
      <w:r>
        <w:rPr>
          <w:rFonts w:ascii="Times New Roman" w:hAnsi="Times New Roman"/>
          <w:color w:val="000000"/>
          <w:lang w:val="en-US" w:eastAsia="zh-CN"/>
        </w:rPr>
        <w:t>首席服务专员</w:t>
      </w:r>
      <w:r>
        <w:rPr>
          <w:rFonts w:hint="eastAsia" w:ascii="Times New Roman" w:hAnsi="Times New Roman"/>
          <w:color w:val="000000"/>
          <w:lang w:val="en-US" w:eastAsia="zh-CN"/>
        </w:rPr>
        <w:t>”</w:t>
      </w:r>
      <w:r>
        <w:rPr>
          <w:rFonts w:ascii="Times New Roman" w:hAnsi="Times New Roman"/>
          <w:color w:val="000000"/>
          <w:lang w:val="en-US" w:eastAsia="zh-CN"/>
        </w:rPr>
        <w:t>制度，选派业务骨干下沉项目一线，依托</w:t>
      </w:r>
      <w:r>
        <w:rPr>
          <w:rFonts w:hint="eastAsia" w:ascii="Times New Roman" w:hAnsi="Times New Roman"/>
          <w:color w:val="000000"/>
          <w:lang w:val="en-US" w:eastAsia="zh-CN"/>
        </w:rPr>
        <w:t>“</w:t>
      </w:r>
      <w:r>
        <w:rPr>
          <w:rFonts w:ascii="Times New Roman" w:hAnsi="Times New Roman"/>
          <w:color w:val="000000"/>
          <w:lang w:val="en-US" w:eastAsia="zh-CN"/>
        </w:rPr>
        <w:t>小兵帮办</w:t>
      </w:r>
      <w:r>
        <w:rPr>
          <w:rFonts w:hint="eastAsia" w:ascii="Times New Roman" w:hAnsi="Times New Roman"/>
          <w:color w:val="000000"/>
          <w:lang w:val="en-US" w:eastAsia="zh-CN"/>
        </w:rPr>
        <w:t>”</w:t>
      </w:r>
      <w:r>
        <w:rPr>
          <w:rFonts w:ascii="Times New Roman" w:hAnsi="Times New Roman"/>
          <w:color w:val="000000"/>
          <w:lang w:val="en-US" w:eastAsia="zh-CN"/>
        </w:rPr>
        <w:t>窗口，针对立项、开工、投产等关键环节提供</w:t>
      </w:r>
      <w:r>
        <w:rPr>
          <w:rFonts w:hint="eastAsia" w:ascii="Times New Roman" w:hAnsi="Times New Roman"/>
          <w:color w:val="000000"/>
          <w:lang w:val="en-US" w:eastAsia="zh-CN"/>
        </w:rPr>
        <w:t>“</w:t>
      </w:r>
      <w:r>
        <w:rPr>
          <w:rFonts w:ascii="Times New Roman" w:hAnsi="Times New Roman"/>
          <w:color w:val="000000"/>
          <w:lang w:val="en-US" w:eastAsia="zh-CN"/>
        </w:rPr>
        <w:t>一对一</w:t>
      </w:r>
      <w:r>
        <w:rPr>
          <w:rFonts w:hint="eastAsia" w:ascii="Times New Roman" w:hAnsi="Times New Roman"/>
          <w:color w:val="000000"/>
          <w:lang w:val="en-US" w:eastAsia="zh-CN"/>
        </w:rPr>
        <w:t>”</w:t>
      </w:r>
      <w:r>
        <w:rPr>
          <w:rFonts w:ascii="Times New Roman" w:hAnsi="Times New Roman"/>
          <w:color w:val="000000"/>
          <w:lang w:val="en-US" w:eastAsia="zh-CN"/>
        </w:rPr>
        <w:t>精准代办服务。深化审批制度改革，全面推行</w:t>
      </w:r>
      <w:r>
        <w:rPr>
          <w:rFonts w:hint="eastAsia" w:ascii="Times New Roman" w:hAnsi="Times New Roman"/>
          <w:color w:val="000000"/>
          <w:lang w:val="en-US" w:eastAsia="zh-CN"/>
        </w:rPr>
        <w:t>“</w:t>
      </w:r>
      <w:r>
        <w:rPr>
          <w:rFonts w:ascii="Times New Roman" w:hAnsi="Times New Roman"/>
          <w:color w:val="000000"/>
          <w:lang w:val="en-US" w:eastAsia="zh-CN"/>
        </w:rPr>
        <w:t>一窗受理、并联审批</w:t>
      </w:r>
      <w:r>
        <w:rPr>
          <w:rFonts w:hint="eastAsia" w:ascii="Times New Roman" w:hAnsi="Times New Roman"/>
          <w:color w:val="000000"/>
          <w:lang w:val="en-US" w:eastAsia="zh-CN"/>
        </w:rPr>
        <w:t>”</w:t>
      </w:r>
      <w:r>
        <w:rPr>
          <w:rFonts w:ascii="Times New Roman" w:hAnsi="Times New Roman"/>
          <w:color w:val="000000"/>
          <w:lang w:val="en-US" w:eastAsia="zh-CN"/>
        </w:rPr>
        <w:t>与线上</w:t>
      </w:r>
      <w:r>
        <w:rPr>
          <w:rFonts w:hint="eastAsia" w:ascii="Times New Roman" w:hAnsi="Times New Roman"/>
          <w:color w:val="000000"/>
          <w:lang w:val="en-US" w:eastAsia="zh-CN"/>
        </w:rPr>
        <w:t>“</w:t>
      </w:r>
      <w:r>
        <w:rPr>
          <w:rFonts w:ascii="Times New Roman" w:hAnsi="Times New Roman"/>
          <w:color w:val="000000"/>
          <w:lang w:val="en-US" w:eastAsia="zh-CN"/>
        </w:rPr>
        <w:t>一网通办</w:t>
      </w:r>
      <w:r>
        <w:rPr>
          <w:rFonts w:hint="eastAsia" w:ascii="Times New Roman" w:hAnsi="Times New Roman"/>
          <w:color w:val="000000"/>
          <w:lang w:val="en-US" w:eastAsia="zh-CN"/>
        </w:rPr>
        <w:t>”</w:t>
      </w:r>
      <w:r>
        <w:rPr>
          <w:rFonts w:ascii="Times New Roman" w:hAnsi="Times New Roman"/>
          <w:color w:val="000000"/>
          <w:lang w:val="en-US" w:eastAsia="zh-CN"/>
        </w:rPr>
        <w:t>，实现流程透明化、可追溯。强化动态监测与台账管理，定期召开项目推进会，主动协调解决堵点难点，确保项目按时投产达效。</w:t>
      </w:r>
    </w:p>
    <w:p w14:paraId="248E1BF3">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强化资源要素精准配置保障。</w:t>
      </w:r>
      <w:r>
        <w:rPr>
          <w:rFonts w:ascii="Times New Roman" w:hAnsi="Times New Roman"/>
          <w:color w:val="000000"/>
          <w:lang w:val="en-US" w:eastAsia="zh-CN"/>
        </w:rPr>
        <w:t>坚持</w:t>
      </w:r>
      <w:r>
        <w:rPr>
          <w:rFonts w:hint="eastAsia" w:ascii="Times New Roman" w:hAnsi="Times New Roman"/>
          <w:color w:val="000000"/>
          <w:lang w:val="en-US" w:eastAsia="zh-CN"/>
        </w:rPr>
        <w:t>“</w:t>
      </w:r>
      <w:r>
        <w:rPr>
          <w:rFonts w:ascii="Times New Roman" w:hAnsi="Times New Roman"/>
          <w:color w:val="000000"/>
          <w:lang w:val="en-US" w:eastAsia="zh-CN"/>
        </w:rPr>
        <w:t>要素跟着项目走</w:t>
      </w:r>
      <w:r>
        <w:rPr>
          <w:rFonts w:hint="eastAsia" w:ascii="Times New Roman" w:hAnsi="Times New Roman"/>
          <w:color w:val="000000"/>
          <w:lang w:val="en-US" w:eastAsia="zh-CN"/>
        </w:rPr>
        <w:t>”</w:t>
      </w:r>
      <w:r>
        <w:rPr>
          <w:rFonts w:ascii="Times New Roman" w:hAnsi="Times New Roman"/>
          <w:color w:val="000000"/>
          <w:lang w:val="en-US" w:eastAsia="zh-CN"/>
        </w:rPr>
        <w:t>，建立要素前置响应机制，在项目谋划阶段提前介入，精准测算并匹配企业在用地、用能、用工及环保等方面的核心需求，制定个性化保障清单。统筹全区资源供给，优化土地供应时序，协同保障用水用能稳定，搭建用工余缺调剂平台，推动资源向重大项目倾斜。建立健全跨部门协同处置机制，针对审批配套、产业链协同等突出问题开展专项攻坚，扫清项目落地障碍。</w:t>
      </w:r>
    </w:p>
    <w:p w14:paraId="71D42873">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夯实营商环境支撑。</w:t>
      </w:r>
      <w:r>
        <w:rPr>
          <w:rFonts w:ascii="Times New Roman" w:hAnsi="Times New Roman"/>
          <w:color w:val="000000"/>
          <w:lang w:val="en-US" w:eastAsia="zh-CN"/>
        </w:rPr>
        <w:t>完善政策落实机制，健全政策体系，建立政策宣传解读机制，确保企业清晰了解、便捷享受政策。规范市场监管执法，主动融入全国统一大市场，严格执行市场准入负面清单，清理破除隐性壁垒，推行</w:t>
      </w:r>
      <w:r>
        <w:rPr>
          <w:rFonts w:hint="eastAsia" w:ascii="Times New Roman" w:hAnsi="Times New Roman"/>
          <w:color w:val="000000"/>
          <w:lang w:val="en-US" w:eastAsia="zh-CN"/>
        </w:rPr>
        <w:t>“</w:t>
      </w:r>
      <w:r>
        <w:rPr>
          <w:rFonts w:ascii="Times New Roman" w:hAnsi="Times New Roman"/>
          <w:color w:val="000000"/>
          <w:lang w:val="en-US" w:eastAsia="zh-CN"/>
        </w:rPr>
        <w:t>双随机、一公开</w:t>
      </w:r>
      <w:r>
        <w:rPr>
          <w:rFonts w:hint="eastAsia" w:ascii="Times New Roman" w:hAnsi="Times New Roman"/>
          <w:color w:val="000000"/>
          <w:lang w:val="en-US" w:eastAsia="zh-CN"/>
        </w:rPr>
        <w:t>”</w:t>
      </w:r>
      <w:r>
        <w:rPr>
          <w:rFonts w:ascii="Times New Roman" w:hAnsi="Times New Roman"/>
          <w:color w:val="000000"/>
          <w:lang w:val="en-US" w:eastAsia="zh-CN"/>
        </w:rPr>
        <w:t>监管，维护公平竞争环境。健全政企沟通渠道，搭建常态化沟通平台，通过座谈会、线上留言等方式倾听诉求，建立诉求快速响应与反馈机制，及时交办、限时办结、跟踪督办，切实提升企业获得感与满意度，营造稳定透明可预期的营商环境。</w:t>
      </w:r>
    </w:p>
    <w:p w14:paraId="33913009">
      <w:pPr>
        <w:pStyle w:val="12"/>
        <w:rPr>
          <w:rFonts w:ascii="Times New Roman" w:hAnsi="Times New Roman"/>
          <w:color w:val="000000"/>
          <w:lang w:val="en-US" w:eastAsia="zh-CN"/>
        </w:rPr>
      </w:pPr>
    </w:p>
    <w:p w14:paraId="76577B95">
      <w:pPr>
        <w:pStyle w:val="12"/>
        <w:rPr>
          <w:rFonts w:ascii="Times New Roman" w:hAnsi="Times New Roman"/>
          <w:color w:val="000000"/>
          <w:lang w:val="en-US" w:eastAsia="zh-CN"/>
        </w:rPr>
      </w:pPr>
    </w:p>
    <w:p w14:paraId="127B56ED">
      <w:pPr>
        <w:rPr>
          <w:rFonts w:ascii="Times New Roman" w:hAnsi="Times New Roman"/>
          <w:color w:val="000000"/>
          <w:lang w:val="en-US" w:eastAsia="zh-CN"/>
        </w:rPr>
      </w:pPr>
    </w:p>
    <w:p w14:paraId="61553984">
      <w:pPr>
        <w:pStyle w:val="12"/>
        <w:rPr>
          <w:rFonts w:ascii="Times New Roman" w:hAnsi="Times New Roman"/>
          <w:color w:val="000000"/>
          <w:lang w:val="en-US" w:eastAsia="zh-CN"/>
        </w:rPr>
      </w:pPr>
    </w:p>
    <w:p w14:paraId="0D02EFB0">
      <w:pPr>
        <w:rPr>
          <w:rFonts w:ascii="Times New Roman" w:hAnsi="Times New Roman"/>
          <w:color w:val="000000"/>
          <w:lang w:val="en-US" w:eastAsia="zh-CN"/>
        </w:rPr>
      </w:pPr>
    </w:p>
    <w:p w14:paraId="71FFCC53">
      <w:pPr>
        <w:pStyle w:val="12"/>
        <w:rPr>
          <w:rFonts w:ascii="Times New Roman" w:hAnsi="Times New Roman"/>
          <w:color w:val="000000"/>
          <w:lang w:val="en-US" w:eastAsia="zh-CN"/>
        </w:rPr>
      </w:pPr>
    </w:p>
    <w:p w14:paraId="3764655C">
      <w:pPr>
        <w:rPr>
          <w:rFonts w:ascii="Times New Roman" w:hAnsi="Times New Roman"/>
          <w:color w:val="000000"/>
          <w:lang w:val="en-US" w:eastAsia="zh-CN"/>
        </w:rPr>
      </w:pPr>
    </w:p>
    <w:p w14:paraId="0A2A17DB">
      <w:pPr>
        <w:pStyle w:val="12"/>
        <w:rPr>
          <w:rFonts w:ascii="Times New Roman" w:hAnsi="Times New Roman"/>
          <w:color w:val="000000"/>
          <w:lang w:val="en-US" w:eastAsia="zh-CN"/>
        </w:rPr>
      </w:pPr>
    </w:p>
    <w:p w14:paraId="7ABE0558">
      <w:pPr>
        <w:rPr>
          <w:rFonts w:ascii="Times New Roman" w:hAnsi="Times New Roman"/>
          <w:color w:val="000000"/>
          <w:lang w:val="en-US" w:eastAsia="zh-CN"/>
        </w:rPr>
      </w:pPr>
    </w:p>
    <w:p w14:paraId="108EA213">
      <w:pPr>
        <w:pStyle w:val="12"/>
        <w:rPr>
          <w:rFonts w:ascii="Times New Roman" w:hAnsi="Times New Roman"/>
          <w:color w:val="000000"/>
          <w:lang w:val="en-US" w:eastAsia="zh-CN"/>
        </w:rPr>
      </w:pPr>
    </w:p>
    <w:p w14:paraId="393354E8">
      <w:pPr>
        <w:rPr>
          <w:lang w:val="en-US" w:eastAsia="zh-CN"/>
        </w:rPr>
      </w:pPr>
    </w:p>
    <w:tbl>
      <w:tblPr>
        <w:tblStyle w:val="36"/>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 w:type="dxa"/>
          <w:left w:w="-1" w:type="dxa"/>
          <w:bottom w:w="-1" w:type="dxa"/>
          <w:right w:w="-1" w:type="dxa"/>
        </w:tblCellMar>
      </w:tblPr>
      <w:tblGrid>
        <w:gridCol w:w="8953"/>
      </w:tblGrid>
      <w:tr w14:paraId="37A0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 w:type="dxa"/>
            <w:left w:w="-1" w:type="dxa"/>
            <w:bottom w:w="-1" w:type="dxa"/>
            <w:right w:w="-1" w:type="dxa"/>
          </w:tblCellMar>
        </w:tblPrEx>
        <w:trPr>
          <w:trHeight w:val="0" w:hRule="atLeast"/>
          <w:jc w:val="center"/>
        </w:trPr>
        <w:tc>
          <w:tcPr>
            <w:tcW w:w="8953" w:type="dxa"/>
            <w:shd w:val="clear" w:color="auto" w:fill="D7D7D7"/>
            <w:tcMar>
              <w:top w:w="-1" w:type="dxa"/>
              <w:left w:w="-1" w:type="dxa"/>
              <w:bottom w:w="-1" w:type="dxa"/>
              <w:right w:w="-1" w:type="dxa"/>
            </w:tcMar>
            <w:vAlign w:val="top"/>
          </w:tcPr>
          <w:p w14:paraId="5C85BF33">
            <w:pPr>
              <w:pStyle w:val="12"/>
              <w:keepNext w:val="0"/>
              <w:keepLines w:val="0"/>
              <w:pageBreakBefore w:val="0"/>
              <w:widowControl w:val="0"/>
              <w:kinsoku/>
              <w:wordWrap/>
              <w:overflowPunct/>
              <w:topLinePunct w:val="0"/>
              <w:autoSpaceDE/>
              <w:autoSpaceDN/>
              <w:bidi w:val="0"/>
              <w:snapToGrid w:val="0"/>
              <w:spacing w:before="157" w:after="157" w:line="240" w:lineRule="auto"/>
              <w:jc w:val="center"/>
              <w:rPr>
                <w:rFonts w:ascii="Times New Roman" w:hAnsi="Times New Roman" w:eastAsia="黑体"/>
                <w:b w:val="0"/>
                <w:bCs/>
                <w:color w:val="000000"/>
                <w:sz w:val="28"/>
                <w:szCs w:val="28"/>
                <w:u w:val="none"/>
                <w:lang w:val="en-US" w:eastAsia="zh-CN"/>
              </w:rPr>
            </w:pPr>
            <w:r>
              <w:rPr>
                <w:rFonts w:ascii="Times New Roman" w:hAnsi="Times New Roman" w:eastAsia="黑体"/>
                <w:b w:val="0"/>
                <w:bCs/>
                <w:color w:val="000000"/>
                <w:sz w:val="28"/>
                <w:szCs w:val="28"/>
                <w:u w:val="none"/>
                <w:lang w:val="en-US" w:eastAsia="zh-CN"/>
              </w:rPr>
              <w:t>专栏3</w:t>
            </w:r>
            <w:r>
              <w:rPr>
                <w:rFonts w:hint="eastAsia" w:ascii="Times New Roman" w:hAnsi="Times New Roman" w:eastAsia="黑体"/>
                <w:b w:val="0"/>
                <w:bCs/>
                <w:color w:val="000000"/>
                <w:sz w:val="28"/>
                <w:szCs w:val="28"/>
                <w:u w:val="none"/>
                <w:lang w:val="en-US" w:eastAsia="zh-CN"/>
              </w:rPr>
              <w:t xml:space="preserve"> </w:t>
            </w:r>
            <w:r>
              <w:rPr>
                <w:rFonts w:ascii="Times New Roman" w:hAnsi="Times New Roman" w:eastAsia="黑体"/>
                <w:b w:val="0"/>
                <w:bCs/>
                <w:color w:val="000000"/>
                <w:sz w:val="28"/>
                <w:szCs w:val="28"/>
                <w:u w:val="none"/>
                <w:lang w:val="en-US" w:eastAsia="zh-CN"/>
              </w:rPr>
              <w:t>招商重点项目</w:t>
            </w:r>
          </w:p>
        </w:tc>
      </w:tr>
      <w:tr w14:paraId="71E8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 w:type="dxa"/>
            <w:left w:w="-1" w:type="dxa"/>
            <w:bottom w:w="-1" w:type="dxa"/>
            <w:right w:w="-1" w:type="dxa"/>
          </w:tblCellMar>
        </w:tblPrEx>
        <w:trPr>
          <w:trHeight w:val="0" w:hRule="atLeast"/>
          <w:jc w:val="center"/>
        </w:trPr>
        <w:tc>
          <w:tcPr>
            <w:tcW w:w="8953" w:type="dxa"/>
            <w:tcMar>
              <w:top w:w="-1" w:type="dxa"/>
              <w:left w:w="-1" w:type="dxa"/>
              <w:bottom w:w="-1" w:type="dxa"/>
              <w:right w:w="-1" w:type="dxa"/>
            </w:tcMar>
            <w:vAlign w:val="top"/>
          </w:tcPr>
          <w:p w14:paraId="166AB43D">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ascii="Times New Roman" w:hAnsi="Times New Roman" w:eastAsia="仿宋_GB2312"/>
                <w:b w:val="0"/>
                <w:bCs/>
                <w:color w:val="000000"/>
                <w:sz w:val="28"/>
                <w:szCs w:val="28"/>
                <w:u w:val="none"/>
                <w:lang w:val="en-US" w:eastAsia="zh-CN"/>
              </w:rPr>
            </w:pPr>
            <w:r>
              <w:rPr>
                <w:rFonts w:ascii="Times New Roman" w:hAnsi="Times New Roman" w:eastAsia="仿宋_GB2312"/>
                <w:b w:val="0"/>
                <w:bCs/>
                <w:color w:val="000000"/>
                <w:sz w:val="28"/>
                <w:szCs w:val="28"/>
                <w:u w:val="none"/>
                <w:lang w:val="en-US" w:eastAsia="zh-CN"/>
              </w:rPr>
              <w:t>1</w:t>
            </w:r>
            <w:r>
              <w:rPr>
                <w:rFonts w:ascii="Times New Roman" w:hAnsi="Times New Roman"/>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智能AI高性能化成箔项目</w:t>
            </w:r>
          </w:p>
          <w:p w14:paraId="5C6C9C2E">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ascii="Times New Roman" w:hAnsi="Times New Roman" w:eastAsia="仿宋_GB2312"/>
                <w:b w:val="0"/>
                <w:bCs/>
                <w:color w:val="000000"/>
                <w:sz w:val="28"/>
                <w:szCs w:val="28"/>
                <w:u w:val="none"/>
                <w:lang w:val="en-US" w:eastAsia="zh-CN"/>
              </w:rPr>
            </w:pPr>
            <w:r>
              <w:rPr>
                <w:rFonts w:ascii="Times New Roman" w:hAnsi="Times New Roman" w:eastAsia="仿宋_GB2312"/>
                <w:b w:val="0"/>
                <w:bCs/>
                <w:color w:val="000000"/>
                <w:sz w:val="28"/>
                <w:szCs w:val="28"/>
                <w:u w:val="none"/>
                <w:lang w:val="en-US" w:eastAsia="zh-CN"/>
              </w:rPr>
              <w:t>2</w:t>
            </w:r>
            <w:r>
              <w:rPr>
                <w:rFonts w:ascii="Times New Roman" w:hAnsi="Times New Roman"/>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矿产资源进口精深加工项目</w:t>
            </w:r>
          </w:p>
          <w:p w14:paraId="0FD9A284">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ascii="Times New Roman" w:hAnsi="Times New Roman" w:eastAsia="仿宋_GB2312"/>
                <w:b w:val="0"/>
                <w:bCs/>
                <w:color w:val="000000"/>
                <w:sz w:val="28"/>
                <w:szCs w:val="28"/>
                <w:u w:val="none"/>
                <w:lang w:val="en-US" w:eastAsia="zh-CN"/>
              </w:rPr>
            </w:pPr>
            <w:r>
              <w:rPr>
                <w:rFonts w:ascii="Times New Roman" w:hAnsi="Times New Roman" w:eastAsia="仿宋_GB2312"/>
                <w:b w:val="0"/>
                <w:bCs/>
                <w:color w:val="000000"/>
                <w:sz w:val="28"/>
                <w:szCs w:val="28"/>
                <w:u w:val="none"/>
                <w:lang w:val="en-US" w:eastAsia="zh-CN"/>
              </w:rPr>
              <w:t>3</w:t>
            </w:r>
            <w:r>
              <w:rPr>
                <w:rFonts w:ascii="Times New Roman" w:hAnsi="Times New Roman"/>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硬碳负极材料生产项目</w:t>
            </w:r>
          </w:p>
          <w:p w14:paraId="33E46D28">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ascii="Times New Roman" w:hAnsi="Times New Roman" w:eastAsia="仿宋_GB2312"/>
                <w:b w:val="0"/>
                <w:bCs/>
                <w:color w:val="000000"/>
                <w:sz w:val="28"/>
                <w:szCs w:val="28"/>
                <w:u w:val="none"/>
                <w:lang w:val="en-US" w:eastAsia="zh-CN"/>
              </w:rPr>
            </w:pPr>
            <w:r>
              <w:rPr>
                <w:rFonts w:ascii="Times New Roman" w:hAnsi="Times New Roman" w:eastAsia="仿宋_GB2312"/>
                <w:b w:val="0"/>
                <w:bCs/>
                <w:color w:val="000000"/>
                <w:sz w:val="28"/>
                <w:szCs w:val="28"/>
                <w:u w:val="none"/>
                <w:lang w:val="en-US" w:eastAsia="zh-CN"/>
              </w:rPr>
              <w:t>4</w:t>
            </w:r>
            <w:r>
              <w:rPr>
                <w:rFonts w:ascii="Times New Roman" w:hAnsi="Times New Roman"/>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500MW光伏发电项目</w:t>
            </w:r>
          </w:p>
          <w:p w14:paraId="69F407E5">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ascii="Times New Roman" w:hAnsi="Times New Roman" w:eastAsia="仿宋_GB2312"/>
                <w:b w:val="0"/>
                <w:bCs/>
                <w:color w:val="000000"/>
                <w:sz w:val="28"/>
                <w:szCs w:val="28"/>
                <w:u w:val="none"/>
                <w:lang w:val="en-US" w:eastAsia="zh-CN"/>
              </w:rPr>
            </w:pPr>
            <w:r>
              <w:rPr>
                <w:rFonts w:ascii="Times New Roman" w:hAnsi="Times New Roman" w:eastAsia="仿宋_GB2312"/>
                <w:b w:val="0"/>
                <w:bCs/>
                <w:color w:val="000000"/>
                <w:sz w:val="28"/>
                <w:szCs w:val="28"/>
                <w:u w:val="none"/>
                <w:lang w:val="en-US" w:eastAsia="zh-CN"/>
              </w:rPr>
              <w:t>5</w:t>
            </w:r>
            <w:r>
              <w:rPr>
                <w:rFonts w:ascii="Times New Roman" w:hAnsi="Times New Roman"/>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80万千瓦风力发电项目</w:t>
            </w:r>
          </w:p>
          <w:p w14:paraId="16850DF1">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hint="eastAsia" w:ascii="Times New Roman" w:hAnsi="Times New Roman" w:eastAsia="仿宋_GB2312"/>
                <w:b w:val="0"/>
                <w:bCs/>
                <w:color w:val="000000"/>
                <w:sz w:val="28"/>
                <w:szCs w:val="28"/>
                <w:u w:val="none"/>
                <w:lang w:val="en-US" w:eastAsia="zh-CN"/>
              </w:rPr>
            </w:pPr>
            <w:r>
              <w:rPr>
                <w:rFonts w:hint="eastAsia" w:ascii="Times New Roman" w:hAnsi="Times New Roman" w:eastAsia="仿宋_GB2312"/>
                <w:b w:val="0"/>
                <w:bCs/>
                <w:color w:val="000000"/>
                <w:sz w:val="28"/>
                <w:szCs w:val="28"/>
                <w:u w:val="none"/>
                <w:lang w:val="en-US" w:eastAsia="zh-CN"/>
              </w:rPr>
              <w:t>6.</w:t>
            </w:r>
            <w:r>
              <w:rPr>
                <w:rFonts w:ascii="Times New Roman" w:hAnsi="Times New Roman" w:eastAsia="仿宋_GB2312"/>
                <w:b w:val="0"/>
                <w:bCs/>
                <w:color w:val="000000"/>
                <w:sz w:val="28"/>
                <w:szCs w:val="28"/>
                <w:u w:val="none"/>
                <w:lang w:val="en-US" w:eastAsia="zh-CN"/>
              </w:rPr>
              <w:t>91团托托河抽水蓄能电站建设项目</w:t>
            </w:r>
          </w:p>
          <w:p w14:paraId="3B86C8EA">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7</w:t>
            </w:r>
            <w:r>
              <w:rPr>
                <w:rFonts w:ascii="Times New Roman" w:hAnsi="Times New Roman" w:eastAsia="仿宋_GB2312"/>
                <w:b w:val="0"/>
                <w:bCs/>
                <w:color w:val="000000"/>
                <w:sz w:val="28"/>
                <w:szCs w:val="28"/>
                <w:u w:val="none"/>
                <w:lang w:val="en-US" w:eastAsia="zh-CN"/>
              </w:rPr>
              <w:t>.</w:t>
            </w:r>
            <w:r>
              <w:rPr>
                <w:rFonts w:hint="eastAsia" w:ascii="Times New Roman" w:hAnsi="Times New Roman" w:eastAsia="仿宋_GB2312"/>
                <w:b w:val="0"/>
                <w:bCs/>
                <w:color w:val="000000"/>
                <w:sz w:val="28"/>
                <w:szCs w:val="28"/>
                <w:u w:val="none"/>
                <w:lang w:val="en-US" w:eastAsia="zh-CN"/>
              </w:rPr>
              <w:t>9</w:t>
            </w:r>
            <w:r>
              <w:rPr>
                <w:rFonts w:ascii="Times New Roman" w:hAnsi="Times New Roman" w:eastAsia="仿宋_GB2312"/>
                <w:b w:val="0"/>
                <w:bCs/>
                <w:color w:val="000000"/>
                <w:sz w:val="28"/>
                <w:szCs w:val="28"/>
                <w:u w:val="none"/>
                <w:lang w:val="en-US" w:eastAsia="zh-CN"/>
              </w:rPr>
              <w:t>000P绿色智算</w:t>
            </w:r>
            <w:r>
              <w:rPr>
                <w:rFonts w:hint="eastAsia" w:ascii="Times New Roman" w:hAnsi="Times New Roman" w:eastAsia="仿宋_GB2312"/>
                <w:b w:val="0"/>
                <w:bCs/>
                <w:color w:val="000000"/>
                <w:sz w:val="28"/>
                <w:szCs w:val="28"/>
                <w:u w:val="none"/>
                <w:lang w:val="en-US" w:eastAsia="zh-CN"/>
              </w:rPr>
              <w:t>园区</w:t>
            </w:r>
            <w:r>
              <w:rPr>
                <w:rFonts w:ascii="Times New Roman" w:hAnsi="Times New Roman" w:eastAsia="仿宋_GB2312"/>
                <w:b w:val="0"/>
                <w:bCs/>
                <w:color w:val="000000"/>
                <w:sz w:val="28"/>
                <w:szCs w:val="28"/>
                <w:u w:val="none"/>
                <w:lang w:val="en-US" w:eastAsia="zh-CN"/>
              </w:rPr>
              <w:t>项目</w:t>
            </w:r>
          </w:p>
          <w:p w14:paraId="79735F83">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8</w:t>
            </w:r>
            <w:r>
              <w:rPr>
                <w:rFonts w:ascii="Times New Roman" w:hAnsi="Times New Roman" w:eastAsia="仿宋_GB2312"/>
                <w:b w:val="0"/>
                <w:bCs/>
                <w:color w:val="000000"/>
                <w:sz w:val="28"/>
                <w:szCs w:val="28"/>
                <w:u w:val="none"/>
                <w:lang w:val="en-US" w:eastAsia="zh-CN"/>
              </w:rPr>
              <w:t>.农牧业微生态(益生菌)产业项目</w:t>
            </w:r>
          </w:p>
          <w:p w14:paraId="10D638BF">
            <w:pPr>
              <w:pStyle w:val="12"/>
              <w:keepNext w:val="0"/>
              <w:keepLines w:val="0"/>
              <w:pageBreakBefore w:val="0"/>
              <w:widowControl w:val="0"/>
              <w:kinsoku/>
              <w:wordWrap/>
              <w:overflowPunct/>
              <w:topLinePunct w:val="0"/>
              <w:autoSpaceDE/>
              <w:autoSpaceDN/>
              <w:bidi w:val="0"/>
              <w:snapToGrid w:val="0"/>
              <w:spacing w:after="0" w:line="46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9</w:t>
            </w:r>
            <w:r>
              <w:rPr>
                <w:rFonts w:ascii="Times New Roman" w:hAnsi="Times New Roman" w:eastAsia="仿宋_GB2312"/>
                <w:b w:val="0"/>
                <w:bCs/>
                <w:color w:val="000000"/>
                <w:sz w:val="28"/>
                <w:szCs w:val="28"/>
                <w:u w:val="none"/>
                <w:lang w:val="en-US" w:eastAsia="zh-CN"/>
              </w:rPr>
              <w:t>.设施农业智能温室项目</w:t>
            </w:r>
          </w:p>
          <w:p w14:paraId="5D59A911">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10</w:t>
            </w:r>
            <w:r>
              <w:rPr>
                <w:rFonts w:hint="eastAsia" w:ascii="Times New Roman" w:hAnsi="Times New Roman" w:eastAsia="仿宋_GB2312"/>
                <w:b w:val="0"/>
                <w:bCs/>
                <w:color w:val="000000"/>
                <w:sz w:val="28"/>
                <w:szCs w:val="28"/>
                <w:u w:val="none"/>
                <w:lang w:val="en-US" w:eastAsia="zh-CN"/>
              </w:rPr>
              <w:t>.药用</w:t>
            </w:r>
            <w:r>
              <w:rPr>
                <w:rFonts w:ascii="Times New Roman" w:hAnsi="Times New Roman" w:eastAsia="仿宋_GB2312"/>
                <w:b w:val="0"/>
                <w:bCs/>
                <w:color w:val="000000"/>
                <w:sz w:val="28"/>
                <w:szCs w:val="28"/>
                <w:u w:val="none"/>
                <w:lang w:val="en-US" w:eastAsia="zh-CN"/>
              </w:rPr>
              <w:t>动物</w:t>
            </w:r>
            <w:r>
              <w:rPr>
                <w:rFonts w:hint="eastAsia" w:ascii="Times New Roman" w:hAnsi="Times New Roman" w:eastAsia="仿宋_GB2312"/>
                <w:b w:val="0"/>
                <w:bCs/>
                <w:color w:val="000000"/>
                <w:sz w:val="28"/>
                <w:szCs w:val="28"/>
                <w:u w:val="none"/>
                <w:lang w:val="en-US" w:eastAsia="zh-CN"/>
              </w:rPr>
              <w:t>血清</w:t>
            </w:r>
            <w:r>
              <w:rPr>
                <w:rFonts w:ascii="Times New Roman" w:hAnsi="Times New Roman" w:eastAsia="仿宋_GB2312"/>
                <w:b w:val="0"/>
                <w:bCs/>
                <w:color w:val="000000"/>
                <w:sz w:val="28"/>
                <w:szCs w:val="28"/>
                <w:u w:val="none"/>
                <w:lang w:val="en-US" w:eastAsia="zh-CN"/>
              </w:rPr>
              <w:t>深加工项目</w:t>
            </w:r>
          </w:p>
          <w:p w14:paraId="44E88C04">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11</w:t>
            </w:r>
            <w:r>
              <w:rPr>
                <w:rFonts w:ascii="Times New Roman" w:hAnsi="Times New Roman" w:eastAsia="仿宋_GB2312"/>
                <w:b w:val="0"/>
                <w:bCs/>
                <w:color w:val="000000"/>
                <w:sz w:val="28"/>
                <w:szCs w:val="28"/>
                <w:u w:val="none"/>
                <w:lang w:val="en-US" w:eastAsia="zh-CN"/>
              </w:rPr>
              <w:t>.冰雪装备生产制造项目</w:t>
            </w:r>
          </w:p>
          <w:p w14:paraId="1AFDFEF5">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12</w:t>
            </w:r>
            <w:r>
              <w:rPr>
                <w:rFonts w:ascii="Times New Roman" w:hAnsi="Times New Roman" w:eastAsia="仿宋_GB2312"/>
                <w:b w:val="0"/>
                <w:bCs/>
                <w:color w:val="000000"/>
                <w:sz w:val="28"/>
                <w:szCs w:val="28"/>
                <w:u w:val="none"/>
                <w:lang w:val="en-US" w:eastAsia="zh-CN"/>
              </w:rPr>
              <w:t>.粮食储备精深加工项目</w:t>
            </w:r>
          </w:p>
          <w:p w14:paraId="62896E4D">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eastAsia="仿宋_GB2312"/>
                <w:b w:val="0"/>
                <w:bCs/>
                <w:color w:val="000000"/>
                <w:sz w:val="28"/>
                <w:szCs w:val="28"/>
                <w:u w:val="none"/>
                <w:lang w:val="en-US" w:eastAsia="zh-CN"/>
              </w:rPr>
            </w:pPr>
            <w:r>
              <w:rPr>
                <w:rFonts w:hint="eastAsia" w:ascii="Times New Roman" w:hAnsi="Times New Roman" w:eastAsia="仿宋_GB2312"/>
                <w:b w:val="0"/>
                <w:bCs/>
                <w:color w:val="000000"/>
                <w:sz w:val="28"/>
                <w:szCs w:val="28"/>
                <w:u w:val="none"/>
                <w:lang w:val="en-US" w:eastAsia="zh-CN"/>
              </w:rPr>
              <w:t>1</w:t>
            </w:r>
            <w:r>
              <w:rPr>
                <w:rFonts w:hint="eastAsia" w:ascii="Times New Roman" w:hAnsi="Times New Roman"/>
                <w:b w:val="0"/>
                <w:bCs/>
                <w:color w:val="000000"/>
                <w:sz w:val="28"/>
                <w:szCs w:val="28"/>
                <w:u w:val="none"/>
                <w:lang w:val="en-US" w:eastAsia="zh-CN"/>
              </w:rPr>
              <w:t>3</w:t>
            </w:r>
            <w:r>
              <w:rPr>
                <w:rFonts w:hint="eastAsia" w:ascii="Times New Roman" w:hAnsi="Times New Roman" w:eastAsia="仿宋_GB2312"/>
                <w:b w:val="0"/>
                <w:bCs/>
                <w:color w:val="000000"/>
                <w:sz w:val="28"/>
                <w:szCs w:val="28"/>
                <w:u w:val="none"/>
                <w:lang w:val="en-US" w:eastAsia="zh-CN"/>
              </w:rPr>
              <w:t>.20万锭气流纺项目</w:t>
            </w:r>
          </w:p>
          <w:p w14:paraId="594C05B0">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14</w:t>
            </w:r>
            <w:r>
              <w:rPr>
                <w:rFonts w:ascii="Times New Roman" w:hAnsi="Times New Roman" w:eastAsia="仿宋_GB2312"/>
                <w:b w:val="0"/>
                <w:bCs/>
                <w:color w:val="000000"/>
                <w:sz w:val="28"/>
                <w:szCs w:val="28"/>
                <w:u w:val="none"/>
                <w:lang w:val="en-US" w:eastAsia="zh-CN"/>
              </w:rPr>
              <w:t>.畜牧养殖及精深加工项目</w:t>
            </w:r>
          </w:p>
          <w:p w14:paraId="6D16AB61">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b w:val="0"/>
                <w:bCs/>
                <w:color w:val="000000"/>
                <w:sz w:val="28"/>
                <w:szCs w:val="28"/>
                <w:u w:val="none"/>
                <w:lang w:val="en-US" w:eastAsia="zh-CN"/>
              </w:rPr>
            </w:pPr>
            <w:r>
              <w:rPr>
                <w:rFonts w:hint="eastAsia" w:ascii="Times New Roman" w:hAnsi="Times New Roman"/>
                <w:b w:val="0"/>
                <w:bCs/>
                <w:color w:val="000000"/>
                <w:sz w:val="28"/>
                <w:szCs w:val="28"/>
                <w:u w:val="none"/>
                <w:lang w:val="en-US" w:eastAsia="zh-CN"/>
              </w:rPr>
              <w:t>15</w:t>
            </w:r>
            <w:r>
              <w:rPr>
                <w:rFonts w:hint="eastAsia" w:ascii="Times New Roman" w:hAnsi="Times New Roman" w:eastAsia="仿宋_GB2312"/>
                <w:b w:val="0"/>
                <w:bCs/>
                <w:color w:val="000000"/>
                <w:sz w:val="28"/>
                <w:szCs w:val="28"/>
                <w:u w:val="none"/>
                <w:lang w:val="en-US" w:eastAsia="zh-CN"/>
              </w:rPr>
              <w:t>.</w:t>
            </w:r>
            <w:r>
              <w:rPr>
                <w:rFonts w:ascii="Times New Roman" w:hAnsi="Times New Roman" w:eastAsia="仿宋_GB2312"/>
                <w:b w:val="0"/>
                <w:bCs/>
                <w:color w:val="000000"/>
                <w:sz w:val="28"/>
                <w:szCs w:val="28"/>
                <w:u w:val="none"/>
                <w:lang w:val="en-US" w:eastAsia="zh-CN"/>
              </w:rPr>
              <w:t>新赛工业园仓储物流中心建设项目</w:t>
            </w:r>
          </w:p>
          <w:p w14:paraId="54DDA8AA">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eastAsia="仿宋_GB2312"/>
                <w:b w:val="0"/>
                <w:bCs/>
                <w:color w:val="000000"/>
                <w:sz w:val="28"/>
                <w:szCs w:val="28"/>
                <w:u w:val="none"/>
                <w:lang w:val="en-US" w:eastAsia="zh-CN"/>
              </w:rPr>
            </w:pPr>
            <w:r>
              <w:rPr>
                <w:rFonts w:hint="eastAsia" w:ascii="Times New Roman" w:hAnsi="Times New Roman" w:eastAsia="仿宋_GB2312"/>
                <w:b w:val="0"/>
                <w:bCs/>
                <w:color w:val="000000"/>
                <w:sz w:val="28"/>
                <w:szCs w:val="28"/>
                <w:u w:val="none"/>
                <w:lang w:val="en-US" w:eastAsia="zh-CN"/>
              </w:rPr>
              <w:t>1</w:t>
            </w:r>
            <w:r>
              <w:rPr>
                <w:rFonts w:hint="eastAsia" w:ascii="Times New Roman" w:hAnsi="Times New Roman"/>
                <w:b w:val="0"/>
                <w:bCs/>
                <w:color w:val="000000"/>
                <w:sz w:val="28"/>
                <w:szCs w:val="28"/>
                <w:u w:val="none"/>
                <w:lang w:val="en-US" w:eastAsia="zh-CN"/>
              </w:rPr>
              <w:t>6</w:t>
            </w:r>
            <w:r>
              <w:rPr>
                <w:rFonts w:ascii="Times New Roman" w:hAnsi="Times New Roman" w:eastAsia="仿宋_GB2312"/>
                <w:b w:val="0"/>
                <w:bCs/>
                <w:color w:val="000000"/>
                <w:sz w:val="28"/>
                <w:szCs w:val="28"/>
                <w:u w:val="none"/>
                <w:lang w:val="en-US" w:eastAsia="zh-CN"/>
              </w:rPr>
              <w:t>.</w:t>
            </w:r>
            <w:r>
              <w:rPr>
                <w:rFonts w:hint="eastAsia" w:ascii="Times New Roman" w:hAnsi="Times New Roman" w:eastAsia="仿宋_GB2312"/>
                <w:b w:val="0"/>
                <w:bCs/>
                <w:color w:val="000000"/>
                <w:sz w:val="28"/>
                <w:szCs w:val="28"/>
                <w:u w:val="none"/>
                <w:lang w:val="en-US" w:eastAsia="zh-CN"/>
              </w:rPr>
              <w:t>师市全域文旅带建设项目</w:t>
            </w:r>
          </w:p>
          <w:p w14:paraId="71917B4D">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eastAsia="仿宋_GB2312"/>
                <w:b w:val="0"/>
                <w:bCs/>
                <w:color w:val="000000"/>
                <w:sz w:val="28"/>
                <w:szCs w:val="28"/>
                <w:u w:val="none"/>
                <w:lang w:val="en-US" w:eastAsia="zh-CN"/>
              </w:rPr>
            </w:pPr>
            <w:r>
              <w:rPr>
                <w:rFonts w:hint="eastAsia" w:ascii="Times New Roman" w:hAnsi="Times New Roman" w:eastAsia="仿宋_GB2312"/>
                <w:b w:val="0"/>
                <w:bCs/>
                <w:color w:val="000000"/>
                <w:sz w:val="28"/>
                <w:szCs w:val="28"/>
                <w:u w:val="none"/>
                <w:lang w:val="en-US" w:eastAsia="zh-CN"/>
              </w:rPr>
              <w:t>1</w:t>
            </w:r>
            <w:r>
              <w:rPr>
                <w:rFonts w:hint="eastAsia" w:ascii="Times New Roman" w:hAnsi="Times New Roman"/>
                <w:b w:val="0"/>
                <w:bCs/>
                <w:color w:val="000000"/>
                <w:sz w:val="28"/>
                <w:szCs w:val="28"/>
                <w:u w:val="none"/>
                <w:lang w:val="en-US" w:eastAsia="zh-CN"/>
              </w:rPr>
              <w:t>7</w:t>
            </w:r>
            <w:r>
              <w:rPr>
                <w:rFonts w:ascii="Times New Roman" w:hAnsi="Times New Roman" w:eastAsia="仿宋_GB2312"/>
                <w:b w:val="0"/>
                <w:bCs/>
                <w:color w:val="000000"/>
                <w:sz w:val="28"/>
                <w:szCs w:val="28"/>
                <w:u w:val="none"/>
                <w:lang w:val="en-US" w:eastAsia="zh-CN"/>
              </w:rPr>
              <w:t>.G219国道沿线开发项目</w:t>
            </w:r>
          </w:p>
          <w:p w14:paraId="5BDEA757">
            <w:pPr>
              <w:pStyle w:val="12"/>
              <w:keepNext w:val="0"/>
              <w:keepLines w:val="0"/>
              <w:pageBreakBefore w:val="0"/>
              <w:widowControl w:val="0"/>
              <w:kinsoku/>
              <w:wordWrap/>
              <w:overflowPunct/>
              <w:topLinePunct w:val="0"/>
              <w:autoSpaceDE/>
              <w:autoSpaceDN/>
              <w:bidi w:val="0"/>
              <w:snapToGrid w:val="0"/>
              <w:spacing w:after="0" w:line="420" w:lineRule="exact"/>
              <w:ind w:left="0" w:leftChars="0" w:firstLine="560" w:firstLineChars="200"/>
              <w:jc w:val="both"/>
              <w:rPr>
                <w:rFonts w:hint="eastAsia" w:ascii="Times New Roman" w:hAnsi="Times New Roman" w:eastAsia="仿宋_GB2312"/>
                <w:b w:val="0"/>
                <w:bCs/>
                <w:color w:val="000000"/>
                <w:sz w:val="28"/>
                <w:szCs w:val="28"/>
                <w:u w:val="none"/>
                <w:lang w:val="en-US" w:eastAsia="zh-CN"/>
              </w:rPr>
            </w:pPr>
            <w:r>
              <w:rPr>
                <w:rFonts w:hint="eastAsia" w:ascii="Times New Roman" w:hAnsi="Times New Roman" w:eastAsia="仿宋_GB2312"/>
                <w:b w:val="0"/>
                <w:bCs/>
                <w:color w:val="000000"/>
                <w:sz w:val="28"/>
                <w:szCs w:val="28"/>
                <w:u w:val="none"/>
                <w:lang w:val="en-US" w:eastAsia="zh-CN"/>
              </w:rPr>
              <w:t>1</w:t>
            </w:r>
            <w:r>
              <w:rPr>
                <w:rFonts w:hint="eastAsia" w:ascii="Times New Roman" w:hAnsi="Times New Roman"/>
                <w:b w:val="0"/>
                <w:bCs/>
                <w:color w:val="000000"/>
                <w:sz w:val="28"/>
                <w:szCs w:val="28"/>
                <w:u w:val="none"/>
                <w:lang w:val="en-US" w:eastAsia="zh-CN"/>
              </w:rPr>
              <w:t>8</w:t>
            </w:r>
            <w:r>
              <w:rPr>
                <w:rFonts w:hint="eastAsia" w:ascii="Times New Roman" w:hAnsi="Times New Roman" w:eastAsia="仿宋_GB2312"/>
                <w:b w:val="0"/>
                <w:bCs/>
                <w:color w:val="000000"/>
                <w:sz w:val="28"/>
                <w:szCs w:val="28"/>
                <w:u w:val="none"/>
                <w:lang w:val="en-US" w:eastAsia="zh-CN"/>
              </w:rPr>
              <w:t>.低空经济＋文旅产业项目</w:t>
            </w:r>
          </w:p>
        </w:tc>
      </w:tr>
    </w:tbl>
    <w:p w14:paraId="27BD2666">
      <w:pPr>
        <w:pStyle w:val="6"/>
        <w:bidi w:val="0"/>
        <w:rPr>
          <w:lang w:val="en-US" w:eastAsia="zh-CN"/>
        </w:rPr>
      </w:pPr>
      <w:r>
        <w:rPr>
          <w:lang w:val="en-US" w:eastAsia="zh-CN"/>
        </w:rPr>
        <w:br w:type="page"/>
      </w:r>
      <w:bookmarkStart w:id="54" w:name="_Toc9489"/>
      <w:r>
        <w:rPr>
          <w:lang w:val="en-US" w:eastAsia="zh-CN"/>
        </w:rPr>
        <w:t>第</w:t>
      </w:r>
      <w:r>
        <w:rPr>
          <w:rFonts w:hint="eastAsia"/>
          <w:lang w:val="en-US" w:eastAsia="zh-CN"/>
        </w:rPr>
        <w:t>五</w:t>
      </w:r>
      <w:r>
        <w:rPr>
          <w:lang w:val="en-US" w:eastAsia="zh-CN"/>
        </w:rPr>
        <w:t>章 坚持改革创新驱动，推动开发区高质量发展</w:t>
      </w:r>
      <w:bookmarkEnd w:id="54"/>
    </w:p>
    <w:p w14:paraId="54722F69">
      <w:pPr>
        <w:pStyle w:val="7"/>
        <w:bidi w:val="0"/>
        <w:rPr>
          <w:lang w:val="en-US" w:eastAsia="zh-CN"/>
        </w:rPr>
      </w:pPr>
      <w:bookmarkStart w:id="55" w:name="_Toc6725"/>
      <w:r>
        <w:rPr>
          <w:lang w:val="en-US" w:eastAsia="zh-CN"/>
        </w:rPr>
        <w:t>第一节 优化开发区空间布局</w:t>
      </w:r>
      <w:bookmarkEnd w:id="55"/>
    </w:p>
    <w:p w14:paraId="49F24327">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完善开发区整体规划。</w:t>
      </w:r>
      <w:r>
        <w:rPr>
          <w:rFonts w:ascii="Times New Roman" w:hAnsi="Times New Roman"/>
          <w:color w:val="000000"/>
          <w:lang w:val="en-US" w:eastAsia="zh-CN"/>
        </w:rPr>
        <w:t>立足师市开发区</w:t>
      </w:r>
      <w:r>
        <w:rPr>
          <w:rFonts w:hint="eastAsia" w:ascii="Times New Roman" w:hAnsi="Times New Roman"/>
          <w:color w:val="000000"/>
          <w:lang w:val="en-US" w:eastAsia="zh-CN"/>
        </w:rPr>
        <w:t>“</w:t>
      </w:r>
      <w:r>
        <w:rPr>
          <w:rFonts w:ascii="Times New Roman" w:hAnsi="Times New Roman"/>
          <w:color w:val="000000"/>
          <w:lang w:val="en-US" w:eastAsia="zh-CN"/>
        </w:rPr>
        <w:t>一区两园</w:t>
      </w:r>
      <w:r>
        <w:rPr>
          <w:rFonts w:hint="eastAsia" w:ascii="Times New Roman" w:hAnsi="Times New Roman"/>
          <w:color w:val="000000"/>
          <w:lang w:val="en-US" w:eastAsia="zh-CN"/>
        </w:rPr>
        <w:t>”</w:t>
      </w:r>
      <w:r>
        <w:rPr>
          <w:rFonts w:ascii="Times New Roman" w:hAnsi="Times New Roman"/>
          <w:color w:val="000000"/>
          <w:lang w:val="en-US" w:eastAsia="zh-CN"/>
        </w:rPr>
        <w:t>空间架构，以国土空间规划为遵循，结合师市产业发展新定位，科学调整开发区规划。围绕金属冶炼、化工等重点产业高质量发展需求，预留充足发展空间，确保规划调整与重大项目布局、产业链延伸方向精准衔接，推动形成布局合理、集约高效、产城融合的开发区空间格局。</w:t>
      </w:r>
    </w:p>
    <w:p w14:paraId="7AE86741">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支持化工园区申建和设立。</w:t>
      </w:r>
      <w:r>
        <w:rPr>
          <w:rFonts w:ascii="Times New Roman" w:hAnsi="Times New Roman"/>
          <w:color w:val="000000"/>
          <w:lang w:val="en-US" w:eastAsia="zh-CN"/>
        </w:rPr>
        <w:t>严格按照</w:t>
      </w:r>
      <w:r>
        <w:rPr>
          <w:rFonts w:hint="eastAsia" w:ascii="Times New Roman" w:hAnsi="Times New Roman"/>
          <w:color w:val="000000"/>
          <w:lang w:val="en-US" w:eastAsia="zh-CN"/>
        </w:rPr>
        <w:t>“</w:t>
      </w:r>
      <w:r>
        <w:rPr>
          <w:rFonts w:ascii="Times New Roman" w:hAnsi="Times New Roman"/>
          <w:color w:val="000000"/>
          <w:lang w:val="en-US" w:eastAsia="zh-CN"/>
        </w:rPr>
        <w:t>三区三线</w:t>
      </w:r>
      <w:r>
        <w:rPr>
          <w:rFonts w:hint="eastAsia" w:ascii="Times New Roman" w:hAnsi="Times New Roman"/>
          <w:color w:val="000000"/>
          <w:lang w:val="en-US" w:eastAsia="zh-CN"/>
        </w:rPr>
        <w:t>”</w:t>
      </w:r>
      <w:r>
        <w:rPr>
          <w:rFonts w:ascii="Times New Roman" w:hAnsi="Times New Roman"/>
          <w:color w:val="000000"/>
          <w:lang w:val="en-US" w:eastAsia="zh-CN"/>
        </w:rPr>
        <w:t>管控要求及兵团关于化工园区设立的相关规定，科学有序推进化工园区建设工作。为新型环保材料、特种金属</w:t>
      </w:r>
      <w:r>
        <w:rPr>
          <w:rFonts w:hint="eastAsia"/>
          <w:color w:val="000000"/>
          <w:lang w:val="en-US" w:eastAsia="zh-CN"/>
        </w:rPr>
        <w:t>、生物医药</w:t>
      </w:r>
      <w:r>
        <w:rPr>
          <w:rFonts w:ascii="Times New Roman" w:hAnsi="Times New Roman"/>
          <w:color w:val="000000"/>
          <w:lang w:val="en-US" w:eastAsia="zh-CN"/>
        </w:rPr>
        <w:t>等化工产业链延伸创造有利的发展条件，同步推动化工产业与现有新材料、农产品精深加工等主导产业协同布局、耦合发展，加速构建多元产业支撑的现代化产业体系。</w:t>
      </w:r>
    </w:p>
    <w:p w14:paraId="664A05C4">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深化兵地融合园区建设。</w:t>
      </w:r>
      <w:r>
        <w:rPr>
          <w:rFonts w:ascii="Times New Roman" w:hAnsi="Times New Roman"/>
          <w:color w:val="000000"/>
          <w:lang w:val="en-US" w:eastAsia="zh-CN"/>
        </w:rPr>
        <w:t>联合博州共同建设东新兵地融合发展产业园，围绕</w:t>
      </w:r>
      <w:r>
        <w:rPr>
          <w:rFonts w:hint="eastAsia" w:ascii="Times New Roman" w:hAnsi="Times New Roman"/>
          <w:color w:val="000000"/>
          <w:lang w:val="en-US" w:eastAsia="zh-CN"/>
        </w:rPr>
        <w:t>“</w:t>
      </w:r>
      <w:r>
        <w:rPr>
          <w:rFonts w:ascii="Times New Roman" w:hAnsi="Times New Roman"/>
          <w:color w:val="000000"/>
          <w:lang w:val="en-US" w:eastAsia="zh-CN"/>
        </w:rPr>
        <w:t>发展规划共编、产业发展共融、市政设施共享、招商引资共引</w:t>
      </w:r>
      <w:r>
        <w:rPr>
          <w:rFonts w:hint="eastAsia" w:ascii="Times New Roman" w:hAnsi="Times New Roman"/>
          <w:color w:val="000000"/>
          <w:lang w:val="en-US" w:eastAsia="zh-CN"/>
        </w:rPr>
        <w:t>”</w:t>
      </w:r>
      <w:r>
        <w:rPr>
          <w:rFonts w:ascii="Times New Roman" w:hAnsi="Times New Roman"/>
          <w:color w:val="000000"/>
          <w:lang w:val="en-US" w:eastAsia="zh-CN"/>
        </w:rPr>
        <w:t>的发展思路，主动融入丝绸之路经济带建设，共同将东新产业园打造成为面向本地区及更广范围的物流集散枢纽，为区域经济高质量发展注入持久动能。</w:t>
      </w:r>
    </w:p>
    <w:p w14:paraId="4B16E5B7">
      <w:pPr>
        <w:pStyle w:val="7"/>
        <w:bidi w:val="0"/>
        <w:rPr>
          <w:lang w:val="en-US" w:eastAsia="zh-CN"/>
        </w:rPr>
      </w:pPr>
      <w:bookmarkStart w:id="56" w:name="_Toc14310"/>
      <w:r>
        <w:rPr>
          <w:lang w:val="en-US" w:eastAsia="zh-CN"/>
        </w:rPr>
        <w:t>第二节 深化开发区体制机制改革</w:t>
      </w:r>
      <w:bookmarkEnd w:id="56"/>
    </w:p>
    <w:p w14:paraId="231063F1">
      <w:pPr>
        <w:bidi w:val="0"/>
        <w:rPr>
          <w:b/>
          <w:bCs/>
          <w:lang w:val="en-US" w:eastAsia="zh-CN"/>
        </w:rPr>
      </w:pPr>
      <w:r>
        <w:rPr>
          <w:b/>
          <w:bCs/>
          <w:lang w:val="en-US" w:eastAsia="zh-CN"/>
        </w:rPr>
        <w:t>巩固体制改革成果</w:t>
      </w:r>
      <w:r>
        <w:rPr>
          <w:lang w:val="en-US" w:eastAsia="zh-CN"/>
        </w:rPr>
        <w:t>。坚持</w:t>
      </w:r>
      <w:r>
        <w:rPr>
          <w:rFonts w:hint="eastAsia"/>
          <w:lang w:val="en-US" w:eastAsia="zh-CN"/>
        </w:rPr>
        <w:t>“</w:t>
      </w:r>
      <w:r>
        <w:rPr>
          <w:lang w:val="en-US" w:eastAsia="zh-CN"/>
        </w:rPr>
        <w:t>管委会+平台公司</w:t>
      </w:r>
      <w:r>
        <w:rPr>
          <w:rFonts w:hint="eastAsia"/>
          <w:lang w:val="en-US" w:eastAsia="zh-CN"/>
        </w:rPr>
        <w:t>”</w:t>
      </w:r>
      <w:r>
        <w:rPr>
          <w:lang w:val="en-US" w:eastAsia="zh-CN"/>
        </w:rPr>
        <w:t>双轮驱动模式，推动政企分离、管运分开。稳定开发区与师市机关、企事业单位之间的干部人才流动渠道，推动形成能上能下、良性竞争的人事格局。健全</w:t>
      </w:r>
      <w:r>
        <w:rPr>
          <w:rFonts w:hint="eastAsia"/>
          <w:lang w:val="en-US" w:eastAsia="zh-CN"/>
        </w:rPr>
        <w:t>“</w:t>
      </w:r>
      <w:r>
        <w:rPr>
          <w:lang w:val="en-US" w:eastAsia="zh-CN"/>
        </w:rPr>
        <w:t>项目—部门—师市领导</w:t>
      </w:r>
      <w:r>
        <w:rPr>
          <w:rFonts w:hint="eastAsia"/>
          <w:lang w:val="en-US" w:eastAsia="zh-CN"/>
        </w:rPr>
        <w:t>”</w:t>
      </w:r>
      <w:r>
        <w:rPr>
          <w:lang w:val="en-US" w:eastAsia="zh-CN"/>
        </w:rPr>
        <w:t>三级责任体系，压实行业监管、属地保障与领导包联责任，对重大项目实行全过程、全覆盖、全周期动态管理。健全完善财政管理体制，增强开发区基层公共服务保障能力。健全绩效考核与激励机制，将产业培育、项目落地、亩均效益等核心指标纳入考核体系，充分调动积极性。</w:t>
      </w:r>
    </w:p>
    <w:p w14:paraId="7ADF547D">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优化管理服务模式。</w:t>
      </w:r>
      <w:r>
        <w:rPr>
          <w:rFonts w:ascii="Times New Roman" w:hAnsi="Times New Roman"/>
          <w:color w:val="000000"/>
          <w:lang w:val="en-US" w:eastAsia="zh-CN"/>
        </w:rPr>
        <w:t>坚持推行开发区管理和运营分离改革，引导社会资本和专业机构参与开发区基础设施建设和投资服务。搭建商务资源对接平台，引导企业对接供应链、市场渠道，建立企业商务诉求响应通道，提供精准指导。系统梳理监管事项，压缩办理环节与时限，推行</w:t>
      </w:r>
      <w:r>
        <w:rPr>
          <w:rFonts w:hint="eastAsia" w:ascii="Times New Roman" w:hAnsi="Times New Roman"/>
          <w:color w:val="000000"/>
          <w:lang w:val="en-US" w:eastAsia="zh-CN"/>
        </w:rPr>
        <w:t>“</w:t>
      </w:r>
      <w:r>
        <w:rPr>
          <w:rFonts w:ascii="Times New Roman" w:hAnsi="Times New Roman"/>
          <w:color w:val="000000"/>
          <w:lang w:val="en-US" w:eastAsia="zh-CN"/>
        </w:rPr>
        <w:t>一次性告知</w:t>
      </w:r>
      <w:r>
        <w:rPr>
          <w:rFonts w:hint="eastAsia" w:ascii="Times New Roman" w:hAnsi="Times New Roman"/>
          <w:color w:val="000000"/>
          <w:lang w:val="en-US" w:eastAsia="zh-CN"/>
        </w:rPr>
        <w:t>”“</w:t>
      </w:r>
      <w:r>
        <w:rPr>
          <w:rFonts w:ascii="Times New Roman" w:hAnsi="Times New Roman"/>
          <w:color w:val="000000"/>
          <w:lang w:val="en-US" w:eastAsia="zh-CN"/>
        </w:rPr>
        <w:t>容缺受理</w:t>
      </w:r>
      <w:r>
        <w:rPr>
          <w:rFonts w:hint="eastAsia" w:ascii="Times New Roman" w:hAnsi="Times New Roman"/>
          <w:color w:val="000000"/>
          <w:lang w:val="en-US" w:eastAsia="zh-CN"/>
        </w:rPr>
        <w:t>”</w:t>
      </w:r>
      <w:r>
        <w:rPr>
          <w:rFonts w:ascii="Times New Roman" w:hAnsi="Times New Roman"/>
          <w:color w:val="000000"/>
          <w:lang w:val="en-US" w:eastAsia="zh-CN"/>
        </w:rPr>
        <w:t>等机制，降低制度性交易成本。</w:t>
      </w:r>
    </w:p>
    <w:p w14:paraId="7236FBB0">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强化监督管理职能。</w:t>
      </w:r>
      <w:r>
        <w:rPr>
          <w:rFonts w:ascii="Times New Roman" w:hAnsi="Times New Roman"/>
          <w:color w:val="000000"/>
          <w:lang w:val="en-US" w:eastAsia="zh-CN"/>
        </w:rPr>
        <w:t>构建全流程、多层次的监管体系，加强对重要岗位、重点领域的监督管理。建立园区企业信用评价机制，实施分类监管，维护公平竞争市场环境。加强纪检监察、审计等部门协同，聚焦项目审批、资金使用等重点领域开展常态化监督，营造风清气正的发展环境。</w:t>
      </w:r>
    </w:p>
    <w:p w14:paraId="0A3828DE">
      <w:pPr>
        <w:pStyle w:val="7"/>
        <w:bidi w:val="0"/>
        <w:rPr>
          <w:lang w:val="en-US" w:eastAsia="zh-CN"/>
        </w:rPr>
      </w:pPr>
      <w:bookmarkStart w:id="57" w:name="_Toc314"/>
      <w:r>
        <w:rPr>
          <w:lang w:val="en-US" w:eastAsia="zh-CN"/>
        </w:rPr>
        <w:t>第三节 提升开发区产业发展水平</w:t>
      </w:r>
      <w:bookmarkEnd w:id="57"/>
    </w:p>
    <w:p w14:paraId="1FC054A8">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推动产业转型升级。</w:t>
      </w:r>
      <w:r>
        <w:rPr>
          <w:rFonts w:ascii="Times New Roman" w:hAnsi="Times New Roman"/>
          <w:color w:val="000000"/>
          <w:lang w:val="en-US" w:eastAsia="zh-CN"/>
        </w:rPr>
        <w:t>聚焦新材料、农产品精深加工、金属冶炼三大主导产业，构筑协同发展的产业体系。加快国家战略矿产进口加工储备基地及化工园区建设，聚力攻坚现有产业链延链补链。依托棉花、玉米、小麦等优势资源，打造农产品高值转化全链条，并前瞻布局现代农业机械装备与新能源专用车辆制造等产业。</w:t>
      </w:r>
    </w:p>
    <w:p w14:paraId="4B4B1334">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完善基础设施网络。</w:t>
      </w:r>
      <w:r>
        <w:rPr>
          <w:rFonts w:ascii="Times New Roman" w:hAnsi="Times New Roman"/>
          <w:color w:val="000000"/>
          <w:lang w:val="en-US" w:eastAsia="zh-CN"/>
        </w:rPr>
        <w:t>统筹整合专项资金，加快推进边民互市产业园、污水处理厂、固废处理中心、变配电站等配套工程建设，全面实现</w:t>
      </w:r>
      <w:r>
        <w:rPr>
          <w:rFonts w:hint="eastAsia" w:ascii="Times New Roman" w:hAnsi="Times New Roman"/>
          <w:color w:val="000000"/>
          <w:lang w:val="en-US" w:eastAsia="zh-CN"/>
        </w:rPr>
        <w:t>“</w:t>
      </w:r>
      <w:r>
        <w:rPr>
          <w:rFonts w:ascii="Times New Roman" w:hAnsi="Times New Roman"/>
          <w:color w:val="000000"/>
          <w:lang w:val="en-US" w:eastAsia="zh-CN"/>
        </w:rPr>
        <w:t>九通一平</w:t>
      </w:r>
      <w:r>
        <w:rPr>
          <w:rFonts w:hint="eastAsia" w:ascii="Times New Roman" w:hAnsi="Times New Roman"/>
          <w:color w:val="000000"/>
          <w:lang w:val="en-US" w:eastAsia="zh-CN"/>
        </w:rPr>
        <w:t>”</w:t>
      </w:r>
      <w:r>
        <w:rPr>
          <w:rFonts w:ascii="Times New Roman" w:hAnsi="Times New Roman"/>
          <w:color w:val="000000"/>
          <w:lang w:val="en-US" w:eastAsia="zh-CN"/>
        </w:rPr>
        <w:t>。完善文化、体育、教育、卫生、商业等民生配套，布局员工宿舍、人才公寓、便民商超，优化园区交通路网结构，营造宜居宜业环境。</w:t>
      </w:r>
    </w:p>
    <w:p w14:paraId="770527C6">
      <w:pPr>
        <w:keepNext w:val="0"/>
        <w:keepLines w:val="0"/>
        <w:pageBreakBefore w:val="0"/>
        <w:widowControl/>
        <w:kinsoku/>
        <w:wordWrap/>
        <w:overflowPunct/>
        <w:topLinePunct w:val="0"/>
        <w:autoSpaceDE/>
        <w:autoSpaceDN/>
        <w:bidi w:val="0"/>
        <w:snapToGrid/>
        <w:spacing w:line="560" w:lineRule="exact"/>
        <w:ind w:left="0" w:leftChars="0" w:firstLine="643" w:firstLineChars="200"/>
        <w:jc w:val="both"/>
        <w:rPr>
          <w:rFonts w:ascii="Times New Roman" w:hAnsi="Times New Roman"/>
          <w:b/>
          <w:bCs/>
          <w:color w:val="000000"/>
          <w:lang w:val="en-US" w:eastAsia="zh-CN"/>
        </w:rPr>
      </w:pPr>
      <w:r>
        <w:rPr>
          <w:rFonts w:ascii="Times New Roman" w:hAnsi="Times New Roman"/>
          <w:b/>
          <w:bCs/>
          <w:color w:val="000000"/>
          <w:lang w:val="en-US" w:eastAsia="zh-CN"/>
        </w:rPr>
        <w:t>推进零碳园区建设。</w:t>
      </w:r>
      <w:r>
        <w:rPr>
          <w:rFonts w:ascii="Times New Roman" w:hAnsi="Times New Roman"/>
          <w:color w:val="000000"/>
          <w:lang w:val="en-US" w:eastAsia="zh-CN"/>
        </w:rPr>
        <w:t>加快5G、物联网等数字基建升级，搭建智慧管理平台，实现运营全流程数字化。以零碳园区建设为引领，推广节能降碳技术，构建绿电供应体系，培育绿色工厂。完善污染物处理设施，强化物质循环利用，推动产业发展与生态保护协同共进，打造绿色低碳发展标杆。</w:t>
      </w:r>
    </w:p>
    <w:p w14:paraId="0B0A8568">
      <w:pPr>
        <w:pStyle w:val="6"/>
        <w:bidi w:val="0"/>
        <w:rPr>
          <w:rFonts w:ascii="Times New Roman" w:hAnsi="Times New Roman"/>
          <w:color w:val="000000"/>
          <w:lang w:val="en-US" w:eastAsia="zh-CN"/>
        </w:rPr>
      </w:pPr>
      <w:r>
        <w:rPr>
          <w:rFonts w:ascii="Times New Roman" w:hAnsi="Times New Roman"/>
          <w:color w:val="000000"/>
          <w:lang w:val="en-US" w:eastAsia="zh-CN"/>
        </w:rPr>
        <w:br w:type="page"/>
      </w:r>
      <w:bookmarkStart w:id="58" w:name="_Toc12487"/>
      <w:r>
        <w:rPr>
          <w:lang w:val="en-US" w:eastAsia="zh-CN"/>
        </w:rPr>
        <w:t>第</w:t>
      </w:r>
      <w:r>
        <w:rPr>
          <w:rFonts w:hint="eastAsia"/>
          <w:lang w:val="en-US" w:eastAsia="zh-CN"/>
        </w:rPr>
        <w:t>六</w:t>
      </w:r>
      <w:r>
        <w:rPr>
          <w:lang w:val="en-US" w:eastAsia="zh-CN"/>
        </w:rPr>
        <w:t>章 完善风险防控体系 保障经济安全运行</w:t>
      </w:r>
      <w:bookmarkEnd w:id="58"/>
    </w:p>
    <w:p w14:paraId="42015CF5">
      <w:pPr>
        <w:pStyle w:val="7"/>
        <w:bidi w:val="0"/>
        <w:rPr>
          <w:lang w:val="en-US" w:eastAsia="zh-CN"/>
        </w:rPr>
      </w:pPr>
      <w:bookmarkStart w:id="59" w:name="_Toc26861"/>
      <w:r>
        <w:rPr>
          <w:lang w:val="en-US" w:eastAsia="zh-CN"/>
        </w:rPr>
        <w:t>第一节 健全市场调控保供机制</w:t>
      </w:r>
      <w:bookmarkEnd w:id="59"/>
    </w:p>
    <w:p w14:paraId="0D98CBB6">
      <w:pPr>
        <w:keepNext w:val="0"/>
        <w:keepLines w:val="0"/>
        <w:pageBreakBefore w:val="0"/>
        <w:widowControl/>
        <w:kinsoku/>
        <w:wordWrap/>
        <w:overflowPunct/>
        <w:topLinePunct w:val="0"/>
        <w:autoSpaceDE/>
        <w:autoSpaceDN/>
        <w:bidi w:val="0"/>
        <w:snapToGrid/>
        <w:spacing w:line="560" w:lineRule="exact"/>
        <w:ind w:firstLine="640" w:firstLineChars="200"/>
        <w:rPr>
          <w:rFonts w:ascii="Times New Roman" w:hAnsi="Times New Roman"/>
          <w:b w:val="0"/>
          <w:bCs w:val="0"/>
          <w:color w:val="000000"/>
        </w:rPr>
      </w:pPr>
      <w:r>
        <w:rPr>
          <w:rFonts w:ascii="Times New Roman" w:hAnsi="Times New Roman"/>
          <w:b w:val="0"/>
          <w:bCs w:val="0"/>
          <w:color w:val="000000"/>
        </w:rPr>
        <w:t>稳定本地农产品、畜禽产品等核心供给来源。对重要民生商品实行库存监测预警，科学核定粮食、食用油、冻肉、蔬菜等重要民生商品储备规模，动态调整储备品类与数量。制定师团两级分级分类应急保供预案，建立跨部门应急协同机制，设立应急物资运输</w:t>
      </w:r>
      <w:r>
        <w:rPr>
          <w:rFonts w:hint="eastAsia" w:ascii="Times New Roman" w:hAnsi="Times New Roman"/>
          <w:b w:val="0"/>
          <w:bCs w:val="0"/>
          <w:color w:val="000000"/>
          <w:lang w:eastAsia="zh-CN"/>
        </w:rPr>
        <w:t>“</w:t>
      </w:r>
      <w:r>
        <w:rPr>
          <w:rFonts w:ascii="Times New Roman" w:hAnsi="Times New Roman"/>
          <w:b w:val="0"/>
          <w:bCs w:val="0"/>
          <w:color w:val="000000"/>
        </w:rPr>
        <w:t>绿色通道</w:t>
      </w:r>
      <w:r>
        <w:rPr>
          <w:rFonts w:hint="eastAsia" w:ascii="Times New Roman" w:hAnsi="Times New Roman"/>
          <w:b w:val="0"/>
          <w:bCs w:val="0"/>
          <w:color w:val="000000"/>
          <w:lang w:eastAsia="zh-CN"/>
        </w:rPr>
        <w:t>”</w:t>
      </w:r>
      <w:r>
        <w:rPr>
          <w:rFonts w:ascii="Times New Roman" w:hAnsi="Times New Roman"/>
          <w:b w:val="0"/>
          <w:bCs w:val="0"/>
          <w:color w:val="000000"/>
        </w:rPr>
        <w:t>，保障应急状态下物资调得快、运得畅、供得上。</w:t>
      </w:r>
    </w:p>
    <w:p w14:paraId="073E9437">
      <w:pPr>
        <w:pStyle w:val="7"/>
        <w:bidi w:val="0"/>
        <w:rPr>
          <w:lang w:val="en-US" w:eastAsia="zh-CN"/>
        </w:rPr>
      </w:pPr>
      <w:bookmarkStart w:id="60" w:name="_Toc28612"/>
      <w:r>
        <w:rPr>
          <w:lang w:val="en-US" w:eastAsia="zh-CN"/>
        </w:rPr>
        <w:t>第二节 推进商务领域法治建设</w:t>
      </w:r>
      <w:bookmarkEnd w:id="60"/>
    </w:p>
    <w:p w14:paraId="3455C788">
      <w:pPr>
        <w:keepNext w:val="0"/>
        <w:keepLines w:val="0"/>
        <w:pageBreakBefore w:val="0"/>
        <w:widowControl/>
        <w:kinsoku/>
        <w:wordWrap/>
        <w:overflowPunct/>
        <w:topLinePunct w:val="0"/>
        <w:autoSpaceDE/>
        <w:autoSpaceDN/>
        <w:bidi w:val="0"/>
        <w:snapToGrid/>
        <w:spacing w:line="560" w:lineRule="exact"/>
        <w:ind w:firstLine="640" w:firstLineChars="200"/>
        <w:rPr>
          <w:rFonts w:ascii="Times New Roman" w:hAnsi="Times New Roman"/>
          <w:b w:val="0"/>
          <w:bCs w:val="0"/>
          <w:color w:val="000000"/>
          <w:lang w:val="en-US" w:eastAsia="zh-CN"/>
        </w:rPr>
      </w:pPr>
      <w:r>
        <w:rPr>
          <w:rFonts w:ascii="Times New Roman" w:hAnsi="Times New Roman"/>
          <w:b w:val="0"/>
          <w:bCs w:val="0"/>
          <w:color w:val="000000"/>
          <w:lang w:val="en-US" w:eastAsia="zh-CN"/>
        </w:rPr>
        <w:t>配合执法部门加强对大型商超、住宿餐饮、专业市场等人员密集场所及成品油流通企业的安全隐患排查，提供行业信息与协调支持，筑牢安全生产法治防线。协助打击商贸活动中的虚假宣传、假冒伪劣、合同欺诈等违法行为，加强对电子商务、对外贸易等领域的合规监管，维护公平竞争的市场环境。</w:t>
      </w:r>
    </w:p>
    <w:p w14:paraId="1DEDB6EC">
      <w:pPr>
        <w:pStyle w:val="7"/>
        <w:bidi w:val="0"/>
        <w:rPr>
          <w:lang w:val="en-US" w:eastAsia="zh-CN"/>
        </w:rPr>
      </w:pPr>
      <w:bookmarkStart w:id="61" w:name="_Toc598"/>
      <w:r>
        <w:rPr>
          <w:lang w:val="en-US" w:eastAsia="zh-CN"/>
        </w:rPr>
        <w:t>第三节 构建安全生产责任体系</w:t>
      </w:r>
      <w:bookmarkEnd w:id="61"/>
    </w:p>
    <w:p w14:paraId="1C553761">
      <w:pPr>
        <w:keepNext w:val="0"/>
        <w:keepLines w:val="0"/>
        <w:pageBreakBefore w:val="0"/>
        <w:widowControl/>
        <w:kinsoku/>
        <w:wordWrap/>
        <w:overflowPunct/>
        <w:topLinePunct w:val="0"/>
        <w:autoSpaceDE/>
        <w:autoSpaceDN/>
        <w:bidi w:val="0"/>
        <w:snapToGrid/>
        <w:spacing w:line="560" w:lineRule="exact"/>
        <w:ind w:firstLine="640" w:firstLineChars="200"/>
        <w:rPr>
          <w:rFonts w:ascii="Times New Roman" w:hAnsi="Times New Roman"/>
          <w:b w:val="0"/>
          <w:bCs w:val="0"/>
          <w:color w:val="000000"/>
          <w:lang w:val="en-US" w:eastAsia="zh-CN"/>
        </w:rPr>
      </w:pPr>
      <w:r>
        <w:rPr>
          <w:rFonts w:ascii="Times New Roman" w:hAnsi="Times New Roman"/>
          <w:b w:val="0"/>
          <w:bCs w:val="0"/>
          <w:color w:val="000000"/>
          <w:lang w:val="en-US" w:eastAsia="zh-CN"/>
        </w:rPr>
        <w:t>严格遵循</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党政同责、一岗双责、齐抓共管、失职追责</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和</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三管三必须</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原则，持续推动安全生产理念和要求进行业规划。强化重点行业领域安全生产整治，做好安全隐患排查，确保商务领域安全生产形势持续平稳。强化企业主体责任落实，加强安全培训考核，提升从业人员安全意识和应急处置能力。落实好各类展会期间的安全生产责任。</w:t>
      </w:r>
    </w:p>
    <w:p w14:paraId="6F743AD7">
      <w:pPr>
        <w:pStyle w:val="7"/>
        <w:bidi w:val="0"/>
        <w:rPr>
          <w:lang w:val="en-US" w:eastAsia="zh-CN"/>
        </w:rPr>
      </w:pPr>
      <w:bookmarkStart w:id="62" w:name="_Toc30349"/>
      <w:r>
        <w:rPr>
          <w:lang w:val="en-US" w:eastAsia="zh-CN"/>
        </w:rPr>
        <w:t>第四节 防范商务领域廉政风险</w:t>
      </w:r>
      <w:bookmarkEnd w:id="62"/>
    </w:p>
    <w:p w14:paraId="23006323">
      <w:pPr>
        <w:keepNext w:val="0"/>
        <w:keepLines w:val="0"/>
        <w:pageBreakBefore w:val="0"/>
        <w:widowControl/>
        <w:kinsoku/>
        <w:wordWrap/>
        <w:overflowPunct/>
        <w:topLinePunct w:val="0"/>
        <w:autoSpaceDE/>
        <w:autoSpaceDN/>
        <w:bidi w:val="0"/>
        <w:snapToGrid/>
        <w:spacing w:line="560" w:lineRule="exact"/>
        <w:ind w:firstLine="640" w:firstLineChars="200"/>
        <w:rPr>
          <w:rFonts w:ascii="Times New Roman" w:hAnsi="Times New Roman"/>
          <w:b w:val="0"/>
          <w:bCs w:val="0"/>
          <w:color w:val="000000"/>
          <w:lang w:val="en-US" w:eastAsia="zh-CN"/>
        </w:rPr>
        <w:sectPr>
          <w:footerReference r:id="rId6" w:type="default"/>
          <w:endnotePr>
            <w:numFmt w:val="decimal"/>
          </w:endnotePr>
          <w:pgSz w:w="11911" w:h="16838"/>
          <w:pgMar w:top="2098" w:right="1587" w:bottom="2098" w:left="1587" w:header="0" w:footer="0" w:gutter="0"/>
          <w:pgBorders>
            <w:top w:val="none" w:sz="0" w:space="0"/>
            <w:left w:val="none" w:sz="0" w:space="0"/>
            <w:bottom w:val="none" w:sz="0" w:space="0"/>
            <w:right w:val="none" w:sz="0" w:space="0"/>
          </w:pgBorders>
          <w:pgNumType w:fmt="decimal" w:start="1"/>
          <w:cols w:space="720" w:num="1"/>
          <w:rtlGutter w:val="0"/>
          <w:docGrid w:linePitch="312" w:charSpace="0"/>
        </w:sectPr>
      </w:pPr>
      <w:r>
        <w:rPr>
          <w:rFonts w:ascii="Times New Roman" w:hAnsi="Times New Roman"/>
          <w:b w:val="0"/>
          <w:bCs w:val="0"/>
          <w:color w:val="000000"/>
          <w:lang w:val="en-US" w:eastAsia="zh-CN"/>
        </w:rPr>
        <w:t>强化作风建设，落实中央八项规定及其实施细则精神，驰而不息纠治</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四风</w:t>
      </w:r>
      <w:r>
        <w:rPr>
          <w:rFonts w:hint="eastAsia" w:ascii="Times New Roman" w:hAnsi="Times New Roman"/>
          <w:b w:val="0"/>
          <w:bCs w:val="0"/>
          <w:color w:val="000000"/>
          <w:lang w:val="en-US" w:eastAsia="zh-CN"/>
        </w:rPr>
        <w:t>”</w:t>
      </w:r>
      <w:r>
        <w:rPr>
          <w:rFonts w:ascii="Times New Roman" w:hAnsi="Times New Roman"/>
          <w:b w:val="0"/>
          <w:bCs w:val="0"/>
          <w:color w:val="000000"/>
          <w:lang w:val="en-US" w:eastAsia="zh-CN"/>
        </w:rPr>
        <w:t>，推进作风建设常态化长效化。紧盯重点领域、重点对象，构建常态化全流程监督机制，提升监督效能，增强监督合力。加强商务系统干部廉政教育，筑牢拒腐防变的思想根基，营造干事创业、求真务实、风清气正的政治生态和良好发展环境。规范政商交往行为，构建亲清政商关系。</w:t>
      </w:r>
    </w:p>
    <w:p w14:paraId="3662109C">
      <w:pPr>
        <w:pStyle w:val="6"/>
        <w:bidi w:val="0"/>
        <w:rPr>
          <w:lang w:val="en-US" w:eastAsia="zh-CN"/>
        </w:rPr>
      </w:pPr>
      <w:bookmarkStart w:id="63" w:name="_Toc29332"/>
      <w:r>
        <w:rPr>
          <w:lang w:val="en-US" w:eastAsia="zh-CN"/>
        </w:rPr>
        <w:t>第</w:t>
      </w:r>
      <w:r>
        <w:rPr>
          <w:rFonts w:hint="eastAsia"/>
          <w:lang w:val="en-US" w:eastAsia="zh-CN"/>
        </w:rPr>
        <w:t>七</w:t>
      </w:r>
      <w:r>
        <w:rPr>
          <w:lang w:val="en-US" w:eastAsia="zh-CN"/>
        </w:rPr>
        <w:t>章 坚持精准保障赋能 夯实商务发展支撑</w:t>
      </w:r>
      <w:bookmarkEnd w:id="63"/>
    </w:p>
    <w:p w14:paraId="4B3AFFC2">
      <w:pPr>
        <w:pStyle w:val="7"/>
        <w:bidi w:val="0"/>
        <w:rPr>
          <w:lang w:val="en-US" w:eastAsia="zh-CN"/>
        </w:rPr>
      </w:pPr>
      <w:bookmarkStart w:id="64" w:name="_Toc7981"/>
      <w:r>
        <w:rPr>
          <w:lang w:val="en-US" w:eastAsia="zh-CN"/>
        </w:rPr>
        <w:t>第一节 加强党对商务工作的全面领导</w:t>
      </w:r>
      <w:bookmarkEnd w:id="64"/>
    </w:p>
    <w:p w14:paraId="24D19526">
      <w:pPr>
        <w:keepNext w:val="0"/>
        <w:keepLines w:val="0"/>
        <w:pageBreakBefore w:val="0"/>
        <w:widowControl/>
        <w:kinsoku/>
        <w:wordWrap/>
        <w:overflowPunct/>
        <w:topLinePunct w:val="0"/>
        <w:autoSpaceDE/>
        <w:autoSpaceDN/>
        <w:bidi w:val="0"/>
        <w:snapToGrid/>
        <w:spacing w:before="0" w:after="0" w:line="540" w:lineRule="exact"/>
        <w:rPr>
          <w:rFonts w:ascii="Times New Roman" w:hAnsi="Times New Roman"/>
          <w:color w:val="000000"/>
          <w:lang w:val="en-US" w:eastAsia="zh-CN"/>
        </w:rPr>
      </w:pPr>
      <w:r>
        <w:rPr>
          <w:rFonts w:ascii="Times New Roman" w:hAnsi="Times New Roman"/>
          <w:color w:val="000000"/>
          <w:lang w:val="en-US" w:eastAsia="zh-CN"/>
        </w:rPr>
        <w:t>始终把党的领导贯穿于“十五五”商务规划实施、商务事业改革发展全过程、各领域、各环节，确保商务工作始终沿着党中央确定的正确政治方向稳步推进。紧扣国家重大战略部署与区域发展总体要求，聚焦消费提质扩容、贸易创新发展、内外贸一体化融合、商务领域风险防控等重点任务，强化党建引领与业务工作深度融合，以坚强的政治保障、组织保障、作风保障，推动“十五五”时期商务各项目标任务落地见效，为服务构建新发展格局筑牢根本政治保证。</w:t>
      </w:r>
    </w:p>
    <w:p w14:paraId="3DB52DE1">
      <w:pPr>
        <w:pStyle w:val="7"/>
        <w:bidi w:val="0"/>
        <w:rPr>
          <w:lang w:val="en-US" w:eastAsia="zh-CN"/>
        </w:rPr>
      </w:pPr>
      <w:r>
        <w:rPr>
          <w:lang w:val="en-US" w:eastAsia="zh-CN"/>
        </w:rPr>
        <w:t>第二节 推动兵地深度融合</w:t>
      </w:r>
    </w:p>
    <w:p w14:paraId="411C281E">
      <w:pPr>
        <w:keepNext w:val="0"/>
        <w:keepLines w:val="0"/>
        <w:pageBreakBefore w:val="0"/>
        <w:widowControl/>
        <w:kinsoku/>
        <w:wordWrap/>
        <w:overflowPunct/>
        <w:topLinePunct w:val="0"/>
        <w:autoSpaceDE/>
        <w:autoSpaceDN/>
        <w:bidi w:val="0"/>
        <w:snapToGrid/>
        <w:spacing w:before="0" w:after="0" w:line="540" w:lineRule="exact"/>
        <w:rPr>
          <w:rFonts w:ascii="Times New Roman" w:hAnsi="Times New Roman"/>
          <w:color w:val="000000"/>
          <w:lang w:val="en-US" w:eastAsia="zh-CN"/>
        </w:rPr>
      </w:pPr>
      <w:r>
        <w:rPr>
          <w:rFonts w:ascii="Times New Roman" w:hAnsi="Times New Roman"/>
          <w:color w:val="000000"/>
          <w:lang w:val="en-US" w:eastAsia="zh-CN"/>
        </w:rPr>
        <w:t>坚持兵地一盘棋，完善兵地融合发展</w:t>
      </w:r>
      <w:r>
        <w:rPr>
          <w:rFonts w:ascii="Times New Roman" w:hAnsi="Times New Roman"/>
          <w:color w:val="000000"/>
        </w:rPr>
        <w:t>规划设计和长效机制</w:t>
      </w:r>
      <w:r>
        <w:rPr>
          <w:rFonts w:ascii="Times New Roman" w:hAnsi="Times New Roman"/>
          <w:color w:val="000000"/>
          <w:lang w:val="en-US" w:eastAsia="zh-CN"/>
        </w:rPr>
        <w:t>，落实兵地融合发展联席会议制度，建立兵地商务人才交流机制，形成常态化协同工作格局。</w:t>
      </w:r>
      <w:r>
        <w:rPr>
          <w:rFonts w:ascii="Times New Roman" w:hAnsi="Times New Roman"/>
          <w:color w:val="000000"/>
        </w:rPr>
        <w:t>加强兵地产业布局、</w:t>
      </w:r>
      <w:r>
        <w:rPr>
          <w:rFonts w:ascii="Times New Roman" w:hAnsi="Times New Roman"/>
          <w:color w:val="000000"/>
          <w:lang w:val="en-US" w:eastAsia="zh-CN"/>
        </w:rPr>
        <w:t>招商引资、</w:t>
      </w:r>
      <w:r>
        <w:rPr>
          <w:rFonts w:ascii="Times New Roman" w:hAnsi="Times New Roman"/>
          <w:color w:val="000000"/>
        </w:rPr>
        <w:t>资源开发、重大项目、公共服务等方面的</w:t>
      </w:r>
      <w:r>
        <w:rPr>
          <w:rFonts w:ascii="Times New Roman" w:hAnsi="Times New Roman"/>
          <w:color w:val="000000"/>
          <w:lang w:val="en-US" w:eastAsia="zh-CN"/>
        </w:rPr>
        <w:t>资源共享和</w:t>
      </w:r>
      <w:r>
        <w:rPr>
          <w:rFonts w:ascii="Times New Roman" w:hAnsi="Times New Roman"/>
          <w:color w:val="000000"/>
        </w:rPr>
        <w:t>协商合作。建立兵地商务监管协同机制，</w:t>
      </w:r>
      <w:r>
        <w:rPr>
          <w:rFonts w:ascii="Times New Roman" w:hAnsi="Times New Roman"/>
          <w:color w:val="000000"/>
          <w:lang w:val="en-US" w:eastAsia="zh-CN"/>
        </w:rPr>
        <w:t>推动</w:t>
      </w:r>
      <w:r>
        <w:rPr>
          <w:rFonts w:ascii="Times New Roman" w:hAnsi="Times New Roman"/>
          <w:color w:val="000000"/>
        </w:rPr>
        <w:t>开展兵地联合执法检查，维护公平统一的市场环境。</w:t>
      </w:r>
      <w:r>
        <w:rPr>
          <w:rFonts w:ascii="Times New Roman" w:hAnsi="Times New Roman"/>
          <w:color w:val="000000"/>
          <w:lang w:val="en-US" w:eastAsia="zh-CN"/>
        </w:rPr>
        <w:t>推动兵地联合构建师团连商贸网络，积极推进</w:t>
      </w:r>
      <w:r>
        <w:rPr>
          <w:rFonts w:ascii="Times New Roman" w:hAnsi="Times New Roman"/>
          <w:color w:val="000000"/>
        </w:rPr>
        <w:t>兵地便民消费网点互嵌布局，补齐连队（村）商贸服务短板，实现兵地消费服务均等化。</w:t>
      </w:r>
      <w:r>
        <w:rPr>
          <w:rFonts w:ascii="Times New Roman" w:hAnsi="Times New Roman"/>
          <w:color w:val="000000"/>
          <w:lang w:val="en-US" w:eastAsia="zh-CN"/>
        </w:rPr>
        <w:t>深化共建开放平台，联合博州共同推进阿拉山口重点开发开放试验区、跨境电商综试区等重点平台建设，实现政策叠加、优势互补。</w:t>
      </w:r>
    </w:p>
    <w:p w14:paraId="36233ADA">
      <w:pPr>
        <w:pStyle w:val="7"/>
        <w:bidi w:val="0"/>
        <w:rPr>
          <w:lang w:val="en-US" w:eastAsia="zh-CN"/>
        </w:rPr>
      </w:pPr>
      <w:bookmarkStart w:id="65" w:name="_Toc16450"/>
      <w:bookmarkStart w:id="66" w:name="_Toc6718"/>
      <w:bookmarkStart w:id="67" w:name="_Toc31744"/>
      <w:bookmarkStart w:id="68" w:name="_Toc21893"/>
      <w:bookmarkStart w:id="69" w:name="_Toc32001"/>
      <w:r>
        <w:rPr>
          <w:lang w:val="en-US" w:eastAsia="zh-CN"/>
        </w:rPr>
        <w:t>第三节 充分利用援疆资源</w:t>
      </w:r>
      <w:bookmarkEnd w:id="65"/>
      <w:bookmarkEnd w:id="66"/>
      <w:bookmarkEnd w:id="67"/>
      <w:bookmarkEnd w:id="68"/>
      <w:bookmarkEnd w:id="69"/>
    </w:p>
    <w:p w14:paraId="2AA298EF">
      <w:pPr>
        <w:keepNext w:val="0"/>
        <w:keepLines w:val="0"/>
        <w:pageBreakBefore w:val="0"/>
        <w:widowControl/>
        <w:kinsoku/>
        <w:wordWrap/>
        <w:overflowPunct/>
        <w:topLinePunct w:val="0"/>
        <w:autoSpaceDE/>
        <w:autoSpaceDN/>
        <w:bidi w:val="0"/>
        <w:snapToGrid/>
        <w:spacing w:before="0" w:after="0" w:line="540" w:lineRule="exact"/>
        <w:rPr>
          <w:rFonts w:ascii="Times New Roman" w:hAnsi="Times New Roman"/>
          <w:color w:val="000000"/>
          <w:lang w:val="en-US" w:eastAsia="zh-CN"/>
        </w:rPr>
      </w:pPr>
      <w:r>
        <w:rPr>
          <w:rFonts w:ascii="Times New Roman" w:hAnsi="Times New Roman"/>
          <w:color w:val="000000"/>
          <w:lang w:val="en-US" w:eastAsia="zh-CN"/>
        </w:rPr>
        <w:t>深度对接援疆机制，将援疆优势转化为商务发展实效。深化</w:t>
      </w:r>
      <w:r>
        <w:rPr>
          <w:rFonts w:hint="eastAsia" w:ascii="Times New Roman" w:hAnsi="Times New Roman"/>
          <w:color w:val="000000"/>
          <w:lang w:val="en-US" w:eastAsia="zh-CN"/>
        </w:rPr>
        <w:t>“</w:t>
      </w:r>
      <w:r>
        <w:rPr>
          <w:rFonts w:ascii="Times New Roman" w:hAnsi="Times New Roman"/>
          <w:color w:val="000000"/>
          <w:lang w:val="en-US" w:eastAsia="zh-CN"/>
        </w:rPr>
        <w:t>民营企业进边疆</w:t>
      </w:r>
      <w:r>
        <w:rPr>
          <w:rFonts w:hint="eastAsia" w:ascii="Times New Roman" w:hAnsi="Times New Roman"/>
          <w:color w:val="000000"/>
          <w:lang w:val="en-US" w:eastAsia="zh-CN"/>
        </w:rPr>
        <w:t>”</w:t>
      </w:r>
      <w:r>
        <w:rPr>
          <w:rFonts w:ascii="Times New Roman" w:hAnsi="Times New Roman"/>
          <w:color w:val="000000"/>
          <w:lang w:val="en-US" w:eastAsia="zh-CN"/>
        </w:rPr>
        <w:t>行动，推动开发区与双河经开区深化合作，共建物流产业园、分拨中心等实体平台，借助援疆资源引入物流、检测、品牌策划等专业服务机构，提升本地产业配套服务能级。常态化开展援疆省市农产品推介会，</w:t>
      </w:r>
      <w:r>
        <w:rPr>
          <w:rFonts w:ascii="Times New Roman" w:hAnsi="Times New Roman"/>
          <w:color w:val="000000"/>
        </w:rPr>
        <w:t>深化工会集采</w:t>
      </w:r>
      <w:r>
        <w:rPr>
          <w:rFonts w:ascii="Times New Roman" w:hAnsi="Times New Roman"/>
          <w:color w:val="000000"/>
          <w:lang w:eastAsia="zh-CN"/>
        </w:rPr>
        <w:t>、</w:t>
      </w:r>
      <w:r>
        <w:rPr>
          <w:rFonts w:ascii="Times New Roman" w:hAnsi="Times New Roman"/>
          <w:color w:val="000000"/>
        </w:rPr>
        <w:t>企业直采</w:t>
      </w:r>
      <w:r>
        <w:rPr>
          <w:rFonts w:ascii="Times New Roman" w:hAnsi="Times New Roman"/>
          <w:color w:val="000000"/>
          <w:lang w:eastAsia="zh-CN"/>
        </w:rPr>
        <w:t>、</w:t>
      </w:r>
      <w:r>
        <w:rPr>
          <w:rFonts w:ascii="Times New Roman" w:hAnsi="Times New Roman"/>
          <w:color w:val="000000"/>
        </w:rPr>
        <w:t>公益助农合作，</w:t>
      </w:r>
      <w:r>
        <w:rPr>
          <w:rFonts w:ascii="Times New Roman" w:hAnsi="Times New Roman"/>
          <w:color w:val="000000"/>
          <w:lang w:val="en-US" w:eastAsia="zh-CN"/>
        </w:rPr>
        <w:t>创新产销对接模式。</w:t>
      </w:r>
    </w:p>
    <w:p w14:paraId="2B9EB9BC">
      <w:pPr>
        <w:pStyle w:val="7"/>
        <w:bidi w:val="0"/>
        <w:rPr>
          <w:lang w:val="en-US" w:eastAsia="zh-CN"/>
        </w:rPr>
      </w:pPr>
      <w:bookmarkStart w:id="70" w:name="_Toc18074"/>
      <w:r>
        <w:rPr>
          <w:lang w:val="en-US" w:eastAsia="zh-CN"/>
        </w:rPr>
        <w:t>第四节 强化干部队伍建设</w:t>
      </w:r>
      <w:bookmarkEnd w:id="70"/>
    </w:p>
    <w:p w14:paraId="1BA745AC">
      <w:pPr>
        <w:keepNext w:val="0"/>
        <w:keepLines w:val="0"/>
        <w:pageBreakBefore w:val="0"/>
        <w:widowControl/>
        <w:kinsoku/>
        <w:wordWrap/>
        <w:overflowPunct/>
        <w:topLinePunct w:val="0"/>
        <w:autoSpaceDE/>
        <w:autoSpaceDN/>
        <w:bidi w:val="0"/>
        <w:snapToGrid/>
        <w:spacing w:before="0" w:after="0" w:line="560" w:lineRule="exact"/>
        <w:rPr>
          <w:rFonts w:ascii="Times New Roman" w:hAnsi="Times New Roman"/>
          <w:color w:val="000000"/>
          <w:lang w:val="en-US" w:eastAsia="zh-CN"/>
        </w:rPr>
      </w:pPr>
      <w:r>
        <w:rPr>
          <w:rFonts w:ascii="Times New Roman" w:hAnsi="Times New Roman"/>
          <w:color w:val="000000"/>
          <w:lang w:val="en-US" w:eastAsia="zh-CN"/>
        </w:rPr>
        <w:t>打造一支专业素质高、综合能力强的商务干部队伍，</w:t>
      </w:r>
      <w:r>
        <w:rPr>
          <w:rFonts w:ascii="Times New Roman" w:hAnsi="Times New Roman"/>
          <w:color w:val="000000"/>
        </w:rPr>
        <w:t>围绕商务发展需要，鲜明树立</w:t>
      </w:r>
      <w:r>
        <w:rPr>
          <w:rFonts w:hint="eastAsia" w:ascii="Times New Roman" w:hAnsi="Times New Roman"/>
          <w:color w:val="000000"/>
          <w:lang w:eastAsia="zh-CN"/>
        </w:rPr>
        <w:t>“</w:t>
      </w:r>
      <w:r>
        <w:rPr>
          <w:rFonts w:ascii="Times New Roman" w:hAnsi="Times New Roman"/>
          <w:color w:val="000000"/>
        </w:rPr>
        <w:t>以事择人、人岗相适</w:t>
      </w:r>
      <w:r>
        <w:rPr>
          <w:rFonts w:hint="eastAsia" w:ascii="Times New Roman" w:hAnsi="Times New Roman"/>
          <w:color w:val="000000"/>
          <w:lang w:eastAsia="zh-CN"/>
        </w:rPr>
        <w:t>”</w:t>
      </w:r>
      <w:r>
        <w:rPr>
          <w:rFonts w:ascii="Times New Roman" w:hAnsi="Times New Roman"/>
          <w:color w:val="000000"/>
        </w:rPr>
        <w:t>的导向</w:t>
      </w:r>
      <w:r>
        <w:rPr>
          <w:rFonts w:ascii="Times New Roman" w:hAnsi="Times New Roman"/>
          <w:color w:val="000000"/>
          <w:lang w:eastAsia="zh-CN"/>
        </w:rPr>
        <w:t>，</w:t>
      </w:r>
      <w:r>
        <w:rPr>
          <w:rFonts w:ascii="Times New Roman" w:hAnsi="Times New Roman"/>
          <w:color w:val="000000"/>
        </w:rPr>
        <w:t>注重从服务企业、招商引资、外贸稳增长等一线实践中识别和选拔政治素质过硬、敢于担当的干部</w:t>
      </w:r>
      <w:r>
        <w:rPr>
          <w:rFonts w:ascii="Times New Roman" w:hAnsi="Times New Roman"/>
          <w:color w:val="000000"/>
          <w:lang w:eastAsia="zh-CN"/>
        </w:rPr>
        <w:t>。</w:t>
      </w:r>
      <w:r>
        <w:rPr>
          <w:rFonts w:ascii="Times New Roman" w:hAnsi="Times New Roman"/>
          <w:color w:val="000000"/>
          <w:lang w:val="en-US" w:eastAsia="zh-CN"/>
        </w:rPr>
        <w:t>围绕商贸物流、跨境电商等重点领域，建立分层分类的人才培养体系。</w:t>
      </w:r>
      <w:r>
        <w:rPr>
          <w:rFonts w:ascii="Times New Roman" w:hAnsi="Times New Roman"/>
          <w:color w:val="000000"/>
        </w:rPr>
        <w:t>实施干部专业化能力提升计划</w:t>
      </w:r>
      <w:r>
        <w:rPr>
          <w:rFonts w:ascii="Times New Roman" w:hAnsi="Times New Roman"/>
          <w:color w:val="000000"/>
          <w:lang w:eastAsia="zh-CN"/>
        </w:rPr>
        <w:t>，加大商务系统干部队伍培训力度，持续提高商务干部队伍专业化能力水平。</w:t>
      </w:r>
    </w:p>
    <w:p w14:paraId="70DDA544">
      <w:pPr>
        <w:pStyle w:val="7"/>
        <w:bidi w:val="0"/>
        <w:rPr>
          <w:lang w:val="en-US" w:eastAsia="zh-CN"/>
        </w:rPr>
      </w:pPr>
      <w:bookmarkStart w:id="71" w:name="_Toc3547"/>
      <w:bookmarkStart w:id="72" w:name="_Toc20876"/>
      <w:bookmarkStart w:id="73" w:name="_Toc24025"/>
      <w:bookmarkStart w:id="74" w:name="_Toc13415"/>
      <w:bookmarkStart w:id="75" w:name="_Toc14871"/>
      <w:r>
        <w:rPr>
          <w:lang w:val="en-US" w:eastAsia="zh-CN"/>
        </w:rPr>
        <w:t>第五节 完善规划实施机制</w:t>
      </w:r>
      <w:bookmarkEnd w:id="71"/>
      <w:bookmarkEnd w:id="72"/>
      <w:bookmarkEnd w:id="73"/>
      <w:bookmarkEnd w:id="74"/>
      <w:bookmarkEnd w:id="75"/>
    </w:p>
    <w:p w14:paraId="458335EC">
      <w:pPr>
        <w:keepNext w:val="0"/>
        <w:keepLines w:val="0"/>
        <w:pageBreakBefore w:val="0"/>
        <w:widowControl/>
        <w:kinsoku/>
        <w:wordWrap/>
        <w:overflowPunct/>
        <w:topLinePunct w:val="0"/>
        <w:autoSpaceDE/>
        <w:autoSpaceDN/>
        <w:bidi w:val="0"/>
        <w:snapToGrid/>
        <w:spacing w:line="560" w:lineRule="exact"/>
        <w:ind w:firstLine="640" w:firstLineChars="200"/>
        <w:rPr>
          <w:rFonts w:ascii="Times New Roman" w:hAnsi="Times New Roman"/>
          <w:color w:val="000000"/>
          <w:lang w:val="en-US" w:eastAsia="zh-CN"/>
        </w:rPr>
      </w:pPr>
      <w:r>
        <w:rPr>
          <w:rFonts w:ascii="Times New Roman" w:hAnsi="Times New Roman"/>
          <w:color w:val="000000"/>
          <w:lang w:val="en-US" w:eastAsia="zh-CN"/>
        </w:rPr>
        <w:t>完善规划落实机制，加强与各部门的政策协调和工作协同。加强规划实施的组织、协调和督导，落实规划实施责任，形成规划实施合力。全程跟踪监测规划实施情况，组织开展规划中期评估和终期评估。</w:t>
      </w:r>
    </w:p>
    <w:sectPr>
      <w:endnotePr>
        <w:numFmt w:val="decimal"/>
      </w:endnotePr>
      <w:pgSz w:w="11911" w:h="16838"/>
      <w:pgMar w:top="2098" w:right="1587" w:bottom="2098" w:left="1587" w:header="0" w:footer="0" w:gutter="0"/>
      <w:pgBorders>
        <w:top w:val="none" w:sz="0" w:space="0"/>
        <w:left w:val="none" w:sz="0" w:space="0"/>
        <w:bottom w:val="none" w:sz="0" w:space="0"/>
        <w:right w:val="none" w:sz="0" w:space="0"/>
      </w:pgBorders>
      <w:pgNumType w:fmt="decimal" w:start="1"/>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2C894">
    <w:pPr>
      <w:pStyle w:val="26"/>
      <w:tabs>
        <w:tab w:val="clear" w:pos="4153"/>
        <w:tab w:val="clear" w:pos="8306"/>
      </w:tabs>
      <w:rPr>
        <w:rFonts w:hint="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C7D2E">
    <w:pPr>
      <w:pStyle w:val="26"/>
      <w:tabs>
        <w:tab w:val="clear" w:pos="4153"/>
        <w:tab w:val="clear" w:pos="8306"/>
      </w:tabs>
      <w:rPr>
        <w:sz w:val="28"/>
      </w:rPr>
    </w:pP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-492760</wp:posOffset>
              </wp:positionV>
              <wp:extent cx="1828800" cy="1828800"/>
              <wp:effectExtent l="0" t="0" r="0" b="0"/>
              <wp:wrapNone/>
              <wp:docPr id="1" name="_x0000_s2057"/>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0A076ED">
                          <w:pPr>
                            <w:pStyle w:val="26"/>
                            <w:tabs>
                              <w:tab w:val="clear" w:pos="4153"/>
                              <w:tab w:val="clear" w:pos="8306"/>
                            </w:tabs>
                          </w:pPr>
                          <w:r>
                            <w:t xml:space="preserve">— </w:t>
                          </w:r>
                          <w:r>
                            <w:fldChar w:fldCharType="begin"/>
                          </w:r>
                          <w:r>
                            <w:instrText xml:space="preserve"> PAGE  \* MERGEFORMAT </w:instrText>
                          </w:r>
                          <w:r>
                            <w:fldChar w:fldCharType="separate"/>
                          </w:r>
                          <w:r>
                            <w:t>1</w:t>
                          </w:r>
                          <w:r>
                            <w:fldChar w:fldCharType="end"/>
                          </w:r>
                          <w:r>
                            <w:t xml:space="preserve"> —</w:t>
                          </w:r>
                        </w:p>
                        <w:p w14:paraId="4EF564FD"/>
                      </w:txbxContent>
                    </wps:txbx>
                    <wps:bodyPr rot="0" vert="horz" wrap="square" lIns="91440" tIns="45720" rIns="91440" bIns="45720" anchor="t" anchorCtr="0"/>
                  </wps:wsp>
                </a:graphicData>
              </a:graphic>
            </wp:anchor>
          </w:drawing>
        </mc:Choice>
        <mc:Fallback>
          <w:pict>
            <v:rect id="_x0000_s2057" o:spid="_x0000_s1026" o:spt="1" style="position:absolute;left:0pt;margin-top:-38.8pt;height:144pt;width:144pt;mso-position-horizontal:outside;mso-position-horizontal-relative:margin;z-index:251659264;mso-width-relative:page;mso-height-relative:page;" filled="f" stroked="f" coordsize="21600,21600" o:gfxdata="UEsDBAoAAAAAAIdO4kAAAAAAAAAAAAAAAAAEAAAAZHJzL1BLAwQUAAAACACHTuJA/EpkB9kAAAAI&#10;AQAADwAAAGRycy9kb3ducmV2LnhtbE2PQUvDQBCF74L/YRnBi7S7KdKGmE0PBbGIUEy15212TILZ&#10;2TS7Teq/dzzV28y8x5vv5euL68SIQ2g9aUjmCgRS5W1LtYaP/fMsBRGiIWs6T6jhBwOsi9ub3GTW&#10;T/SOYxlrwSEUMqOhibHPpAxVg86Eue+RWPvygzOR16GWdjATh7tOLpRaSmda4g+N6XHTYPVdnp2G&#10;qdqNh/3bi9w9HLaeTtvTpvx81fr+LlFPICJe4tUMf/iMDgUzHf2ZbBCdBi4SNcxWqyUIlhdpypcj&#10;D4l6BFnk8n+B4hdQSwMEFAAAAAgAh07iQCAx6F26AQAAhgMAAA4AAABkcnMvZTJvRG9jLnhtbK1T&#10;TW/bMAy9D9h/EHRf7BjpmhlxeliwYcCwFWh3LhRZigVYHyOV2NmvHyW7adBdepgPMmlKT+890pu7&#10;0fbspACNdw1fLkrOlJO+Ne7Q8F+PXz6sOcMoXCt671TDzwr53fb9u80QalX5zvetAkYgDushNLyL&#10;MdRFgbJTVuDCB+WoqD1YESmFQ9GCGAjd9kVVlh+LwUMbwEuFSF93U5HPiPAWQK+1kWrn5dEqFydU&#10;UL2IJAk7E5BvM1utlYw/tUYVWd9wUhrzSpdQvE9rsd2I+gAidEbOFMRbKLzSZIVxdOkFaieiYEcw&#10;/0BZI8Gj13EhvS0mIdkRUrEsX3nz0ImgshayGsPFdPx/sPLH6R6YaWkSOHPCUsOfxpKeJ6zKm9vk&#10;zxCwpm0P4R7mDClMYkcNNr1JBhuzp+eLp2qMTNLH5bpar0uyW1LtOSGc4uV4AIxflbcsBQ0Halr2&#10;Upy+Y5y2Pm+hc4nORCBFcdyPM6u9b8+kBfzUZBpxCjoPfzgbqMENx99HAYqz/psjBz8tV6s0ETlZ&#10;3dxWlMB1ZX9dEU4SVMMjZ1P4OeYpSvQSD2pP1jSPUur/dZ53vfw+2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8SmQH2QAAAAgBAAAPAAAAAAAAAAEAIAAAACIAAABkcnMvZG93bnJldi54bWxQSwEC&#10;FAAUAAAACACHTuJAIDHoXboBAACGAwAADgAAAAAAAAABACAAAAAoAQAAZHJzL2Uyb0RvYy54bWxQ&#10;SwUGAAAAAAYABgBZAQAAVAUAAAAA&#10;">
              <v:fill on="f" focussize="0,0"/>
              <v:stroke on="f"/>
              <v:imagedata o:title=""/>
              <o:lock v:ext="edit" aspectratio="f"/>
              <v:textbox>
                <w:txbxContent>
                  <w:p w14:paraId="60A076ED">
                    <w:pPr>
                      <w:pStyle w:val="26"/>
                      <w:tabs>
                        <w:tab w:val="clear" w:pos="4153"/>
                        <w:tab w:val="clear" w:pos="8306"/>
                      </w:tabs>
                    </w:pPr>
                    <w:r>
                      <w:t xml:space="preserve">— </w:t>
                    </w:r>
                    <w:r>
                      <w:fldChar w:fldCharType="begin"/>
                    </w:r>
                    <w:r>
                      <w:instrText xml:space="preserve"> PAGE  \* MERGEFORMAT </w:instrText>
                    </w:r>
                    <w:r>
                      <w:fldChar w:fldCharType="separate"/>
                    </w:r>
                    <w:r>
                      <w:t>1</w:t>
                    </w:r>
                    <w:r>
                      <w:fldChar w:fldCharType="end"/>
                    </w:r>
                    <w:r>
                      <w:t xml:space="preserve"> —</w:t>
                    </w:r>
                  </w:p>
                  <w:p w14:paraId="4EF564FD"/>
                </w:txbxContent>
              </v:textbox>
            </v:rect>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haracterSpacingControl w:val="compressPunctuation"/>
  <w:footnotePr>
    <w:footnote w:id="0"/>
    <w:footnote w:id="1"/>
  </w:footnotePr>
  <w:endnotePr>
    <w:numFmt w:val="decimal"/>
    <w:endnote w:id="0"/>
    <w:endnote w:id="1"/>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E63F6F"/>
    <w:rsid w:val="31C68AA9"/>
    <w:rsid w:val="77FED7A3"/>
    <w:rsid w:val="DFFE45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40"/>
    <w:qFormat/>
    <w:uiPriority w:val="0"/>
    <w:pPr>
      <w:widowControl w:val="0"/>
      <w:spacing w:line="560" w:lineRule="exact"/>
      <w:ind w:firstLine="420" w:firstLineChars="200"/>
      <w:jc w:val="both"/>
    </w:pPr>
    <w:rPr>
      <w:rFonts w:ascii="Times New Roman" w:hAnsi="Times New Roman" w:eastAsia="仿宋_GB2312" w:cs="Times New Roman"/>
      <w:kern w:val="2"/>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customStyle="1" w:styleId="5">
    <w:name w:val="标题 11"/>
    <w:basedOn w:val="1"/>
    <w:link w:val="15"/>
    <w:qFormat/>
    <w:uiPriority w:val="0"/>
    <w:pPr>
      <w:keepNext/>
      <w:keepLines w:val="0"/>
      <w:autoSpaceDE/>
      <w:autoSpaceDN/>
      <w:spacing w:before="50" w:beforeAutospacing="0" w:after="50" w:afterAutospacing="0" w:line="860" w:lineRule="exact"/>
      <w:ind w:firstLine="0" w:firstLineChars="0"/>
      <w:jc w:val="center"/>
      <w:outlineLvl w:val="0"/>
    </w:pPr>
    <w:rPr>
      <w:rFonts w:eastAsia="方正小标宋_GBK"/>
      <w:kern w:val="44"/>
      <w:sz w:val="44"/>
      <w:szCs w:val="44"/>
      <w:lang w:eastAsia="ja-JP"/>
    </w:rPr>
  </w:style>
  <w:style w:type="paragraph" w:customStyle="1" w:styleId="6">
    <w:name w:val="标题 21"/>
    <w:basedOn w:val="1"/>
    <w:link w:val="16"/>
    <w:qFormat/>
    <w:uiPriority w:val="0"/>
    <w:pPr>
      <w:keepNext w:val="0"/>
      <w:keepLines w:val="0"/>
      <w:spacing w:before="50" w:after="50" w:line="560" w:lineRule="exact"/>
      <w:ind w:firstLine="0" w:firstLineChars="0"/>
      <w:jc w:val="center"/>
      <w:outlineLvl w:val="1"/>
    </w:pPr>
    <w:rPr>
      <w:rFonts w:eastAsia="黑体"/>
    </w:rPr>
  </w:style>
  <w:style w:type="paragraph" w:customStyle="1" w:styleId="7">
    <w:name w:val="标题 31"/>
    <w:basedOn w:val="6"/>
    <w:link w:val="17"/>
    <w:qFormat/>
    <w:uiPriority w:val="0"/>
    <w:pPr>
      <w:keepNext w:val="0"/>
      <w:keepLines w:val="0"/>
      <w:widowControl w:val="0"/>
      <w:spacing w:before="100" w:beforeAutospacing="0" w:after="50" w:afterAutospacing="0"/>
      <w:ind w:firstLine="0" w:firstLineChars="0"/>
      <w:jc w:val="center"/>
      <w:outlineLvl w:val="2"/>
    </w:pPr>
    <w:rPr>
      <w:rFonts w:hint="eastAsia" w:eastAsia="楷体_GB2312"/>
      <w:b/>
      <w:bCs/>
      <w:kern w:val="0"/>
      <w:szCs w:val="27"/>
      <w:lang w:bidi="ar"/>
    </w:rPr>
  </w:style>
  <w:style w:type="paragraph" w:customStyle="1" w:styleId="8">
    <w:name w:val="标题 41"/>
    <w:basedOn w:val="1"/>
    <w:qFormat/>
    <w:uiPriority w:val="0"/>
    <w:pPr>
      <w:keepNext/>
      <w:keepLines/>
      <w:spacing w:before="50" w:beforeAutospacing="0" w:after="50" w:afterAutospacing="0" w:line="560" w:lineRule="exact"/>
      <w:outlineLvl w:val="3"/>
    </w:pPr>
    <w:rPr>
      <w:rFonts w:ascii="Arial" w:hAnsi="Arial" w:eastAsia="仿宋_GB2312"/>
      <w:sz w:val="32"/>
    </w:rPr>
  </w:style>
  <w:style w:type="paragraph" w:customStyle="1" w:styleId="9">
    <w:name w:val="标题 51"/>
    <w:basedOn w:val="1"/>
    <w:link w:val="18"/>
    <w:qFormat/>
    <w:uiPriority w:val="0"/>
    <w:pPr>
      <w:keepNext/>
      <w:keepLines/>
      <w:spacing w:before="0" w:after="0" w:line="560" w:lineRule="exact"/>
      <w:ind w:left="0" w:firstLine="0" w:firstLineChars="0"/>
      <w:jc w:val="center"/>
      <w:outlineLvl w:val="4"/>
    </w:pPr>
    <w:rPr>
      <w:rFonts w:eastAsia="仿宋_GB2312"/>
      <w:bCs/>
      <w:sz w:val="21"/>
      <w:szCs w:val="28"/>
    </w:rPr>
  </w:style>
  <w:style w:type="character" w:customStyle="1" w:styleId="10">
    <w:name w:val="默认段落字体1"/>
    <w:link w:val="1"/>
    <w:semiHidden/>
    <w:qFormat/>
    <w:uiPriority w:val="0"/>
  </w:style>
  <w:style w:type="table" w:customStyle="1" w:styleId="11">
    <w:name w:val="普通表格1"/>
    <w:semiHidden/>
    <w:qFormat/>
    <w:uiPriority w:val="0"/>
  </w:style>
  <w:style w:type="paragraph" w:customStyle="1" w:styleId="12">
    <w:name w:val="正文首行缩进 21"/>
    <w:basedOn w:val="13"/>
    <w:qFormat/>
    <w:uiPriority w:val="0"/>
    <w:pPr>
      <w:ind w:firstLine="420" w:firstLineChars="200"/>
    </w:pPr>
  </w:style>
  <w:style w:type="paragraph" w:customStyle="1" w:styleId="13">
    <w:name w:val="正文文本缩进1"/>
    <w:basedOn w:val="1"/>
    <w:link w:val="14"/>
    <w:qFormat/>
    <w:uiPriority w:val="0"/>
    <w:pPr>
      <w:spacing w:after="0" w:afterAutospacing="0" w:line="400" w:lineRule="exact"/>
      <w:ind w:left="0" w:leftChars="0" w:firstLine="0" w:firstLineChars="0"/>
    </w:pPr>
    <w:rPr>
      <w:sz w:val="28"/>
    </w:rPr>
  </w:style>
  <w:style w:type="character" w:customStyle="1" w:styleId="14">
    <w:name w:val="正文文本缩进 字符"/>
    <w:basedOn w:val="10"/>
    <w:link w:val="13"/>
    <w:qFormat/>
    <w:uiPriority w:val="0"/>
    <w:rPr>
      <w:sz w:val="28"/>
    </w:rPr>
  </w:style>
  <w:style w:type="character" w:customStyle="1" w:styleId="15">
    <w:name w:val="标题 1 Char"/>
    <w:link w:val="5"/>
    <w:qFormat/>
    <w:uiPriority w:val="0"/>
    <w:rPr>
      <w:rFonts w:eastAsia="方正小标宋_GBK"/>
      <w:kern w:val="44"/>
      <w:sz w:val="44"/>
      <w:szCs w:val="44"/>
      <w:lang w:eastAsia="ja-JP"/>
    </w:rPr>
  </w:style>
  <w:style w:type="character" w:customStyle="1" w:styleId="16">
    <w:name w:val="标题 2 Char"/>
    <w:link w:val="6"/>
    <w:qFormat/>
    <w:uiPriority w:val="0"/>
    <w:rPr>
      <w:rFonts w:ascii="Times New Roman" w:hAnsi="Times New Roman" w:eastAsia="黑体"/>
      <w:sz w:val="32"/>
      <w:szCs w:val="32"/>
    </w:rPr>
  </w:style>
  <w:style w:type="character" w:customStyle="1" w:styleId="17">
    <w:name w:val="标题 3 Char"/>
    <w:link w:val="7"/>
    <w:qFormat/>
    <w:uiPriority w:val="0"/>
    <w:rPr>
      <w:rFonts w:hint="eastAsia" w:ascii="Times New Roman" w:hAnsi="Times New Roman" w:eastAsia="楷体_GB2312"/>
      <w:b/>
      <w:bCs/>
      <w:kern w:val="0"/>
      <w:szCs w:val="27"/>
      <w:lang w:bidi="ar"/>
    </w:rPr>
  </w:style>
  <w:style w:type="character" w:customStyle="1" w:styleId="18">
    <w:name w:val="标题 5 Char"/>
    <w:link w:val="9"/>
    <w:qFormat/>
    <w:uiPriority w:val="0"/>
    <w:rPr>
      <w:rFonts w:eastAsia="仿宋_GB2312"/>
      <w:bCs/>
      <w:sz w:val="21"/>
      <w:szCs w:val="28"/>
    </w:rPr>
  </w:style>
  <w:style w:type="paragraph" w:customStyle="1" w:styleId="19">
    <w:name w:val="正文缩进1"/>
    <w:basedOn w:val="1"/>
    <w:qFormat/>
    <w:uiPriority w:val="0"/>
    <w:pPr>
      <w:ind w:firstLine="420" w:firstLineChars="200"/>
    </w:pPr>
  </w:style>
  <w:style w:type="paragraph" w:customStyle="1" w:styleId="20">
    <w:name w:val="批注文字1"/>
    <w:basedOn w:val="1"/>
    <w:qFormat/>
    <w:uiPriority w:val="0"/>
    <w:pPr>
      <w:jc w:val="left"/>
    </w:pPr>
  </w:style>
  <w:style w:type="paragraph" w:customStyle="1" w:styleId="21">
    <w:name w:val="正文文本1"/>
    <w:basedOn w:val="1"/>
    <w:link w:val="22"/>
    <w:qFormat/>
    <w:uiPriority w:val="0"/>
    <w:pPr>
      <w:spacing w:after="0" w:afterAutospacing="0"/>
    </w:pPr>
    <w:rPr>
      <w:rFonts w:ascii="Times New Roman" w:hAnsi="Times New Roman" w:eastAsia="仿宋"/>
      <w:sz w:val="32"/>
      <w:szCs w:val="32"/>
    </w:rPr>
  </w:style>
  <w:style w:type="character" w:customStyle="1" w:styleId="22">
    <w:name w:val="正文文本 Char"/>
    <w:link w:val="21"/>
    <w:qFormat/>
    <w:uiPriority w:val="0"/>
    <w:rPr>
      <w:rFonts w:ascii="Times New Roman" w:hAnsi="Times New Roman" w:eastAsia="仿宋"/>
      <w:sz w:val="32"/>
      <w:szCs w:val="32"/>
    </w:rPr>
  </w:style>
  <w:style w:type="paragraph" w:customStyle="1" w:styleId="23">
    <w:name w:val="目录 31"/>
    <w:basedOn w:val="1"/>
    <w:qFormat/>
    <w:uiPriority w:val="0"/>
    <w:pPr>
      <w:spacing w:line="480" w:lineRule="exact"/>
      <w:ind w:left="0" w:leftChars="0" w:firstLine="880" w:firstLineChars="200"/>
    </w:pPr>
    <w:rPr>
      <w:rFonts w:eastAsia="楷体_GB2312"/>
    </w:rPr>
  </w:style>
  <w:style w:type="paragraph" w:customStyle="1" w:styleId="24">
    <w:name w:val="纯文本1"/>
    <w:basedOn w:val="1"/>
    <w:qFormat/>
    <w:uiPriority w:val="0"/>
    <w:rPr>
      <w:rFonts w:ascii="宋体" w:hAnsi="Courier New"/>
      <w:szCs w:val="21"/>
    </w:rPr>
  </w:style>
  <w:style w:type="paragraph" w:customStyle="1" w:styleId="25">
    <w:name w:val="正文文本缩进 21"/>
    <w:basedOn w:val="1"/>
    <w:qFormat/>
    <w:uiPriority w:val="0"/>
    <w:pPr>
      <w:spacing w:after="120" w:afterAutospacing="0" w:line="480" w:lineRule="auto"/>
      <w:ind w:left="420" w:leftChars="200"/>
    </w:pPr>
  </w:style>
  <w:style w:type="paragraph" w:customStyle="1" w:styleId="26">
    <w:name w:val="页脚1"/>
    <w:basedOn w:val="1"/>
    <w:link w:val="27"/>
    <w:qFormat/>
    <w:uiPriority w:val="0"/>
    <w:pPr>
      <w:tabs>
        <w:tab w:val="center" w:pos="4153"/>
        <w:tab w:val="right" w:pos="8306"/>
      </w:tabs>
      <w:snapToGrid w:val="0"/>
      <w:spacing w:line="240" w:lineRule="auto"/>
      <w:ind w:firstLine="0" w:firstLineChars="0"/>
      <w:jc w:val="left"/>
    </w:pPr>
    <w:rPr>
      <w:sz w:val="28"/>
    </w:rPr>
  </w:style>
  <w:style w:type="character" w:customStyle="1" w:styleId="27">
    <w:name w:val="页脚 字符"/>
    <w:link w:val="26"/>
    <w:qFormat/>
    <w:uiPriority w:val="0"/>
    <w:rPr>
      <w:rFonts w:eastAsia="仿宋_GB2312"/>
      <w:sz w:val="28"/>
    </w:rPr>
  </w:style>
  <w:style w:type="paragraph" w:customStyle="1" w:styleId="28">
    <w:name w:val="页眉1"/>
    <w:basedOn w:val="1"/>
    <w:link w:val="2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29">
    <w:name w:val="页眉 字符"/>
    <w:link w:val="28"/>
    <w:qFormat/>
    <w:uiPriority w:val="0"/>
    <w:rPr>
      <w:sz w:val="18"/>
    </w:rPr>
  </w:style>
  <w:style w:type="paragraph" w:customStyle="1" w:styleId="30">
    <w:name w:val="目录 11"/>
    <w:basedOn w:val="1"/>
    <w:qFormat/>
    <w:uiPriority w:val="0"/>
    <w:pPr>
      <w:ind w:firstLine="0" w:firstLineChars="0"/>
    </w:pPr>
    <w:rPr>
      <w:rFonts w:ascii="Times New Roman" w:hAnsi="Times New Roman"/>
    </w:rPr>
  </w:style>
  <w:style w:type="paragraph" w:customStyle="1" w:styleId="31">
    <w:name w:val="副标题1"/>
    <w:basedOn w:val="1"/>
    <w:qFormat/>
    <w:uiPriority w:val="0"/>
    <w:pPr>
      <w:wordWrap w:val="0"/>
      <w:spacing w:after="60"/>
      <w:ind w:left="1024"/>
      <w:jc w:val="center"/>
    </w:pPr>
    <w:rPr>
      <w:rFonts w:ascii="Times New Roman" w:hAnsi="Times New Roman" w:eastAsia="宋体"/>
      <w:lang w:val="en-US" w:eastAsia="zh-CN" w:bidi="ar-SA"/>
    </w:rPr>
  </w:style>
  <w:style w:type="paragraph" w:customStyle="1" w:styleId="32">
    <w:name w:val="脚注文本1"/>
    <w:basedOn w:val="1"/>
    <w:semiHidden/>
    <w:qFormat/>
    <w:uiPriority w:val="0"/>
    <w:pPr>
      <w:snapToGrid w:val="0"/>
      <w:jc w:val="left"/>
    </w:pPr>
    <w:rPr>
      <w:sz w:val="18"/>
      <w:szCs w:val="18"/>
    </w:rPr>
  </w:style>
  <w:style w:type="paragraph" w:customStyle="1" w:styleId="33">
    <w:name w:val="目录 21"/>
    <w:basedOn w:val="1"/>
    <w:qFormat/>
    <w:uiPriority w:val="0"/>
    <w:pPr>
      <w:spacing w:line="480" w:lineRule="exact"/>
      <w:ind w:left="0" w:leftChars="0" w:firstLine="0" w:firstLineChars="0"/>
    </w:pPr>
    <w:rPr>
      <w:rFonts w:eastAsia="黑体"/>
      <w:sz w:val="28"/>
      <w:szCs w:val="30"/>
    </w:rPr>
  </w:style>
  <w:style w:type="paragraph" w:customStyle="1" w:styleId="34">
    <w:name w:val="普通(网站)1"/>
    <w:basedOn w:val="1"/>
    <w:qFormat/>
    <w:uiPriority w:val="0"/>
    <w:pPr>
      <w:spacing w:before="100" w:beforeAutospacing="1" w:after="100" w:afterAutospacing="1"/>
      <w:ind w:left="0" w:right="0" w:firstLine="0" w:firstLineChars="0"/>
      <w:jc w:val="left"/>
    </w:pPr>
    <w:rPr>
      <w:rFonts w:ascii="Times New Roman" w:hAnsi="Times New Roman"/>
      <w:kern w:val="0"/>
      <w:sz w:val="24"/>
      <w:lang w:bidi="ar"/>
    </w:rPr>
  </w:style>
  <w:style w:type="paragraph" w:customStyle="1" w:styleId="35">
    <w:name w:val="正文首行缩进1"/>
    <w:basedOn w:val="21"/>
    <w:qFormat/>
    <w:uiPriority w:val="0"/>
    <w:pPr>
      <w:ind w:firstLine="420" w:firstLineChars="100"/>
    </w:pPr>
  </w:style>
  <w:style w:type="table" w:customStyle="1" w:styleId="36">
    <w:name w:val="网格型1"/>
    <w:basedOn w:val="11"/>
    <w:qFormat/>
    <w:uiPriority w:val="0"/>
    <w:pPr>
      <w:widowControl w:val="0"/>
      <w:jc w:val="both"/>
    </w:pPr>
  </w:style>
  <w:style w:type="character" w:customStyle="1" w:styleId="37">
    <w:name w:val="要点1"/>
    <w:basedOn w:val="10"/>
    <w:link w:val="1"/>
    <w:qFormat/>
    <w:uiPriority w:val="0"/>
    <w:rPr>
      <w:b/>
    </w:rPr>
  </w:style>
  <w:style w:type="character" w:customStyle="1" w:styleId="38">
    <w:name w:val="强调1"/>
    <w:basedOn w:val="10"/>
    <w:link w:val="1"/>
    <w:qFormat/>
    <w:uiPriority w:val="0"/>
    <w:rPr>
      <w:i/>
    </w:rPr>
  </w:style>
  <w:style w:type="character" w:customStyle="1" w:styleId="39">
    <w:name w:val="脚注引用1"/>
    <w:basedOn w:val="10"/>
    <w:link w:val="1"/>
    <w:semiHidden/>
    <w:qFormat/>
    <w:uiPriority w:val="0"/>
    <w:rPr>
      <w:rFonts w:ascii="Arial" w:hAnsi="Arial" w:eastAsia="Times New Roman"/>
      <w:b/>
      <w:kern w:val="0"/>
      <w:sz w:val="24"/>
      <w:vertAlign w:val="superscript"/>
      <w:lang w:eastAsia="en-US"/>
    </w:rPr>
  </w:style>
  <w:style w:type="character" w:customStyle="1" w:styleId="40">
    <w:name w:val="NormalCharacter"/>
    <w:link w:val="1"/>
    <w:semiHidden/>
    <w:qFormat/>
    <w:uiPriority w:val="0"/>
    <w:rPr>
      <w:rFonts w:ascii="Times New Roman" w:hAnsi="Times New Roman" w:eastAsia="仿宋_GB2312"/>
      <w:kern w:val="2"/>
      <w:sz w:val="32"/>
      <w:szCs w:val="32"/>
      <w:lang w:val="en-US" w:eastAsia="zh-CN" w:bidi="ar-SA"/>
    </w:rPr>
  </w:style>
  <w:style w:type="paragraph" w:customStyle="1" w:styleId="41">
    <w:name w:val="Body Text First Indent 21"/>
    <w:qFormat/>
    <w:uiPriority w:val="0"/>
    <w:pPr>
      <w:widowControl w:val="0"/>
      <w:spacing w:after="120"/>
      <w:ind w:left="420" w:leftChars="200" w:firstLine="200"/>
      <w:jc w:val="both"/>
    </w:pPr>
    <w:rPr>
      <w:rFonts w:ascii="Calibri" w:hAnsi="Calibri" w:eastAsia="宋体" w:cs="Times New Roman"/>
      <w:kern w:val="2"/>
      <w:sz w:val="21"/>
      <w:szCs w:val="24"/>
      <w:lang w:val="en-US" w:eastAsia="zh-CN" w:bidi="ar-SA"/>
    </w:rPr>
  </w:style>
  <w:style w:type="paragraph" w:customStyle="1" w:styleId="42">
    <w:name w:val="表格"/>
    <w:qFormat/>
    <w:uiPriority w:val="0"/>
    <w:pPr>
      <w:spacing w:line="360" w:lineRule="auto"/>
      <w:jc w:val="center"/>
    </w:pPr>
    <w:rPr>
      <w:rFonts w:hint="eastAsia" w:ascii="Times New Roman" w:hAnsi="Times New Roman" w:eastAsia="仿宋_GB2312" w:cs="Times New Roman"/>
      <w:sz w:val="21"/>
      <w:lang w:val="en-US"/>
    </w:rPr>
  </w:style>
  <w:style w:type="paragraph" w:customStyle="1" w:styleId="4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内容块-16-a"/>
    <w:basedOn w:val="1"/>
    <w:qFormat/>
    <w:uiPriority w:val="0"/>
    <w:pPr>
      <w:pBdr>
        <w:top w:val="single" w:color="F6F8FB" w:sz="4" w:space="10"/>
        <w:left w:val="single" w:color="F6F8FB" w:sz="4" w:space="17"/>
        <w:bottom w:val="single" w:color="F6F8FB" w:sz="4" w:space="10"/>
        <w:right w:val="single" w:color="F6F8FB" w:sz="4" w:space="17"/>
      </w:pBdr>
      <w:shd w:val="clear" w:color="auto" w:fill="F6F8FB"/>
      <w:ind w:left="357" w:right="357"/>
    </w:pPr>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5291</Words>
  <Characters>5398</Characters>
  <Lines>0</Lines>
  <Paragraphs>0</Paragraphs>
  <TotalTime>5</TotalTime>
  <ScaleCrop>false</ScaleCrop>
  <LinksUpToDate>false</LinksUpToDate>
  <CharactersWithSpaces>5484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2026-04-21T08:07:00Z</dcterms:created>
  <dc:creator>user</dc:creator>
  <cp:lastModifiedBy>admin</cp:lastModifiedBy>
  <dcterms:modified xsi:type="dcterms:W3CDTF">2026-09-07T10:35:28Z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eyJoZGlkIjoiNDY1NWZlMjFiYzZjMzExYTJkYWM1NzY4ZjFkMDBlNGEifQ==</vt:lpwstr>
  </property>
  <property fmtid="{D5CDD505-2E9C-101B-9397-08002B2CF9AE}" pid="4" name="ICV">
    <vt:lpwstr>91F6C3AD2F734E5ABEAC4B88589C20A6_12</vt:lpwstr>
  </property>
</Properties>
</file>