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761F8">
      <w:pPr>
        <w:spacing w:line="480" w:lineRule="auto"/>
        <w:ind w:firstLine="880"/>
        <w:jc w:val="center"/>
        <w:rPr>
          <w:rFonts w:hint="eastAsia" w:ascii="方正小标宋简体" w:hAnsi="方正小标宋简体" w:eastAsia="方正小标宋简体" w:cs="方正小标宋简体"/>
          <w:bCs/>
          <w:color w:val="auto"/>
          <w:sz w:val="44"/>
          <w:szCs w:val="44"/>
          <w:highlight w:val="none"/>
        </w:rPr>
      </w:pPr>
    </w:p>
    <w:p w14:paraId="47DA1CA0">
      <w:pPr>
        <w:spacing w:line="480" w:lineRule="auto"/>
        <w:ind w:firstLine="880"/>
        <w:jc w:val="center"/>
        <w:rPr>
          <w:rFonts w:hint="eastAsia" w:ascii="方正小标宋简体" w:hAnsi="方正小标宋简体" w:eastAsia="方正小标宋简体" w:cs="方正小标宋简体"/>
          <w:bCs/>
          <w:color w:val="auto"/>
          <w:sz w:val="44"/>
          <w:szCs w:val="44"/>
          <w:highlight w:val="none"/>
        </w:rPr>
      </w:pPr>
    </w:p>
    <w:p w14:paraId="36E3ACAD">
      <w:pPr>
        <w:spacing w:line="480" w:lineRule="auto"/>
        <w:ind w:firstLine="880"/>
        <w:jc w:val="center"/>
        <w:rPr>
          <w:rFonts w:hint="eastAsia" w:ascii="方正小标宋简体" w:hAnsi="方正小标宋简体" w:eastAsia="方正小标宋简体" w:cs="方正小标宋简体"/>
          <w:bCs/>
          <w:color w:val="auto"/>
          <w:sz w:val="44"/>
          <w:szCs w:val="44"/>
          <w:highlight w:val="none"/>
        </w:rPr>
      </w:pPr>
      <w:bookmarkStart w:id="30" w:name="_GoBack"/>
      <w:bookmarkEnd w:id="30"/>
    </w:p>
    <w:p w14:paraId="4A9993ED">
      <w:pPr>
        <w:spacing w:line="480" w:lineRule="auto"/>
        <w:ind w:firstLine="880"/>
        <w:jc w:val="center"/>
        <w:rPr>
          <w:rFonts w:hint="eastAsia" w:ascii="方正小标宋简体" w:hAnsi="方正小标宋简体" w:eastAsia="方正小标宋简体" w:cs="方正小标宋简体"/>
          <w:bCs/>
          <w:color w:val="auto"/>
          <w:sz w:val="44"/>
          <w:szCs w:val="44"/>
          <w:highlight w:val="none"/>
        </w:rPr>
      </w:pPr>
    </w:p>
    <w:p w14:paraId="6D2118C7">
      <w:pPr>
        <w:spacing w:line="480" w:lineRule="auto"/>
        <w:ind w:firstLine="88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第五师双河市“十五五”卫生健康事业</w:t>
      </w:r>
    </w:p>
    <w:p w14:paraId="56AD2A2C">
      <w:pPr>
        <w:spacing w:line="480" w:lineRule="auto"/>
        <w:ind w:firstLine="88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发展规划</w:t>
      </w:r>
    </w:p>
    <w:p w14:paraId="5693F55A">
      <w:pPr>
        <w:spacing w:line="480" w:lineRule="auto"/>
        <w:ind w:firstLine="880"/>
        <w:jc w:val="center"/>
        <w:rPr>
          <w:rFonts w:hint="eastAsia" w:ascii="楷体_GB2312" w:hAnsi="楷体_GB2312" w:eastAsia="楷体_GB2312" w:cs="楷体_GB2312"/>
          <w:bCs/>
          <w:color w:val="auto"/>
          <w:sz w:val="32"/>
          <w:szCs w:val="32"/>
          <w:highlight w:val="none"/>
          <w:lang w:eastAsia="zh-CN"/>
        </w:rPr>
      </w:pPr>
      <w:r>
        <w:rPr>
          <w:rFonts w:hint="eastAsia" w:ascii="楷体_GB2312" w:hAnsi="楷体_GB2312" w:eastAsia="楷体_GB2312" w:cs="楷体_GB2312"/>
          <w:bCs/>
          <w:color w:val="auto"/>
          <w:sz w:val="32"/>
          <w:szCs w:val="32"/>
          <w:highlight w:val="none"/>
          <w:lang w:eastAsia="zh-CN"/>
        </w:rPr>
        <w:t>（</w:t>
      </w:r>
      <w:r>
        <w:rPr>
          <w:rFonts w:hint="eastAsia" w:ascii="楷体_GB2312" w:hAnsi="楷体_GB2312" w:eastAsia="楷体_GB2312" w:cs="楷体_GB2312"/>
          <w:bCs/>
          <w:color w:val="auto"/>
          <w:sz w:val="32"/>
          <w:szCs w:val="32"/>
          <w:highlight w:val="none"/>
          <w:lang w:val="en-US" w:eastAsia="zh-CN"/>
        </w:rPr>
        <w:t>征求意见稿</w:t>
      </w:r>
      <w:r>
        <w:rPr>
          <w:rFonts w:hint="eastAsia" w:ascii="楷体_GB2312" w:hAnsi="楷体_GB2312" w:eastAsia="楷体_GB2312" w:cs="楷体_GB2312"/>
          <w:bCs/>
          <w:color w:val="auto"/>
          <w:sz w:val="32"/>
          <w:szCs w:val="32"/>
          <w:highlight w:val="none"/>
          <w:lang w:eastAsia="zh-CN"/>
        </w:rPr>
        <w:t>）</w:t>
      </w:r>
    </w:p>
    <w:p w14:paraId="639155E0">
      <w:pPr>
        <w:rPr>
          <w:rFonts w:hint="default"/>
          <w:color w:val="auto"/>
          <w:highlight w:val="none"/>
          <w:lang w:val="en-US" w:eastAsia="zh-CN"/>
        </w:rPr>
      </w:pPr>
      <w:r>
        <w:rPr>
          <w:rFonts w:hint="default"/>
          <w:color w:val="auto"/>
          <w:highlight w:val="none"/>
          <w:lang w:val="en-US" w:eastAsia="zh-CN"/>
        </w:rPr>
        <w:br w:type="page"/>
      </w:r>
    </w:p>
    <w:sdt>
      <w:sdtPr>
        <w:rPr>
          <w:rFonts w:ascii="仿宋" w:hAnsi="仿宋" w:eastAsia="仿宋" w:cstheme="minorBidi"/>
          <w:b/>
          <w:bCs/>
          <w:color w:val="auto"/>
          <w:kern w:val="2"/>
          <w:sz w:val="56"/>
          <w:szCs w:val="56"/>
          <w:highlight w:val="none"/>
          <w:lang w:val="zh-CN"/>
        </w:rPr>
        <w:id w:val="728657357"/>
        <w:docPartObj>
          <w:docPartGallery w:val="Table of Contents"/>
          <w:docPartUnique/>
        </w:docPartObj>
      </w:sdtPr>
      <w:sdtEndPr>
        <w:rPr>
          <w:rFonts w:ascii="仿宋" w:hAnsi="仿宋" w:eastAsia="仿宋" w:cstheme="minorBidi"/>
          <w:b/>
          <w:bCs/>
          <w:color w:val="auto"/>
          <w:kern w:val="2"/>
          <w:sz w:val="56"/>
          <w:szCs w:val="56"/>
          <w:highlight w:val="none"/>
          <w:lang w:val="zh-CN"/>
        </w:rPr>
      </w:sdtEndPr>
      <w:sdtContent>
        <w:p w14:paraId="6E340CE0">
          <w:pPr>
            <w:pStyle w:val="17"/>
            <w:spacing w:before="312" w:after="312" w:line="360" w:lineRule="auto"/>
            <w:jc w:val="center"/>
            <w:rPr>
              <w:rFonts w:hint="eastAsia" w:ascii="仿宋" w:hAnsi="仿宋" w:eastAsia="仿宋" w:cs="仿宋"/>
              <w:b/>
              <w:bCs/>
              <w:color w:val="auto"/>
              <w:sz w:val="48"/>
              <w:szCs w:val="48"/>
              <w:highlight w:val="none"/>
            </w:rPr>
          </w:pPr>
          <w:r>
            <w:rPr>
              <w:rFonts w:hint="eastAsia" w:ascii="仿宋" w:hAnsi="仿宋" w:eastAsia="仿宋" w:cs="仿宋"/>
              <w:b/>
              <w:bCs/>
              <w:color w:val="auto"/>
              <w:sz w:val="48"/>
              <w:szCs w:val="48"/>
              <w:highlight w:val="none"/>
              <w:lang w:val="zh-CN"/>
            </w:rPr>
            <w:t>目    录</w:t>
          </w:r>
        </w:p>
        <w:p w14:paraId="1C31F62A">
          <w:pPr>
            <w:pStyle w:val="10"/>
            <w:tabs>
              <w:tab w:val="right" w:leader="dot" w:pos="8306"/>
              <w:tab w:val="clear" w:pos="8296"/>
            </w:tabs>
            <w:spacing w:line="360" w:lineRule="auto"/>
            <w:rPr>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TOC \o "1-3" \h \z \u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Cs/>
              <w:color w:val="auto"/>
              <w:sz w:val="24"/>
              <w:szCs w:val="24"/>
              <w:highlight w:val="none"/>
            </w:rPr>
            <w:fldChar w:fldCharType="begin"/>
          </w:r>
          <w:r>
            <w:rPr>
              <w:rFonts w:hint="eastAsia" w:ascii="仿宋" w:hAnsi="仿宋" w:eastAsia="仿宋" w:cs="仿宋"/>
              <w:bCs/>
              <w:color w:val="auto"/>
              <w:sz w:val="24"/>
              <w:szCs w:val="24"/>
              <w:highlight w:val="none"/>
            </w:rPr>
            <w:instrText xml:space="preserve"> HYPERLINK \l _Toc19902 </w:instrText>
          </w:r>
          <w:r>
            <w:rPr>
              <w:rFonts w:hint="eastAsia" w:ascii="仿宋" w:hAnsi="仿宋" w:eastAsia="仿宋" w:cs="仿宋"/>
              <w:bCs/>
              <w:color w:val="auto"/>
              <w:sz w:val="24"/>
              <w:szCs w:val="24"/>
              <w:highlight w:val="none"/>
            </w:rPr>
            <w:fldChar w:fldCharType="separate"/>
          </w:r>
          <w:r>
            <w:rPr>
              <w:rFonts w:hint="eastAsia" w:ascii="黑体" w:hAnsi="黑体" w:eastAsia="黑体" w:cs="黑体"/>
              <w:color w:val="auto"/>
              <w:spacing w:val="6"/>
              <w:kern w:val="44"/>
              <w:sz w:val="24"/>
              <w:szCs w:val="24"/>
              <w:highlight w:val="none"/>
            </w:rPr>
            <w:t>第一章  发展基础和环境</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_Toc19902 \h </w:instrText>
          </w:r>
          <w:r>
            <w:rPr>
              <w:color w:val="auto"/>
              <w:sz w:val="24"/>
              <w:szCs w:val="24"/>
              <w:highlight w:val="none"/>
            </w:rPr>
            <w:fldChar w:fldCharType="separate"/>
          </w:r>
          <w:r>
            <w:rPr>
              <w:rFonts w:hint="eastAsia"/>
              <w:color w:val="auto"/>
              <w:sz w:val="24"/>
              <w:szCs w:val="24"/>
              <w:highlight w:val="none"/>
              <w:lang w:eastAsia="zh-CN"/>
            </w:rPr>
            <w:t>*</w:t>
          </w:r>
          <w:r>
            <w:rPr>
              <w:color w:val="auto"/>
              <w:sz w:val="24"/>
              <w:szCs w:val="24"/>
              <w:highlight w:val="none"/>
            </w:rPr>
            <w:fldChar w:fldCharType="end"/>
          </w:r>
          <w:r>
            <w:rPr>
              <w:rFonts w:hint="eastAsia" w:ascii="仿宋" w:hAnsi="仿宋" w:eastAsia="仿宋" w:cs="仿宋"/>
              <w:bCs/>
              <w:color w:val="auto"/>
              <w:sz w:val="24"/>
              <w:szCs w:val="24"/>
              <w:highlight w:val="none"/>
            </w:rPr>
            <w:fldChar w:fldCharType="end"/>
          </w:r>
        </w:p>
        <w:p w14:paraId="25AC1A30">
          <w:pPr>
            <w:pStyle w:val="11"/>
            <w:tabs>
              <w:tab w:val="right" w:leader="dot" w:pos="8306"/>
            </w:tabs>
            <w:spacing w:line="360" w:lineRule="auto"/>
            <w:rPr>
              <w:color w:val="auto"/>
              <w:sz w:val="24"/>
              <w:szCs w:val="24"/>
              <w:highlight w:val="none"/>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 HYPERLINK \l _Toc12847 </w:instrText>
          </w:r>
          <w:r>
            <w:rPr>
              <w:rFonts w:hint="eastAsia" w:ascii="仿宋" w:hAnsi="仿宋" w:eastAsia="仿宋" w:cs="仿宋"/>
              <w:bCs/>
              <w:color w:val="auto"/>
              <w:sz w:val="24"/>
              <w:szCs w:val="24"/>
              <w:highlight w:val="none"/>
              <w:lang w:val="zh-CN"/>
            </w:rPr>
            <w:fldChar w:fldCharType="separate"/>
          </w:r>
          <w:r>
            <w:rPr>
              <w:rFonts w:hint="eastAsia" w:ascii="黑体" w:hAnsi="黑体" w:eastAsia="黑体" w:cs="黑体"/>
              <w:color w:val="auto"/>
              <w:sz w:val="24"/>
              <w:szCs w:val="24"/>
              <w:highlight w:val="none"/>
            </w:rPr>
            <w:t>第一节 发展基础</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_Toc12847 \h </w:instrText>
          </w:r>
          <w:r>
            <w:rPr>
              <w:color w:val="auto"/>
              <w:sz w:val="24"/>
              <w:szCs w:val="24"/>
              <w:highlight w:val="none"/>
            </w:rPr>
            <w:fldChar w:fldCharType="separate"/>
          </w:r>
          <w:r>
            <w:rPr>
              <w:rFonts w:hint="eastAsia"/>
              <w:color w:val="auto"/>
              <w:sz w:val="24"/>
              <w:szCs w:val="24"/>
              <w:highlight w:val="none"/>
              <w:lang w:eastAsia="zh-CN"/>
            </w:rPr>
            <w:t>*</w:t>
          </w:r>
          <w:r>
            <w:rPr>
              <w:color w:val="auto"/>
              <w:sz w:val="24"/>
              <w:szCs w:val="24"/>
              <w:highlight w:val="none"/>
            </w:rPr>
            <w:fldChar w:fldCharType="end"/>
          </w:r>
          <w:r>
            <w:rPr>
              <w:rFonts w:hint="eastAsia" w:ascii="仿宋" w:hAnsi="仿宋" w:eastAsia="仿宋" w:cs="仿宋"/>
              <w:bCs/>
              <w:color w:val="auto"/>
              <w:sz w:val="24"/>
              <w:szCs w:val="24"/>
              <w:highlight w:val="none"/>
              <w:lang w:val="zh-CN"/>
            </w:rPr>
            <w:fldChar w:fldCharType="end"/>
          </w:r>
        </w:p>
        <w:p w14:paraId="30BB27C7">
          <w:pPr>
            <w:pStyle w:val="11"/>
            <w:tabs>
              <w:tab w:val="right" w:leader="dot" w:pos="8306"/>
            </w:tabs>
            <w:spacing w:line="360" w:lineRule="auto"/>
            <w:rPr>
              <w:color w:val="auto"/>
              <w:sz w:val="24"/>
              <w:szCs w:val="24"/>
              <w:highlight w:val="none"/>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 HYPERLINK \l _Toc29374 </w:instrText>
          </w:r>
          <w:r>
            <w:rPr>
              <w:rFonts w:hint="eastAsia" w:ascii="仿宋" w:hAnsi="仿宋" w:eastAsia="仿宋" w:cs="仿宋"/>
              <w:bCs/>
              <w:color w:val="auto"/>
              <w:sz w:val="24"/>
              <w:szCs w:val="24"/>
              <w:highlight w:val="none"/>
              <w:lang w:val="zh-CN"/>
            </w:rPr>
            <w:fldChar w:fldCharType="separate"/>
          </w:r>
          <w:r>
            <w:rPr>
              <w:rFonts w:hint="eastAsia" w:ascii="黑体" w:hAnsi="黑体" w:eastAsia="黑体" w:cs="黑体"/>
              <w:color w:val="auto"/>
              <w:sz w:val="24"/>
              <w:szCs w:val="24"/>
              <w:highlight w:val="none"/>
            </w:rPr>
            <w:t>第二节 面临的问题与挑战</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_Toc29374 \h </w:instrText>
          </w:r>
          <w:r>
            <w:rPr>
              <w:color w:val="auto"/>
              <w:sz w:val="24"/>
              <w:szCs w:val="24"/>
              <w:highlight w:val="none"/>
            </w:rPr>
            <w:fldChar w:fldCharType="separate"/>
          </w:r>
          <w:r>
            <w:rPr>
              <w:rFonts w:hint="eastAsia"/>
              <w:color w:val="auto"/>
              <w:sz w:val="24"/>
              <w:szCs w:val="24"/>
              <w:highlight w:val="none"/>
              <w:lang w:eastAsia="zh-CN"/>
            </w:rPr>
            <w:t>**</w:t>
          </w:r>
          <w:r>
            <w:rPr>
              <w:color w:val="auto"/>
              <w:sz w:val="24"/>
              <w:szCs w:val="24"/>
              <w:highlight w:val="none"/>
            </w:rPr>
            <w:fldChar w:fldCharType="end"/>
          </w:r>
          <w:r>
            <w:rPr>
              <w:rFonts w:hint="eastAsia" w:ascii="仿宋" w:hAnsi="仿宋" w:eastAsia="仿宋" w:cs="仿宋"/>
              <w:bCs/>
              <w:color w:val="auto"/>
              <w:sz w:val="24"/>
              <w:szCs w:val="24"/>
              <w:highlight w:val="none"/>
              <w:lang w:val="zh-CN"/>
            </w:rPr>
            <w:fldChar w:fldCharType="end"/>
          </w:r>
        </w:p>
        <w:p w14:paraId="479089B1">
          <w:pPr>
            <w:pStyle w:val="11"/>
            <w:tabs>
              <w:tab w:val="right" w:leader="dot" w:pos="8306"/>
            </w:tabs>
            <w:spacing w:line="360" w:lineRule="auto"/>
            <w:rPr>
              <w:color w:val="auto"/>
              <w:sz w:val="24"/>
              <w:szCs w:val="24"/>
              <w:highlight w:val="none"/>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 HYPERLINK \l _Toc24480 </w:instrText>
          </w:r>
          <w:r>
            <w:rPr>
              <w:rFonts w:hint="eastAsia" w:ascii="仿宋" w:hAnsi="仿宋" w:eastAsia="仿宋" w:cs="仿宋"/>
              <w:bCs/>
              <w:color w:val="auto"/>
              <w:sz w:val="24"/>
              <w:szCs w:val="24"/>
              <w:highlight w:val="none"/>
              <w:lang w:val="zh-CN"/>
            </w:rPr>
            <w:fldChar w:fldCharType="separate"/>
          </w:r>
          <w:r>
            <w:rPr>
              <w:rFonts w:hint="eastAsia" w:ascii="黑体" w:hAnsi="黑体" w:eastAsia="黑体" w:cs="黑体"/>
              <w:color w:val="auto"/>
              <w:sz w:val="24"/>
              <w:szCs w:val="24"/>
              <w:highlight w:val="none"/>
            </w:rPr>
            <w:t>第三节 发展机遇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_Toc24480 \h </w:instrText>
          </w:r>
          <w:r>
            <w:rPr>
              <w:color w:val="auto"/>
              <w:sz w:val="24"/>
              <w:szCs w:val="24"/>
              <w:highlight w:val="none"/>
            </w:rPr>
            <w:fldChar w:fldCharType="separate"/>
          </w:r>
          <w:r>
            <w:rPr>
              <w:rFonts w:hint="eastAsia"/>
              <w:color w:val="auto"/>
              <w:sz w:val="24"/>
              <w:szCs w:val="24"/>
              <w:highlight w:val="none"/>
              <w:lang w:eastAsia="zh-CN"/>
            </w:rPr>
            <w:t>**</w:t>
          </w:r>
          <w:r>
            <w:rPr>
              <w:color w:val="auto"/>
              <w:sz w:val="24"/>
              <w:szCs w:val="24"/>
              <w:highlight w:val="none"/>
            </w:rPr>
            <w:fldChar w:fldCharType="end"/>
          </w:r>
          <w:r>
            <w:rPr>
              <w:rFonts w:hint="eastAsia" w:ascii="仿宋" w:hAnsi="仿宋" w:eastAsia="仿宋" w:cs="仿宋"/>
              <w:bCs/>
              <w:color w:val="auto"/>
              <w:sz w:val="24"/>
              <w:szCs w:val="24"/>
              <w:highlight w:val="none"/>
              <w:lang w:val="zh-CN"/>
            </w:rPr>
            <w:fldChar w:fldCharType="end"/>
          </w:r>
        </w:p>
        <w:p w14:paraId="7975702C">
          <w:pPr>
            <w:pStyle w:val="10"/>
            <w:tabs>
              <w:tab w:val="right" w:leader="dot" w:pos="8306"/>
              <w:tab w:val="clear" w:pos="8296"/>
            </w:tabs>
            <w:spacing w:line="360" w:lineRule="auto"/>
            <w:rPr>
              <w:color w:val="auto"/>
              <w:sz w:val="24"/>
              <w:szCs w:val="24"/>
              <w:highlight w:val="none"/>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 HYPERLINK \l _Toc25787 </w:instrText>
          </w:r>
          <w:r>
            <w:rPr>
              <w:rFonts w:hint="eastAsia" w:ascii="仿宋" w:hAnsi="仿宋" w:eastAsia="仿宋" w:cs="仿宋"/>
              <w:bCs/>
              <w:color w:val="auto"/>
              <w:sz w:val="24"/>
              <w:szCs w:val="24"/>
              <w:highlight w:val="none"/>
              <w:lang w:val="zh-CN"/>
            </w:rPr>
            <w:fldChar w:fldCharType="separate"/>
          </w:r>
          <w:r>
            <w:rPr>
              <w:rFonts w:hint="eastAsia" w:ascii="黑体" w:hAnsi="黑体" w:eastAsia="黑体" w:cs="黑体"/>
              <w:color w:val="auto"/>
              <w:spacing w:val="6"/>
              <w:kern w:val="44"/>
              <w:sz w:val="24"/>
              <w:szCs w:val="24"/>
              <w:highlight w:val="none"/>
            </w:rPr>
            <w:t>第二章  总体要求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_Toc25787 \h </w:instrText>
          </w:r>
          <w:r>
            <w:rPr>
              <w:color w:val="auto"/>
              <w:sz w:val="24"/>
              <w:szCs w:val="24"/>
              <w:highlight w:val="none"/>
            </w:rPr>
            <w:fldChar w:fldCharType="separate"/>
          </w:r>
          <w:r>
            <w:rPr>
              <w:rFonts w:hint="eastAsia"/>
              <w:color w:val="auto"/>
              <w:sz w:val="24"/>
              <w:szCs w:val="24"/>
              <w:highlight w:val="none"/>
              <w:lang w:eastAsia="zh-CN"/>
            </w:rPr>
            <w:t>**</w:t>
          </w:r>
          <w:r>
            <w:rPr>
              <w:color w:val="auto"/>
              <w:sz w:val="24"/>
              <w:szCs w:val="24"/>
              <w:highlight w:val="none"/>
            </w:rPr>
            <w:fldChar w:fldCharType="end"/>
          </w:r>
          <w:r>
            <w:rPr>
              <w:rFonts w:hint="eastAsia" w:ascii="仿宋" w:hAnsi="仿宋" w:eastAsia="仿宋" w:cs="仿宋"/>
              <w:bCs/>
              <w:color w:val="auto"/>
              <w:sz w:val="24"/>
              <w:szCs w:val="24"/>
              <w:highlight w:val="none"/>
              <w:lang w:val="zh-CN"/>
            </w:rPr>
            <w:fldChar w:fldCharType="end"/>
          </w:r>
        </w:p>
        <w:p w14:paraId="534D561F">
          <w:pPr>
            <w:pStyle w:val="11"/>
            <w:tabs>
              <w:tab w:val="right" w:leader="dot" w:pos="8306"/>
            </w:tabs>
            <w:spacing w:line="360" w:lineRule="auto"/>
            <w:rPr>
              <w:color w:val="auto"/>
              <w:sz w:val="24"/>
              <w:szCs w:val="24"/>
              <w:highlight w:val="none"/>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 HYPERLINK \l _Toc11220 </w:instrText>
          </w:r>
          <w:r>
            <w:rPr>
              <w:rFonts w:hint="eastAsia" w:ascii="仿宋" w:hAnsi="仿宋" w:eastAsia="仿宋" w:cs="仿宋"/>
              <w:bCs/>
              <w:color w:val="auto"/>
              <w:sz w:val="24"/>
              <w:szCs w:val="24"/>
              <w:highlight w:val="none"/>
              <w:lang w:val="zh-CN"/>
            </w:rPr>
            <w:fldChar w:fldCharType="separate"/>
          </w:r>
          <w:r>
            <w:rPr>
              <w:rFonts w:hint="eastAsia" w:ascii="黑体" w:hAnsi="黑体" w:eastAsia="黑体" w:cs="黑体"/>
              <w:color w:val="auto"/>
              <w:sz w:val="24"/>
              <w:szCs w:val="24"/>
              <w:highlight w:val="none"/>
            </w:rPr>
            <w:t>第一节 指导思想</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_Toc11220 \h </w:instrText>
          </w:r>
          <w:r>
            <w:rPr>
              <w:color w:val="auto"/>
              <w:sz w:val="24"/>
              <w:szCs w:val="24"/>
              <w:highlight w:val="none"/>
            </w:rPr>
            <w:fldChar w:fldCharType="separate"/>
          </w:r>
          <w:r>
            <w:rPr>
              <w:rFonts w:hint="eastAsia"/>
              <w:color w:val="auto"/>
              <w:sz w:val="24"/>
              <w:szCs w:val="24"/>
              <w:highlight w:val="none"/>
              <w:lang w:eastAsia="zh-CN"/>
            </w:rPr>
            <w:t>**</w:t>
          </w:r>
          <w:r>
            <w:rPr>
              <w:color w:val="auto"/>
              <w:sz w:val="24"/>
              <w:szCs w:val="24"/>
              <w:highlight w:val="none"/>
            </w:rPr>
            <w:fldChar w:fldCharType="end"/>
          </w:r>
          <w:r>
            <w:rPr>
              <w:rFonts w:hint="eastAsia" w:ascii="仿宋" w:hAnsi="仿宋" w:eastAsia="仿宋" w:cs="仿宋"/>
              <w:bCs/>
              <w:color w:val="auto"/>
              <w:sz w:val="24"/>
              <w:szCs w:val="24"/>
              <w:highlight w:val="none"/>
              <w:lang w:val="zh-CN"/>
            </w:rPr>
            <w:fldChar w:fldCharType="end"/>
          </w:r>
        </w:p>
        <w:p w14:paraId="518CBCE6">
          <w:pPr>
            <w:pStyle w:val="11"/>
            <w:tabs>
              <w:tab w:val="right" w:leader="dot" w:pos="8306"/>
            </w:tabs>
            <w:spacing w:line="360" w:lineRule="auto"/>
            <w:rPr>
              <w:color w:val="auto"/>
              <w:sz w:val="24"/>
              <w:szCs w:val="24"/>
              <w:highlight w:val="none"/>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 HYPERLINK \l _Toc26175 </w:instrText>
          </w:r>
          <w:r>
            <w:rPr>
              <w:rFonts w:hint="eastAsia" w:ascii="仿宋" w:hAnsi="仿宋" w:eastAsia="仿宋" w:cs="仿宋"/>
              <w:bCs/>
              <w:color w:val="auto"/>
              <w:sz w:val="24"/>
              <w:szCs w:val="24"/>
              <w:highlight w:val="none"/>
              <w:lang w:val="zh-CN"/>
            </w:rPr>
            <w:fldChar w:fldCharType="separate"/>
          </w:r>
          <w:r>
            <w:rPr>
              <w:rFonts w:hint="eastAsia" w:ascii="黑体" w:hAnsi="黑体" w:eastAsia="黑体" w:cs="黑体"/>
              <w:color w:val="auto"/>
              <w:sz w:val="24"/>
              <w:szCs w:val="24"/>
              <w:highlight w:val="none"/>
            </w:rPr>
            <w:t>第二节 基本原则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_Toc26175 \h </w:instrText>
          </w:r>
          <w:r>
            <w:rPr>
              <w:color w:val="auto"/>
              <w:sz w:val="24"/>
              <w:szCs w:val="24"/>
              <w:highlight w:val="none"/>
            </w:rPr>
            <w:fldChar w:fldCharType="separate"/>
          </w:r>
          <w:r>
            <w:rPr>
              <w:rFonts w:hint="eastAsia"/>
              <w:color w:val="auto"/>
              <w:sz w:val="24"/>
              <w:szCs w:val="24"/>
              <w:highlight w:val="none"/>
              <w:lang w:eastAsia="zh-CN"/>
            </w:rPr>
            <w:t>**</w:t>
          </w:r>
          <w:r>
            <w:rPr>
              <w:color w:val="auto"/>
              <w:sz w:val="24"/>
              <w:szCs w:val="24"/>
              <w:highlight w:val="none"/>
            </w:rPr>
            <w:fldChar w:fldCharType="end"/>
          </w:r>
          <w:r>
            <w:rPr>
              <w:rFonts w:hint="eastAsia" w:ascii="仿宋" w:hAnsi="仿宋" w:eastAsia="仿宋" w:cs="仿宋"/>
              <w:bCs/>
              <w:color w:val="auto"/>
              <w:sz w:val="24"/>
              <w:szCs w:val="24"/>
              <w:highlight w:val="none"/>
              <w:lang w:val="zh-CN"/>
            </w:rPr>
            <w:fldChar w:fldCharType="end"/>
          </w:r>
        </w:p>
        <w:p w14:paraId="08189C76">
          <w:pPr>
            <w:pStyle w:val="11"/>
            <w:tabs>
              <w:tab w:val="right" w:leader="dot" w:pos="8306"/>
            </w:tabs>
            <w:spacing w:line="360" w:lineRule="auto"/>
            <w:rPr>
              <w:color w:val="auto"/>
              <w:sz w:val="24"/>
              <w:szCs w:val="24"/>
              <w:highlight w:val="none"/>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 HYPERLINK \l _Toc3845 </w:instrText>
          </w:r>
          <w:r>
            <w:rPr>
              <w:rFonts w:hint="eastAsia" w:ascii="仿宋" w:hAnsi="仿宋" w:eastAsia="仿宋" w:cs="仿宋"/>
              <w:bCs/>
              <w:color w:val="auto"/>
              <w:sz w:val="24"/>
              <w:szCs w:val="24"/>
              <w:highlight w:val="none"/>
              <w:lang w:val="zh-CN"/>
            </w:rPr>
            <w:fldChar w:fldCharType="separate"/>
          </w:r>
          <w:r>
            <w:rPr>
              <w:rFonts w:hint="eastAsia" w:ascii="黑体" w:hAnsi="黑体" w:eastAsia="黑体" w:cs="黑体"/>
              <w:color w:val="auto"/>
              <w:sz w:val="24"/>
              <w:szCs w:val="24"/>
              <w:highlight w:val="none"/>
            </w:rPr>
            <w:t>第三节 发展目标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_Toc3845 \h </w:instrText>
          </w:r>
          <w:r>
            <w:rPr>
              <w:color w:val="auto"/>
              <w:sz w:val="24"/>
              <w:szCs w:val="24"/>
              <w:highlight w:val="none"/>
            </w:rPr>
            <w:fldChar w:fldCharType="separate"/>
          </w:r>
          <w:r>
            <w:rPr>
              <w:rFonts w:hint="eastAsia"/>
              <w:color w:val="auto"/>
              <w:sz w:val="24"/>
              <w:szCs w:val="24"/>
              <w:highlight w:val="none"/>
              <w:lang w:eastAsia="zh-CN"/>
            </w:rPr>
            <w:t>**</w:t>
          </w:r>
          <w:r>
            <w:rPr>
              <w:color w:val="auto"/>
              <w:sz w:val="24"/>
              <w:szCs w:val="24"/>
              <w:highlight w:val="none"/>
            </w:rPr>
            <w:fldChar w:fldCharType="end"/>
          </w:r>
          <w:r>
            <w:rPr>
              <w:rFonts w:hint="eastAsia" w:ascii="仿宋" w:hAnsi="仿宋" w:eastAsia="仿宋" w:cs="仿宋"/>
              <w:bCs/>
              <w:color w:val="auto"/>
              <w:sz w:val="24"/>
              <w:szCs w:val="24"/>
              <w:highlight w:val="none"/>
              <w:lang w:val="zh-CN"/>
            </w:rPr>
            <w:fldChar w:fldCharType="end"/>
          </w:r>
        </w:p>
        <w:p w14:paraId="3FC27769">
          <w:pPr>
            <w:pStyle w:val="10"/>
            <w:tabs>
              <w:tab w:val="right" w:leader="dot" w:pos="8306"/>
              <w:tab w:val="clear" w:pos="8296"/>
            </w:tabs>
            <w:spacing w:line="360" w:lineRule="auto"/>
            <w:rPr>
              <w:color w:val="auto"/>
              <w:sz w:val="24"/>
              <w:szCs w:val="24"/>
              <w:highlight w:val="none"/>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 HYPERLINK \l _Toc14092 </w:instrText>
          </w:r>
          <w:r>
            <w:rPr>
              <w:rFonts w:hint="eastAsia" w:ascii="仿宋" w:hAnsi="仿宋" w:eastAsia="仿宋" w:cs="仿宋"/>
              <w:bCs/>
              <w:color w:val="auto"/>
              <w:sz w:val="24"/>
              <w:szCs w:val="24"/>
              <w:highlight w:val="none"/>
              <w:lang w:val="zh-CN"/>
            </w:rPr>
            <w:fldChar w:fldCharType="separate"/>
          </w:r>
          <w:r>
            <w:rPr>
              <w:rFonts w:hint="eastAsia" w:ascii="黑体" w:hAnsi="黑体" w:eastAsia="黑体" w:cs="黑体"/>
              <w:color w:val="auto"/>
              <w:spacing w:val="6"/>
              <w:kern w:val="44"/>
              <w:sz w:val="24"/>
              <w:szCs w:val="24"/>
              <w:highlight w:val="none"/>
            </w:rPr>
            <w:t>第三章  重点任务</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_Toc14092 \h </w:instrText>
          </w:r>
          <w:r>
            <w:rPr>
              <w:color w:val="auto"/>
              <w:sz w:val="24"/>
              <w:szCs w:val="24"/>
              <w:highlight w:val="none"/>
            </w:rPr>
            <w:fldChar w:fldCharType="separate"/>
          </w:r>
          <w:r>
            <w:rPr>
              <w:rFonts w:hint="eastAsia"/>
              <w:color w:val="auto"/>
              <w:sz w:val="24"/>
              <w:szCs w:val="24"/>
              <w:highlight w:val="none"/>
              <w:lang w:eastAsia="zh-CN"/>
            </w:rPr>
            <w:t>**</w:t>
          </w:r>
          <w:r>
            <w:rPr>
              <w:color w:val="auto"/>
              <w:sz w:val="24"/>
              <w:szCs w:val="24"/>
              <w:highlight w:val="none"/>
            </w:rPr>
            <w:fldChar w:fldCharType="end"/>
          </w:r>
          <w:r>
            <w:rPr>
              <w:rFonts w:hint="eastAsia" w:ascii="仿宋" w:hAnsi="仿宋" w:eastAsia="仿宋" w:cs="仿宋"/>
              <w:bCs/>
              <w:color w:val="auto"/>
              <w:sz w:val="24"/>
              <w:szCs w:val="24"/>
              <w:highlight w:val="none"/>
              <w:lang w:val="zh-CN"/>
            </w:rPr>
            <w:fldChar w:fldCharType="end"/>
          </w:r>
        </w:p>
        <w:p w14:paraId="5F958156">
          <w:pPr>
            <w:pStyle w:val="11"/>
            <w:tabs>
              <w:tab w:val="right" w:leader="dot" w:pos="8306"/>
            </w:tabs>
            <w:spacing w:line="360" w:lineRule="auto"/>
            <w:rPr>
              <w:color w:val="auto"/>
              <w:sz w:val="24"/>
              <w:szCs w:val="24"/>
              <w:highlight w:val="none"/>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 HYPERLINK \l _Toc6303 </w:instrText>
          </w:r>
          <w:r>
            <w:rPr>
              <w:rFonts w:hint="eastAsia" w:ascii="仿宋" w:hAnsi="仿宋" w:eastAsia="仿宋" w:cs="仿宋"/>
              <w:bCs/>
              <w:color w:val="auto"/>
              <w:sz w:val="24"/>
              <w:szCs w:val="24"/>
              <w:highlight w:val="none"/>
              <w:lang w:val="zh-CN"/>
            </w:rPr>
            <w:fldChar w:fldCharType="separate"/>
          </w:r>
          <w:r>
            <w:rPr>
              <w:rFonts w:hint="eastAsia" w:ascii="黑体" w:hAnsi="黑体" w:eastAsia="黑体" w:cs="黑体"/>
              <w:color w:val="auto"/>
              <w:spacing w:val="6"/>
              <w:kern w:val="44"/>
              <w:sz w:val="24"/>
              <w:szCs w:val="24"/>
              <w:highlight w:val="none"/>
              <w:lang w:val="en-US" w:eastAsia="zh-CN"/>
            </w:rPr>
            <w:t xml:space="preserve">第一节 </w:t>
          </w:r>
          <w:r>
            <w:rPr>
              <w:rFonts w:hint="eastAsia" w:ascii="黑体" w:hAnsi="黑体" w:eastAsia="黑体" w:cs="黑体"/>
              <w:color w:val="auto"/>
              <w:spacing w:val="6"/>
              <w:kern w:val="44"/>
              <w:sz w:val="24"/>
              <w:szCs w:val="24"/>
              <w:highlight w:val="none"/>
            </w:rPr>
            <w:t>全面推进健康师市建设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_Toc6303 \h </w:instrText>
          </w:r>
          <w:r>
            <w:rPr>
              <w:color w:val="auto"/>
              <w:sz w:val="24"/>
              <w:szCs w:val="24"/>
              <w:highlight w:val="none"/>
            </w:rPr>
            <w:fldChar w:fldCharType="separate"/>
          </w:r>
          <w:r>
            <w:rPr>
              <w:rFonts w:hint="eastAsia"/>
              <w:color w:val="auto"/>
              <w:sz w:val="24"/>
              <w:szCs w:val="24"/>
              <w:highlight w:val="none"/>
              <w:lang w:eastAsia="zh-CN"/>
            </w:rPr>
            <w:t>**</w:t>
          </w:r>
          <w:r>
            <w:rPr>
              <w:color w:val="auto"/>
              <w:sz w:val="24"/>
              <w:szCs w:val="24"/>
              <w:highlight w:val="none"/>
            </w:rPr>
            <w:fldChar w:fldCharType="end"/>
          </w:r>
          <w:r>
            <w:rPr>
              <w:rFonts w:hint="eastAsia" w:ascii="仿宋" w:hAnsi="仿宋" w:eastAsia="仿宋" w:cs="仿宋"/>
              <w:bCs/>
              <w:color w:val="auto"/>
              <w:sz w:val="24"/>
              <w:szCs w:val="24"/>
              <w:highlight w:val="none"/>
              <w:lang w:val="zh-CN"/>
            </w:rPr>
            <w:fldChar w:fldCharType="end"/>
          </w:r>
        </w:p>
        <w:p w14:paraId="652F04DC">
          <w:pPr>
            <w:pStyle w:val="11"/>
            <w:tabs>
              <w:tab w:val="right" w:leader="dot" w:pos="8306"/>
            </w:tabs>
            <w:spacing w:line="360" w:lineRule="auto"/>
            <w:rPr>
              <w:color w:val="auto"/>
              <w:sz w:val="24"/>
              <w:szCs w:val="24"/>
              <w:highlight w:val="none"/>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 HYPERLINK \l _Toc25824 </w:instrText>
          </w:r>
          <w:r>
            <w:rPr>
              <w:rFonts w:hint="eastAsia" w:ascii="仿宋" w:hAnsi="仿宋" w:eastAsia="仿宋" w:cs="仿宋"/>
              <w:bCs/>
              <w:color w:val="auto"/>
              <w:sz w:val="24"/>
              <w:szCs w:val="24"/>
              <w:highlight w:val="none"/>
              <w:lang w:val="zh-CN"/>
            </w:rPr>
            <w:fldChar w:fldCharType="separate"/>
          </w:r>
          <w:r>
            <w:rPr>
              <w:rFonts w:hint="eastAsia" w:ascii="黑体" w:hAnsi="黑体" w:eastAsia="黑体" w:cs="黑体"/>
              <w:color w:val="auto"/>
              <w:spacing w:val="6"/>
              <w:kern w:val="44"/>
              <w:sz w:val="24"/>
              <w:szCs w:val="24"/>
              <w:highlight w:val="none"/>
              <w:lang w:val="en-US" w:eastAsia="zh-CN"/>
            </w:rPr>
            <w:t xml:space="preserve">第二节 </w:t>
          </w:r>
          <w:r>
            <w:rPr>
              <w:rFonts w:hint="eastAsia" w:ascii="黑体" w:hAnsi="黑体" w:eastAsia="黑体" w:cs="黑体"/>
              <w:color w:val="auto"/>
              <w:spacing w:val="6"/>
              <w:kern w:val="44"/>
              <w:sz w:val="24"/>
              <w:szCs w:val="24"/>
              <w:highlight w:val="none"/>
            </w:rPr>
            <w:t>提升区域医疗服务水平</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_Toc25824 \h </w:instrText>
          </w:r>
          <w:r>
            <w:rPr>
              <w:color w:val="auto"/>
              <w:sz w:val="24"/>
              <w:szCs w:val="24"/>
              <w:highlight w:val="none"/>
            </w:rPr>
            <w:fldChar w:fldCharType="separate"/>
          </w:r>
          <w:r>
            <w:rPr>
              <w:rFonts w:hint="eastAsia"/>
              <w:color w:val="auto"/>
              <w:sz w:val="24"/>
              <w:szCs w:val="24"/>
              <w:highlight w:val="none"/>
              <w:lang w:eastAsia="zh-CN"/>
            </w:rPr>
            <w:t>**</w:t>
          </w:r>
          <w:r>
            <w:rPr>
              <w:color w:val="auto"/>
              <w:sz w:val="24"/>
              <w:szCs w:val="24"/>
              <w:highlight w:val="none"/>
            </w:rPr>
            <w:fldChar w:fldCharType="end"/>
          </w:r>
          <w:r>
            <w:rPr>
              <w:rFonts w:hint="eastAsia" w:ascii="仿宋" w:hAnsi="仿宋" w:eastAsia="仿宋" w:cs="仿宋"/>
              <w:bCs/>
              <w:color w:val="auto"/>
              <w:sz w:val="24"/>
              <w:szCs w:val="24"/>
              <w:highlight w:val="none"/>
              <w:lang w:val="zh-CN"/>
            </w:rPr>
            <w:fldChar w:fldCharType="end"/>
          </w:r>
        </w:p>
        <w:p w14:paraId="3D263F2D">
          <w:pPr>
            <w:pStyle w:val="11"/>
            <w:tabs>
              <w:tab w:val="right" w:leader="dot" w:pos="8306"/>
            </w:tabs>
            <w:spacing w:line="360" w:lineRule="auto"/>
            <w:rPr>
              <w:color w:val="auto"/>
              <w:sz w:val="24"/>
              <w:szCs w:val="24"/>
              <w:highlight w:val="none"/>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 HYPERLINK \l _Toc29530 </w:instrText>
          </w:r>
          <w:r>
            <w:rPr>
              <w:rFonts w:hint="eastAsia" w:ascii="仿宋" w:hAnsi="仿宋" w:eastAsia="仿宋" w:cs="仿宋"/>
              <w:bCs/>
              <w:color w:val="auto"/>
              <w:sz w:val="24"/>
              <w:szCs w:val="24"/>
              <w:highlight w:val="none"/>
              <w:lang w:val="zh-CN"/>
            </w:rPr>
            <w:fldChar w:fldCharType="separate"/>
          </w:r>
          <w:r>
            <w:rPr>
              <w:rFonts w:hint="eastAsia" w:ascii="黑体" w:hAnsi="黑体" w:eastAsia="黑体" w:cs="黑体"/>
              <w:color w:val="auto"/>
              <w:spacing w:val="6"/>
              <w:kern w:val="44"/>
              <w:sz w:val="24"/>
              <w:szCs w:val="24"/>
              <w:highlight w:val="none"/>
            </w:rPr>
            <w:t>第三节 增强公共卫生服务能力</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_Toc29530 \h </w:instrText>
          </w:r>
          <w:r>
            <w:rPr>
              <w:color w:val="auto"/>
              <w:sz w:val="24"/>
              <w:szCs w:val="24"/>
              <w:highlight w:val="none"/>
            </w:rPr>
            <w:fldChar w:fldCharType="separate"/>
          </w:r>
          <w:r>
            <w:rPr>
              <w:rFonts w:hint="eastAsia"/>
              <w:color w:val="auto"/>
              <w:sz w:val="24"/>
              <w:szCs w:val="24"/>
              <w:highlight w:val="none"/>
              <w:lang w:eastAsia="zh-CN"/>
            </w:rPr>
            <w:t>**</w:t>
          </w:r>
          <w:r>
            <w:rPr>
              <w:color w:val="auto"/>
              <w:sz w:val="24"/>
              <w:szCs w:val="24"/>
              <w:highlight w:val="none"/>
            </w:rPr>
            <w:fldChar w:fldCharType="end"/>
          </w:r>
          <w:r>
            <w:rPr>
              <w:rFonts w:hint="eastAsia" w:ascii="仿宋" w:hAnsi="仿宋" w:eastAsia="仿宋" w:cs="仿宋"/>
              <w:bCs/>
              <w:color w:val="auto"/>
              <w:sz w:val="24"/>
              <w:szCs w:val="24"/>
              <w:highlight w:val="none"/>
              <w:lang w:val="zh-CN"/>
            </w:rPr>
            <w:fldChar w:fldCharType="end"/>
          </w:r>
        </w:p>
        <w:p w14:paraId="08292F2E">
          <w:pPr>
            <w:pStyle w:val="11"/>
            <w:tabs>
              <w:tab w:val="right" w:leader="dot" w:pos="8306"/>
            </w:tabs>
            <w:spacing w:line="360" w:lineRule="auto"/>
            <w:rPr>
              <w:color w:val="auto"/>
              <w:sz w:val="24"/>
              <w:szCs w:val="24"/>
              <w:highlight w:val="none"/>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 HYPERLINK \l _Toc23464 </w:instrText>
          </w:r>
          <w:r>
            <w:rPr>
              <w:rFonts w:hint="eastAsia" w:ascii="仿宋" w:hAnsi="仿宋" w:eastAsia="仿宋" w:cs="仿宋"/>
              <w:bCs/>
              <w:color w:val="auto"/>
              <w:sz w:val="24"/>
              <w:szCs w:val="24"/>
              <w:highlight w:val="none"/>
              <w:lang w:val="zh-CN"/>
            </w:rPr>
            <w:fldChar w:fldCharType="separate"/>
          </w:r>
          <w:r>
            <w:rPr>
              <w:rFonts w:hint="eastAsia" w:ascii="黑体" w:hAnsi="黑体" w:eastAsia="黑体" w:cs="黑体"/>
              <w:color w:val="auto"/>
              <w:spacing w:val="6"/>
              <w:kern w:val="44"/>
              <w:sz w:val="24"/>
              <w:szCs w:val="24"/>
              <w:highlight w:val="none"/>
            </w:rPr>
            <w:t>第四节 推动中医药传承创新发展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_Toc23464 \h </w:instrText>
          </w:r>
          <w:r>
            <w:rPr>
              <w:color w:val="auto"/>
              <w:sz w:val="24"/>
              <w:szCs w:val="24"/>
              <w:highlight w:val="none"/>
            </w:rPr>
            <w:fldChar w:fldCharType="separate"/>
          </w:r>
          <w:r>
            <w:rPr>
              <w:rFonts w:hint="eastAsia"/>
              <w:color w:val="auto"/>
              <w:sz w:val="24"/>
              <w:szCs w:val="24"/>
              <w:highlight w:val="none"/>
              <w:lang w:eastAsia="zh-CN"/>
            </w:rPr>
            <w:t>**</w:t>
          </w:r>
          <w:r>
            <w:rPr>
              <w:color w:val="auto"/>
              <w:sz w:val="24"/>
              <w:szCs w:val="24"/>
              <w:highlight w:val="none"/>
            </w:rPr>
            <w:fldChar w:fldCharType="end"/>
          </w:r>
          <w:r>
            <w:rPr>
              <w:rFonts w:hint="eastAsia" w:ascii="仿宋" w:hAnsi="仿宋" w:eastAsia="仿宋" w:cs="仿宋"/>
              <w:bCs/>
              <w:color w:val="auto"/>
              <w:sz w:val="24"/>
              <w:szCs w:val="24"/>
              <w:highlight w:val="none"/>
              <w:lang w:val="zh-CN"/>
            </w:rPr>
            <w:fldChar w:fldCharType="end"/>
          </w:r>
        </w:p>
        <w:p w14:paraId="11A4805E">
          <w:pPr>
            <w:pStyle w:val="11"/>
            <w:tabs>
              <w:tab w:val="right" w:leader="dot" w:pos="8306"/>
            </w:tabs>
            <w:spacing w:line="360" w:lineRule="auto"/>
            <w:rPr>
              <w:color w:val="auto"/>
              <w:sz w:val="24"/>
              <w:szCs w:val="24"/>
              <w:highlight w:val="none"/>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 HYPERLINK \l _Toc24384 </w:instrText>
          </w:r>
          <w:r>
            <w:rPr>
              <w:rFonts w:hint="eastAsia" w:ascii="仿宋" w:hAnsi="仿宋" w:eastAsia="仿宋" w:cs="仿宋"/>
              <w:bCs/>
              <w:color w:val="auto"/>
              <w:sz w:val="24"/>
              <w:szCs w:val="24"/>
              <w:highlight w:val="none"/>
              <w:lang w:val="zh-CN"/>
            </w:rPr>
            <w:fldChar w:fldCharType="separate"/>
          </w:r>
          <w:r>
            <w:rPr>
              <w:rFonts w:hint="eastAsia" w:ascii="黑体" w:hAnsi="黑体" w:eastAsia="黑体" w:cs="黑体"/>
              <w:color w:val="auto"/>
              <w:spacing w:val="6"/>
              <w:kern w:val="44"/>
              <w:sz w:val="24"/>
              <w:szCs w:val="24"/>
              <w:highlight w:val="none"/>
              <w:lang w:val="en-US" w:eastAsia="zh-CN"/>
            </w:rPr>
            <w:t xml:space="preserve">第五节 </w:t>
          </w:r>
          <w:r>
            <w:rPr>
              <w:rFonts w:hint="eastAsia" w:ascii="黑体" w:hAnsi="黑体" w:eastAsia="黑体" w:cs="黑体"/>
              <w:color w:val="auto"/>
              <w:spacing w:val="6"/>
              <w:kern w:val="44"/>
              <w:sz w:val="24"/>
              <w:szCs w:val="24"/>
              <w:highlight w:val="none"/>
            </w:rPr>
            <w:t>积极推进医防融合服务模式创新</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_Toc24384 \h </w:instrText>
          </w:r>
          <w:r>
            <w:rPr>
              <w:color w:val="auto"/>
              <w:sz w:val="24"/>
              <w:szCs w:val="24"/>
              <w:highlight w:val="none"/>
            </w:rPr>
            <w:fldChar w:fldCharType="separate"/>
          </w:r>
          <w:r>
            <w:rPr>
              <w:rFonts w:hint="eastAsia"/>
              <w:color w:val="auto"/>
              <w:sz w:val="24"/>
              <w:szCs w:val="24"/>
              <w:highlight w:val="none"/>
              <w:lang w:eastAsia="zh-CN"/>
            </w:rPr>
            <w:t>**</w:t>
          </w:r>
          <w:r>
            <w:rPr>
              <w:color w:val="auto"/>
              <w:sz w:val="24"/>
              <w:szCs w:val="24"/>
              <w:highlight w:val="none"/>
            </w:rPr>
            <w:fldChar w:fldCharType="end"/>
          </w:r>
          <w:r>
            <w:rPr>
              <w:rFonts w:hint="eastAsia" w:ascii="仿宋" w:hAnsi="仿宋" w:eastAsia="仿宋" w:cs="仿宋"/>
              <w:bCs/>
              <w:color w:val="auto"/>
              <w:sz w:val="24"/>
              <w:szCs w:val="24"/>
              <w:highlight w:val="none"/>
              <w:lang w:val="zh-CN"/>
            </w:rPr>
            <w:fldChar w:fldCharType="end"/>
          </w:r>
        </w:p>
        <w:p w14:paraId="7F975EF7">
          <w:pPr>
            <w:pStyle w:val="11"/>
            <w:tabs>
              <w:tab w:val="right" w:leader="dot" w:pos="8306"/>
            </w:tabs>
            <w:spacing w:line="360" w:lineRule="auto"/>
            <w:rPr>
              <w:color w:val="auto"/>
              <w:sz w:val="24"/>
              <w:szCs w:val="24"/>
              <w:highlight w:val="none"/>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 HYPERLINK \l _Toc30691 </w:instrText>
          </w:r>
          <w:r>
            <w:rPr>
              <w:rFonts w:hint="eastAsia" w:ascii="仿宋" w:hAnsi="仿宋" w:eastAsia="仿宋" w:cs="仿宋"/>
              <w:bCs/>
              <w:color w:val="auto"/>
              <w:sz w:val="24"/>
              <w:szCs w:val="24"/>
              <w:highlight w:val="none"/>
              <w:lang w:val="zh-CN"/>
            </w:rPr>
            <w:fldChar w:fldCharType="separate"/>
          </w:r>
          <w:r>
            <w:rPr>
              <w:rFonts w:hint="eastAsia" w:ascii="黑体" w:hAnsi="黑体" w:eastAsia="黑体" w:cs="黑体"/>
              <w:color w:val="auto"/>
              <w:spacing w:val="6"/>
              <w:kern w:val="44"/>
              <w:sz w:val="24"/>
              <w:szCs w:val="24"/>
              <w:highlight w:val="none"/>
              <w:lang w:val="en-US" w:eastAsia="zh-CN"/>
            </w:rPr>
            <w:t xml:space="preserve">第六节 </w:t>
          </w:r>
          <w:r>
            <w:rPr>
              <w:rFonts w:hint="eastAsia" w:ascii="黑体" w:hAnsi="黑体" w:eastAsia="黑体" w:cs="黑体"/>
              <w:color w:val="auto"/>
              <w:spacing w:val="6"/>
              <w:kern w:val="44"/>
              <w:sz w:val="24"/>
              <w:szCs w:val="24"/>
              <w:highlight w:val="none"/>
            </w:rPr>
            <w:t>加强区域卫生信息化能力建设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_Toc30691 \h </w:instrText>
          </w:r>
          <w:r>
            <w:rPr>
              <w:color w:val="auto"/>
              <w:sz w:val="24"/>
              <w:szCs w:val="24"/>
              <w:highlight w:val="none"/>
            </w:rPr>
            <w:fldChar w:fldCharType="separate"/>
          </w:r>
          <w:r>
            <w:rPr>
              <w:rFonts w:hint="eastAsia"/>
              <w:color w:val="auto"/>
              <w:sz w:val="24"/>
              <w:szCs w:val="24"/>
              <w:highlight w:val="none"/>
              <w:lang w:eastAsia="zh-CN"/>
            </w:rPr>
            <w:t>**</w:t>
          </w:r>
          <w:r>
            <w:rPr>
              <w:color w:val="auto"/>
              <w:sz w:val="24"/>
              <w:szCs w:val="24"/>
              <w:highlight w:val="none"/>
            </w:rPr>
            <w:fldChar w:fldCharType="end"/>
          </w:r>
          <w:r>
            <w:rPr>
              <w:rFonts w:hint="eastAsia" w:ascii="仿宋" w:hAnsi="仿宋" w:eastAsia="仿宋" w:cs="仿宋"/>
              <w:bCs/>
              <w:color w:val="auto"/>
              <w:sz w:val="24"/>
              <w:szCs w:val="24"/>
              <w:highlight w:val="none"/>
              <w:lang w:val="zh-CN"/>
            </w:rPr>
            <w:fldChar w:fldCharType="end"/>
          </w:r>
        </w:p>
        <w:p w14:paraId="0B7BB585">
          <w:pPr>
            <w:pStyle w:val="11"/>
            <w:tabs>
              <w:tab w:val="right" w:leader="dot" w:pos="8306"/>
            </w:tabs>
            <w:spacing w:line="360" w:lineRule="auto"/>
            <w:rPr>
              <w:color w:val="auto"/>
              <w:sz w:val="24"/>
              <w:szCs w:val="24"/>
              <w:highlight w:val="none"/>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 HYPERLINK \l _Toc30950 </w:instrText>
          </w:r>
          <w:r>
            <w:rPr>
              <w:rFonts w:hint="eastAsia" w:ascii="仿宋" w:hAnsi="仿宋" w:eastAsia="仿宋" w:cs="仿宋"/>
              <w:bCs/>
              <w:color w:val="auto"/>
              <w:sz w:val="24"/>
              <w:szCs w:val="24"/>
              <w:highlight w:val="none"/>
              <w:lang w:val="zh-CN"/>
            </w:rPr>
            <w:fldChar w:fldCharType="separate"/>
          </w:r>
          <w:r>
            <w:rPr>
              <w:rFonts w:hint="eastAsia" w:ascii="黑体" w:hAnsi="黑体" w:eastAsia="黑体" w:cs="黑体"/>
              <w:color w:val="auto"/>
              <w:spacing w:val="6"/>
              <w:kern w:val="44"/>
              <w:sz w:val="24"/>
              <w:szCs w:val="24"/>
              <w:highlight w:val="none"/>
              <w:lang w:val="en-US" w:eastAsia="zh-CN"/>
            </w:rPr>
            <w:t xml:space="preserve">第七节 </w:t>
          </w:r>
          <w:r>
            <w:rPr>
              <w:rFonts w:hint="eastAsia" w:ascii="黑体" w:hAnsi="黑体" w:eastAsia="黑体" w:cs="黑体"/>
              <w:color w:val="auto"/>
              <w:spacing w:val="6"/>
              <w:kern w:val="44"/>
              <w:sz w:val="24"/>
              <w:szCs w:val="24"/>
              <w:highlight w:val="none"/>
            </w:rPr>
            <w:t>筑牢</w:t>
          </w:r>
          <w:r>
            <w:rPr>
              <w:rFonts w:hint="eastAsia" w:ascii="黑体" w:hAnsi="黑体" w:eastAsia="黑体" w:cs="黑体"/>
              <w:color w:val="auto"/>
              <w:spacing w:val="6"/>
              <w:kern w:val="44"/>
              <w:sz w:val="24"/>
              <w:szCs w:val="24"/>
              <w:highlight w:val="none"/>
              <w:lang w:eastAsia="zh-CN"/>
            </w:rPr>
            <w:t>“一老一小”</w:t>
          </w:r>
          <w:r>
            <w:rPr>
              <w:rFonts w:hint="eastAsia" w:ascii="黑体" w:hAnsi="黑体" w:eastAsia="黑体" w:cs="黑体"/>
              <w:color w:val="auto"/>
              <w:spacing w:val="6"/>
              <w:kern w:val="44"/>
              <w:sz w:val="24"/>
              <w:szCs w:val="24"/>
              <w:highlight w:val="none"/>
            </w:rPr>
            <w:t>健康保障，促进人口长期均衡发展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_Toc30950 \h </w:instrText>
          </w:r>
          <w:r>
            <w:rPr>
              <w:color w:val="auto"/>
              <w:sz w:val="24"/>
              <w:szCs w:val="24"/>
              <w:highlight w:val="none"/>
            </w:rPr>
            <w:fldChar w:fldCharType="separate"/>
          </w:r>
          <w:r>
            <w:rPr>
              <w:rFonts w:hint="eastAsia"/>
              <w:color w:val="auto"/>
              <w:sz w:val="24"/>
              <w:szCs w:val="24"/>
              <w:highlight w:val="none"/>
              <w:lang w:eastAsia="zh-CN"/>
            </w:rPr>
            <w:t>**</w:t>
          </w:r>
          <w:r>
            <w:rPr>
              <w:color w:val="auto"/>
              <w:sz w:val="24"/>
              <w:szCs w:val="24"/>
              <w:highlight w:val="none"/>
            </w:rPr>
            <w:fldChar w:fldCharType="end"/>
          </w:r>
          <w:r>
            <w:rPr>
              <w:rFonts w:hint="eastAsia" w:ascii="仿宋" w:hAnsi="仿宋" w:eastAsia="仿宋" w:cs="仿宋"/>
              <w:bCs/>
              <w:color w:val="auto"/>
              <w:sz w:val="24"/>
              <w:szCs w:val="24"/>
              <w:highlight w:val="none"/>
              <w:lang w:val="zh-CN"/>
            </w:rPr>
            <w:fldChar w:fldCharType="end"/>
          </w:r>
        </w:p>
        <w:p w14:paraId="0F8BF707">
          <w:pPr>
            <w:pStyle w:val="11"/>
            <w:tabs>
              <w:tab w:val="right" w:leader="dot" w:pos="8306"/>
            </w:tabs>
            <w:spacing w:line="360" w:lineRule="auto"/>
            <w:rPr>
              <w:color w:val="auto"/>
              <w:sz w:val="24"/>
              <w:szCs w:val="24"/>
              <w:highlight w:val="none"/>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 HYPERLINK \l _Toc13703 </w:instrText>
          </w:r>
          <w:r>
            <w:rPr>
              <w:rFonts w:hint="eastAsia" w:ascii="仿宋" w:hAnsi="仿宋" w:eastAsia="仿宋" w:cs="仿宋"/>
              <w:bCs/>
              <w:color w:val="auto"/>
              <w:sz w:val="24"/>
              <w:szCs w:val="24"/>
              <w:highlight w:val="none"/>
              <w:lang w:val="zh-CN"/>
            </w:rPr>
            <w:fldChar w:fldCharType="separate"/>
          </w:r>
          <w:r>
            <w:rPr>
              <w:rFonts w:hint="eastAsia" w:ascii="黑体" w:hAnsi="黑体" w:eastAsia="黑体" w:cs="黑体"/>
              <w:color w:val="auto"/>
              <w:spacing w:val="6"/>
              <w:kern w:val="44"/>
              <w:sz w:val="24"/>
              <w:szCs w:val="24"/>
              <w:highlight w:val="none"/>
              <w:lang w:eastAsia="zh-CN"/>
            </w:rPr>
            <w:t xml:space="preserve">第八节 </w:t>
          </w:r>
          <w:r>
            <w:rPr>
              <w:rFonts w:hint="eastAsia" w:ascii="黑体" w:hAnsi="黑体" w:eastAsia="黑体" w:cs="黑体"/>
              <w:color w:val="auto"/>
              <w:spacing w:val="6"/>
              <w:kern w:val="44"/>
              <w:sz w:val="24"/>
              <w:szCs w:val="24"/>
              <w:highlight w:val="none"/>
            </w:rPr>
            <w:t>加强卫生人才队伍能力建设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_Toc13703 \h </w:instrText>
          </w:r>
          <w:r>
            <w:rPr>
              <w:color w:val="auto"/>
              <w:sz w:val="24"/>
              <w:szCs w:val="24"/>
              <w:highlight w:val="none"/>
            </w:rPr>
            <w:fldChar w:fldCharType="separate"/>
          </w:r>
          <w:r>
            <w:rPr>
              <w:rFonts w:hint="eastAsia"/>
              <w:color w:val="auto"/>
              <w:sz w:val="24"/>
              <w:szCs w:val="24"/>
              <w:highlight w:val="none"/>
              <w:lang w:eastAsia="zh-CN"/>
            </w:rPr>
            <w:t>**</w:t>
          </w:r>
          <w:r>
            <w:rPr>
              <w:color w:val="auto"/>
              <w:sz w:val="24"/>
              <w:szCs w:val="24"/>
              <w:highlight w:val="none"/>
            </w:rPr>
            <w:fldChar w:fldCharType="end"/>
          </w:r>
          <w:r>
            <w:rPr>
              <w:rFonts w:hint="eastAsia" w:ascii="仿宋" w:hAnsi="仿宋" w:eastAsia="仿宋" w:cs="仿宋"/>
              <w:bCs/>
              <w:color w:val="auto"/>
              <w:sz w:val="24"/>
              <w:szCs w:val="24"/>
              <w:highlight w:val="none"/>
              <w:lang w:val="zh-CN"/>
            </w:rPr>
            <w:fldChar w:fldCharType="end"/>
          </w:r>
        </w:p>
        <w:p w14:paraId="1657C1AA">
          <w:pPr>
            <w:pStyle w:val="11"/>
            <w:tabs>
              <w:tab w:val="right" w:leader="dot" w:pos="8306"/>
            </w:tabs>
            <w:spacing w:line="360" w:lineRule="auto"/>
            <w:rPr>
              <w:color w:val="auto"/>
              <w:sz w:val="24"/>
              <w:szCs w:val="24"/>
              <w:highlight w:val="none"/>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 HYPERLINK \l _Toc8026 </w:instrText>
          </w:r>
          <w:r>
            <w:rPr>
              <w:rFonts w:hint="eastAsia" w:ascii="仿宋" w:hAnsi="仿宋" w:eastAsia="仿宋" w:cs="仿宋"/>
              <w:bCs/>
              <w:color w:val="auto"/>
              <w:sz w:val="24"/>
              <w:szCs w:val="24"/>
              <w:highlight w:val="none"/>
              <w:lang w:val="zh-CN"/>
            </w:rPr>
            <w:fldChar w:fldCharType="separate"/>
          </w:r>
          <w:r>
            <w:rPr>
              <w:rFonts w:hint="eastAsia" w:ascii="黑体" w:hAnsi="黑体" w:eastAsia="黑体" w:cs="黑体"/>
              <w:color w:val="auto"/>
              <w:spacing w:val="6"/>
              <w:kern w:val="44"/>
              <w:sz w:val="24"/>
              <w:szCs w:val="24"/>
              <w:highlight w:val="none"/>
              <w:lang w:val="en-US" w:eastAsia="zh-CN"/>
            </w:rPr>
            <w:t>第九节 提升卫生应急综合保障能力</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_Toc8026 \h </w:instrText>
          </w:r>
          <w:r>
            <w:rPr>
              <w:color w:val="auto"/>
              <w:sz w:val="24"/>
              <w:szCs w:val="24"/>
              <w:highlight w:val="none"/>
            </w:rPr>
            <w:fldChar w:fldCharType="separate"/>
          </w:r>
          <w:r>
            <w:rPr>
              <w:rFonts w:hint="eastAsia"/>
              <w:color w:val="auto"/>
              <w:sz w:val="24"/>
              <w:szCs w:val="24"/>
              <w:highlight w:val="none"/>
              <w:lang w:eastAsia="zh-CN"/>
            </w:rPr>
            <w:t>**</w:t>
          </w:r>
          <w:r>
            <w:rPr>
              <w:color w:val="auto"/>
              <w:sz w:val="24"/>
              <w:szCs w:val="24"/>
              <w:highlight w:val="none"/>
            </w:rPr>
            <w:fldChar w:fldCharType="end"/>
          </w:r>
          <w:r>
            <w:rPr>
              <w:rFonts w:hint="eastAsia" w:ascii="仿宋" w:hAnsi="仿宋" w:eastAsia="仿宋" w:cs="仿宋"/>
              <w:bCs/>
              <w:color w:val="auto"/>
              <w:sz w:val="24"/>
              <w:szCs w:val="24"/>
              <w:highlight w:val="none"/>
              <w:lang w:val="zh-CN"/>
            </w:rPr>
            <w:fldChar w:fldCharType="end"/>
          </w:r>
        </w:p>
        <w:p w14:paraId="782BD52A">
          <w:pPr>
            <w:pStyle w:val="11"/>
            <w:tabs>
              <w:tab w:val="right" w:leader="dot" w:pos="8306"/>
            </w:tabs>
            <w:spacing w:line="360" w:lineRule="auto"/>
            <w:rPr>
              <w:color w:val="auto"/>
              <w:sz w:val="24"/>
              <w:szCs w:val="24"/>
              <w:highlight w:val="none"/>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 HYPERLINK \l _Toc9896 </w:instrText>
          </w:r>
          <w:r>
            <w:rPr>
              <w:rFonts w:hint="eastAsia" w:ascii="仿宋" w:hAnsi="仿宋" w:eastAsia="仿宋" w:cs="仿宋"/>
              <w:bCs/>
              <w:color w:val="auto"/>
              <w:sz w:val="24"/>
              <w:szCs w:val="24"/>
              <w:highlight w:val="none"/>
              <w:lang w:val="zh-CN"/>
            </w:rPr>
            <w:fldChar w:fldCharType="separate"/>
          </w:r>
          <w:r>
            <w:rPr>
              <w:rFonts w:hint="eastAsia" w:ascii="黑体" w:hAnsi="黑体" w:eastAsia="黑体" w:cs="黑体"/>
              <w:color w:val="auto"/>
              <w:spacing w:val="6"/>
              <w:kern w:val="44"/>
              <w:sz w:val="24"/>
              <w:szCs w:val="24"/>
              <w:highlight w:val="none"/>
              <w:lang w:val="en-US" w:eastAsia="zh-CN"/>
            </w:rPr>
            <w:t>第十节 健全援疆协作长效机制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_Toc9896 \h </w:instrText>
          </w:r>
          <w:r>
            <w:rPr>
              <w:color w:val="auto"/>
              <w:sz w:val="24"/>
              <w:szCs w:val="24"/>
              <w:highlight w:val="none"/>
            </w:rPr>
            <w:fldChar w:fldCharType="separate"/>
          </w:r>
          <w:r>
            <w:rPr>
              <w:rFonts w:hint="eastAsia"/>
              <w:color w:val="auto"/>
              <w:sz w:val="24"/>
              <w:szCs w:val="24"/>
              <w:highlight w:val="none"/>
              <w:lang w:eastAsia="zh-CN"/>
            </w:rPr>
            <w:t>**</w:t>
          </w:r>
          <w:r>
            <w:rPr>
              <w:color w:val="auto"/>
              <w:sz w:val="24"/>
              <w:szCs w:val="24"/>
              <w:highlight w:val="none"/>
            </w:rPr>
            <w:fldChar w:fldCharType="end"/>
          </w:r>
          <w:r>
            <w:rPr>
              <w:rFonts w:hint="eastAsia" w:ascii="仿宋" w:hAnsi="仿宋" w:eastAsia="仿宋" w:cs="仿宋"/>
              <w:bCs/>
              <w:color w:val="auto"/>
              <w:sz w:val="24"/>
              <w:szCs w:val="24"/>
              <w:highlight w:val="none"/>
              <w:lang w:val="zh-CN"/>
            </w:rPr>
            <w:fldChar w:fldCharType="end"/>
          </w:r>
        </w:p>
        <w:p w14:paraId="7AB8C2A4">
          <w:pPr>
            <w:pStyle w:val="11"/>
            <w:tabs>
              <w:tab w:val="right" w:leader="dot" w:pos="8306"/>
            </w:tabs>
            <w:spacing w:line="360" w:lineRule="auto"/>
            <w:rPr>
              <w:color w:val="auto"/>
              <w:sz w:val="24"/>
              <w:szCs w:val="24"/>
              <w:highlight w:val="none"/>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 HYPERLINK \l _Toc5784 </w:instrText>
          </w:r>
          <w:r>
            <w:rPr>
              <w:rFonts w:hint="eastAsia" w:ascii="仿宋" w:hAnsi="仿宋" w:eastAsia="仿宋" w:cs="仿宋"/>
              <w:bCs/>
              <w:color w:val="auto"/>
              <w:sz w:val="24"/>
              <w:szCs w:val="24"/>
              <w:highlight w:val="none"/>
              <w:lang w:val="zh-CN"/>
            </w:rPr>
            <w:fldChar w:fldCharType="separate"/>
          </w:r>
          <w:r>
            <w:rPr>
              <w:rFonts w:hint="eastAsia" w:ascii="黑体" w:hAnsi="黑体" w:eastAsia="黑体" w:cs="黑体"/>
              <w:color w:val="auto"/>
              <w:spacing w:val="6"/>
              <w:kern w:val="44"/>
              <w:sz w:val="24"/>
              <w:szCs w:val="24"/>
              <w:highlight w:val="none"/>
              <w:lang w:val="en-US" w:eastAsia="zh-CN"/>
            </w:rPr>
            <w:t>第十一节 强化红十字核心职能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_Toc5784 \h </w:instrText>
          </w:r>
          <w:r>
            <w:rPr>
              <w:color w:val="auto"/>
              <w:sz w:val="24"/>
              <w:szCs w:val="24"/>
              <w:highlight w:val="none"/>
            </w:rPr>
            <w:fldChar w:fldCharType="separate"/>
          </w:r>
          <w:r>
            <w:rPr>
              <w:rFonts w:hint="eastAsia"/>
              <w:color w:val="auto"/>
              <w:sz w:val="24"/>
              <w:szCs w:val="24"/>
              <w:highlight w:val="none"/>
              <w:lang w:eastAsia="zh-CN"/>
            </w:rPr>
            <w:t>**</w:t>
          </w:r>
          <w:r>
            <w:rPr>
              <w:color w:val="auto"/>
              <w:sz w:val="24"/>
              <w:szCs w:val="24"/>
              <w:highlight w:val="none"/>
            </w:rPr>
            <w:fldChar w:fldCharType="end"/>
          </w:r>
          <w:r>
            <w:rPr>
              <w:rFonts w:hint="eastAsia" w:ascii="仿宋" w:hAnsi="仿宋" w:eastAsia="仿宋" w:cs="仿宋"/>
              <w:bCs/>
              <w:color w:val="auto"/>
              <w:sz w:val="24"/>
              <w:szCs w:val="24"/>
              <w:highlight w:val="none"/>
              <w:lang w:val="zh-CN"/>
            </w:rPr>
            <w:fldChar w:fldCharType="end"/>
          </w:r>
        </w:p>
        <w:p w14:paraId="32A84F01">
          <w:pPr>
            <w:pStyle w:val="10"/>
            <w:tabs>
              <w:tab w:val="right" w:leader="dot" w:pos="8306"/>
              <w:tab w:val="clear" w:pos="8296"/>
            </w:tabs>
            <w:spacing w:line="360" w:lineRule="auto"/>
            <w:rPr>
              <w:color w:val="auto"/>
              <w:sz w:val="24"/>
              <w:szCs w:val="24"/>
              <w:highlight w:val="none"/>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 HYPERLINK \l _Toc30890 </w:instrText>
          </w:r>
          <w:r>
            <w:rPr>
              <w:rFonts w:hint="eastAsia" w:ascii="仿宋" w:hAnsi="仿宋" w:eastAsia="仿宋" w:cs="仿宋"/>
              <w:bCs/>
              <w:color w:val="auto"/>
              <w:sz w:val="24"/>
              <w:szCs w:val="24"/>
              <w:highlight w:val="none"/>
              <w:lang w:val="zh-CN"/>
            </w:rPr>
            <w:fldChar w:fldCharType="separate"/>
          </w:r>
          <w:r>
            <w:rPr>
              <w:rFonts w:hint="eastAsia" w:ascii="黑体" w:hAnsi="黑体" w:eastAsia="黑体" w:cs="黑体"/>
              <w:color w:val="auto"/>
              <w:spacing w:val="6"/>
              <w:kern w:val="44"/>
              <w:sz w:val="24"/>
              <w:szCs w:val="24"/>
              <w:highlight w:val="none"/>
            </w:rPr>
            <w:t>第</w:t>
          </w:r>
          <w:r>
            <w:rPr>
              <w:rFonts w:hint="eastAsia" w:ascii="黑体" w:hAnsi="黑体" w:eastAsia="黑体" w:cs="黑体"/>
              <w:color w:val="auto"/>
              <w:spacing w:val="6"/>
              <w:kern w:val="44"/>
              <w:sz w:val="24"/>
              <w:szCs w:val="24"/>
              <w:highlight w:val="none"/>
              <w:lang w:val="en-US" w:eastAsia="zh-CN"/>
            </w:rPr>
            <w:t>四</w:t>
          </w:r>
          <w:r>
            <w:rPr>
              <w:rFonts w:hint="eastAsia" w:ascii="黑体" w:hAnsi="黑体" w:eastAsia="黑体" w:cs="黑体"/>
              <w:color w:val="auto"/>
              <w:spacing w:val="6"/>
              <w:kern w:val="44"/>
              <w:sz w:val="24"/>
              <w:szCs w:val="24"/>
              <w:highlight w:val="none"/>
            </w:rPr>
            <w:t>章  保障措施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_Toc30890 \h </w:instrText>
          </w:r>
          <w:r>
            <w:rPr>
              <w:color w:val="auto"/>
              <w:sz w:val="24"/>
              <w:szCs w:val="24"/>
              <w:highlight w:val="none"/>
            </w:rPr>
            <w:fldChar w:fldCharType="separate"/>
          </w:r>
          <w:r>
            <w:rPr>
              <w:rFonts w:hint="eastAsia"/>
              <w:color w:val="auto"/>
              <w:sz w:val="24"/>
              <w:szCs w:val="24"/>
              <w:highlight w:val="none"/>
              <w:lang w:eastAsia="zh-CN"/>
            </w:rPr>
            <w:t>**</w:t>
          </w:r>
          <w:r>
            <w:rPr>
              <w:color w:val="auto"/>
              <w:sz w:val="24"/>
              <w:szCs w:val="24"/>
              <w:highlight w:val="none"/>
            </w:rPr>
            <w:fldChar w:fldCharType="end"/>
          </w:r>
          <w:r>
            <w:rPr>
              <w:rFonts w:hint="eastAsia" w:ascii="仿宋" w:hAnsi="仿宋" w:eastAsia="仿宋" w:cs="仿宋"/>
              <w:bCs/>
              <w:color w:val="auto"/>
              <w:sz w:val="24"/>
              <w:szCs w:val="24"/>
              <w:highlight w:val="none"/>
              <w:lang w:val="zh-CN"/>
            </w:rPr>
            <w:fldChar w:fldCharType="end"/>
          </w:r>
        </w:p>
        <w:p w14:paraId="14E9177F">
          <w:pPr>
            <w:pStyle w:val="11"/>
            <w:tabs>
              <w:tab w:val="right" w:leader="dot" w:pos="8306"/>
            </w:tabs>
            <w:spacing w:line="360" w:lineRule="auto"/>
            <w:rPr>
              <w:color w:val="auto"/>
              <w:sz w:val="24"/>
              <w:szCs w:val="24"/>
              <w:highlight w:val="none"/>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 HYPERLINK \l _Toc12927 </w:instrText>
          </w:r>
          <w:r>
            <w:rPr>
              <w:rFonts w:hint="eastAsia" w:ascii="仿宋" w:hAnsi="仿宋" w:eastAsia="仿宋" w:cs="仿宋"/>
              <w:bCs/>
              <w:color w:val="auto"/>
              <w:sz w:val="24"/>
              <w:szCs w:val="24"/>
              <w:highlight w:val="none"/>
              <w:lang w:val="zh-CN"/>
            </w:rPr>
            <w:fldChar w:fldCharType="separate"/>
          </w:r>
          <w:r>
            <w:rPr>
              <w:rFonts w:hint="eastAsia" w:ascii="黑体" w:hAnsi="黑体" w:eastAsia="黑体" w:cs="黑体"/>
              <w:color w:val="auto"/>
              <w:spacing w:val="6"/>
              <w:kern w:val="44"/>
              <w:sz w:val="24"/>
              <w:szCs w:val="24"/>
              <w:highlight w:val="none"/>
            </w:rPr>
            <w:t>第一节 加强组织领导</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_Toc12927 \h </w:instrText>
          </w:r>
          <w:r>
            <w:rPr>
              <w:color w:val="auto"/>
              <w:sz w:val="24"/>
              <w:szCs w:val="24"/>
              <w:highlight w:val="none"/>
            </w:rPr>
            <w:fldChar w:fldCharType="separate"/>
          </w:r>
          <w:r>
            <w:rPr>
              <w:rFonts w:hint="eastAsia"/>
              <w:color w:val="auto"/>
              <w:sz w:val="24"/>
              <w:szCs w:val="24"/>
              <w:highlight w:val="none"/>
              <w:lang w:eastAsia="zh-CN"/>
            </w:rPr>
            <w:t>**</w:t>
          </w:r>
          <w:r>
            <w:rPr>
              <w:color w:val="auto"/>
              <w:sz w:val="24"/>
              <w:szCs w:val="24"/>
              <w:highlight w:val="none"/>
            </w:rPr>
            <w:fldChar w:fldCharType="end"/>
          </w:r>
          <w:r>
            <w:rPr>
              <w:rFonts w:hint="eastAsia" w:ascii="仿宋" w:hAnsi="仿宋" w:eastAsia="仿宋" w:cs="仿宋"/>
              <w:bCs/>
              <w:color w:val="auto"/>
              <w:sz w:val="24"/>
              <w:szCs w:val="24"/>
              <w:highlight w:val="none"/>
              <w:lang w:val="zh-CN"/>
            </w:rPr>
            <w:fldChar w:fldCharType="end"/>
          </w:r>
        </w:p>
        <w:p w14:paraId="06C48886">
          <w:pPr>
            <w:pStyle w:val="11"/>
            <w:tabs>
              <w:tab w:val="right" w:leader="dot" w:pos="8306"/>
            </w:tabs>
            <w:spacing w:line="360" w:lineRule="auto"/>
            <w:rPr>
              <w:color w:val="auto"/>
              <w:sz w:val="24"/>
              <w:szCs w:val="24"/>
              <w:highlight w:val="none"/>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 HYPERLINK \l _Toc17361 </w:instrText>
          </w:r>
          <w:r>
            <w:rPr>
              <w:rFonts w:hint="eastAsia" w:ascii="仿宋" w:hAnsi="仿宋" w:eastAsia="仿宋" w:cs="仿宋"/>
              <w:bCs/>
              <w:color w:val="auto"/>
              <w:sz w:val="24"/>
              <w:szCs w:val="24"/>
              <w:highlight w:val="none"/>
              <w:lang w:val="zh-CN"/>
            </w:rPr>
            <w:fldChar w:fldCharType="separate"/>
          </w:r>
          <w:r>
            <w:rPr>
              <w:rFonts w:hint="eastAsia" w:ascii="黑体" w:hAnsi="黑体" w:eastAsia="黑体" w:cs="黑体"/>
              <w:color w:val="auto"/>
              <w:spacing w:val="6"/>
              <w:kern w:val="44"/>
              <w:sz w:val="24"/>
              <w:szCs w:val="24"/>
              <w:highlight w:val="none"/>
            </w:rPr>
            <w:t>第二节 健全政策支持</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_Toc17361 \h </w:instrText>
          </w:r>
          <w:r>
            <w:rPr>
              <w:color w:val="auto"/>
              <w:sz w:val="24"/>
              <w:szCs w:val="24"/>
              <w:highlight w:val="none"/>
            </w:rPr>
            <w:fldChar w:fldCharType="separate"/>
          </w:r>
          <w:r>
            <w:rPr>
              <w:rFonts w:hint="eastAsia"/>
              <w:color w:val="auto"/>
              <w:sz w:val="24"/>
              <w:szCs w:val="24"/>
              <w:highlight w:val="none"/>
              <w:lang w:eastAsia="zh-CN"/>
            </w:rPr>
            <w:t>**</w:t>
          </w:r>
          <w:r>
            <w:rPr>
              <w:color w:val="auto"/>
              <w:sz w:val="24"/>
              <w:szCs w:val="24"/>
              <w:highlight w:val="none"/>
            </w:rPr>
            <w:fldChar w:fldCharType="end"/>
          </w:r>
          <w:r>
            <w:rPr>
              <w:rFonts w:hint="eastAsia" w:ascii="仿宋" w:hAnsi="仿宋" w:eastAsia="仿宋" w:cs="仿宋"/>
              <w:bCs/>
              <w:color w:val="auto"/>
              <w:sz w:val="24"/>
              <w:szCs w:val="24"/>
              <w:highlight w:val="none"/>
              <w:lang w:val="zh-CN"/>
            </w:rPr>
            <w:fldChar w:fldCharType="end"/>
          </w:r>
        </w:p>
        <w:p w14:paraId="46C5629D">
          <w:pPr>
            <w:pStyle w:val="11"/>
            <w:tabs>
              <w:tab w:val="right" w:leader="dot" w:pos="8306"/>
            </w:tabs>
            <w:spacing w:line="360" w:lineRule="auto"/>
            <w:rPr>
              <w:color w:val="auto"/>
              <w:sz w:val="24"/>
              <w:szCs w:val="24"/>
              <w:highlight w:val="none"/>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 HYPERLINK \l _Toc30366 </w:instrText>
          </w:r>
          <w:r>
            <w:rPr>
              <w:rFonts w:hint="eastAsia" w:ascii="仿宋" w:hAnsi="仿宋" w:eastAsia="仿宋" w:cs="仿宋"/>
              <w:bCs/>
              <w:color w:val="auto"/>
              <w:sz w:val="24"/>
              <w:szCs w:val="24"/>
              <w:highlight w:val="none"/>
              <w:lang w:val="zh-CN"/>
            </w:rPr>
            <w:fldChar w:fldCharType="separate"/>
          </w:r>
          <w:r>
            <w:rPr>
              <w:rFonts w:hint="eastAsia" w:ascii="黑体" w:hAnsi="黑体" w:eastAsia="黑体" w:cs="黑体"/>
              <w:color w:val="auto"/>
              <w:spacing w:val="6"/>
              <w:kern w:val="44"/>
              <w:sz w:val="24"/>
              <w:szCs w:val="24"/>
              <w:highlight w:val="none"/>
            </w:rPr>
            <w:t>第三节 落实多元投入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_Toc30366 \h </w:instrText>
          </w:r>
          <w:r>
            <w:rPr>
              <w:color w:val="auto"/>
              <w:sz w:val="24"/>
              <w:szCs w:val="24"/>
              <w:highlight w:val="none"/>
            </w:rPr>
            <w:fldChar w:fldCharType="separate"/>
          </w:r>
          <w:r>
            <w:rPr>
              <w:rFonts w:hint="eastAsia"/>
              <w:color w:val="auto"/>
              <w:sz w:val="24"/>
              <w:szCs w:val="24"/>
              <w:highlight w:val="none"/>
              <w:lang w:eastAsia="zh-CN"/>
            </w:rPr>
            <w:t>**</w:t>
          </w:r>
          <w:r>
            <w:rPr>
              <w:color w:val="auto"/>
              <w:sz w:val="24"/>
              <w:szCs w:val="24"/>
              <w:highlight w:val="none"/>
            </w:rPr>
            <w:fldChar w:fldCharType="end"/>
          </w:r>
          <w:r>
            <w:rPr>
              <w:rFonts w:hint="eastAsia" w:ascii="仿宋" w:hAnsi="仿宋" w:eastAsia="仿宋" w:cs="仿宋"/>
              <w:bCs/>
              <w:color w:val="auto"/>
              <w:sz w:val="24"/>
              <w:szCs w:val="24"/>
              <w:highlight w:val="none"/>
              <w:lang w:val="zh-CN"/>
            </w:rPr>
            <w:fldChar w:fldCharType="end"/>
          </w:r>
        </w:p>
        <w:p w14:paraId="7FF1CE77">
          <w:pPr>
            <w:pStyle w:val="11"/>
            <w:tabs>
              <w:tab w:val="right" w:leader="dot" w:pos="8306"/>
            </w:tabs>
            <w:spacing w:line="360" w:lineRule="auto"/>
            <w:rPr>
              <w:color w:val="auto"/>
              <w:sz w:val="24"/>
              <w:szCs w:val="24"/>
              <w:highlight w:val="none"/>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 HYPERLINK \l _Toc93 </w:instrText>
          </w:r>
          <w:r>
            <w:rPr>
              <w:rFonts w:hint="eastAsia" w:ascii="仿宋" w:hAnsi="仿宋" w:eastAsia="仿宋" w:cs="仿宋"/>
              <w:bCs/>
              <w:color w:val="auto"/>
              <w:sz w:val="24"/>
              <w:szCs w:val="24"/>
              <w:highlight w:val="none"/>
              <w:lang w:val="zh-CN"/>
            </w:rPr>
            <w:fldChar w:fldCharType="separate"/>
          </w:r>
          <w:r>
            <w:rPr>
              <w:rFonts w:hint="eastAsia" w:ascii="黑体" w:hAnsi="黑体" w:eastAsia="黑体" w:cs="黑体"/>
              <w:color w:val="auto"/>
              <w:spacing w:val="6"/>
              <w:kern w:val="44"/>
              <w:sz w:val="24"/>
              <w:szCs w:val="24"/>
              <w:highlight w:val="none"/>
            </w:rPr>
            <w:t>第四节 完善监督和评估</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_Toc93 \h </w:instrText>
          </w:r>
          <w:r>
            <w:rPr>
              <w:color w:val="auto"/>
              <w:sz w:val="24"/>
              <w:szCs w:val="24"/>
              <w:highlight w:val="none"/>
            </w:rPr>
            <w:fldChar w:fldCharType="separate"/>
          </w:r>
          <w:r>
            <w:rPr>
              <w:rFonts w:hint="eastAsia"/>
              <w:color w:val="auto"/>
              <w:sz w:val="24"/>
              <w:szCs w:val="24"/>
              <w:highlight w:val="none"/>
              <w:lang w:eastAsia="zh-CN"/>
            </w:rPr>
            <w:t>**</w:t>
          </w:r>
          <w:r>
            <w:rPr>
              <w:color w:val="auto"/>
              <w:sz w:val="24"/>
              <w:szCs w:val="24"/>
              <w:highlight w:val="none"/>
            </w:rPr>
            <w:fldChar w:fldCharType="end"/>
          </w:r>
          <w:r>
            <w:rPr>
              <w:rFonts w:hint="eastAsia" w:ascii="仿宋" w:hAnsi="仿宋" w:eastAsia="仿宋" w:cs="仿宋"/>
              <w:bCs/>
              <w:color w:val="auto"/>
              <w:sz w:val="24"/>
              <w:szCs w:val="24"/>
              <w:highlight w:val="none"/>
              <w:lang w:val="zh-CN"/>
            </w:rPr>
            <w:fldChar w:fldCharType="end"/>
          </w:r>
        </w:p>
        <w:p w14:paraId="4C284532">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theme="minorBidi"/>
              <w:b/>
              <w:bCs/>
              <w:color w:val="auto"/>
              <w:kern w:val="2"/>
              <w:highlight w:val="none"/>
              <w:lang w:val="zh-CN"/>
            </w:rPr>
          </w:pPr>
          <w:r>
            <w:rPr>
              <w:rFonts w:hint="eastAsia" w:ascii="仿宋" w:hAnsi="仿宋" w:eastAsia="仿宋" w:cs="仿宋"/>
              <w:bCs/>
              <w:color w:val="auto"/>
              <w:sz w:val="24"/>
              <w:szCs w:val="24"/>
              <w:highlight w:val="none"/>
              <w:lang w:val="zh-CN"/>
            </w:rPr>
            <w:fldChar w:fldCharType="end"/>
          </w:r>
        </w:p>
      </w:sdtContent>
    </w:sdt>
    <w:p w14:paraId="3E4A5521">
      <w:pPr>
        <w:jc w:val="center"/>
        <w:rPr>
          <w:rFonts w:hint="eastAsia" w:ascii="黑体" w:hAnsi="黑体" w:eastAsia="黑体" w:cs="黑体"/>
          <w:b/>
          <w:color w:val="auto"/>
          <w:spacing w:val="6"/>
          <w:kern w:val="44"/>
          <w:sz w:val="32"/>
          <w:szCs w:val="60"/>
          <w:highlight w:val="none"/>
        </w:rPr>
      </w:pPr>
      <w:bookmarkStart w:id="0" w:name="_Toc19902"/>
      <w:r>
        <w:rPr>
          <w:rFonts w:hint="eastAsia" w:ascii="黑体" w:hAnsi="黑体" w:eastAsia="黑体" w:cs="黑体"/>
          <w:b/>
          <w:color w:val="auto"/>
          <w:spacing w:val="6"/>
          <w:kern w:val="44"/>
          <w:sz w:val="32"/>
          <w:szCs w:val="60"/>
          <w:highlight w:val="none"/>
        </w:rPr>
        <w:br w:type="page"/>
      </w:r>
      <w:r>
        <w:rPr>
          <w:rFonts w:hint="eastAsia" w:ascii="黑体" w:hAnsi="黑体" w:eastAsia="黑体" w:cs="黑体"/>
          <w:b/>
          <w:color w:val="auto"/>
          <w:spacing w:val="6"/>
          <w:kern w:val="44"/>
          <w:sz w:val="32"/>
          <w:szCs w:val="60"/>
          <w:highlight w:val="none"/>
        </w:rPr>
        <w:t>第一章  发展基础和环境</w:t>
      </w:r>
      <w:bookmarkEnd w:id="0"/>
    </w:p>
    <w:p w14:paraId="72E43AFE">
      <w:pPr>
        <w:numPr>
          <w:ilvl w:val="0"/>
          <w:numId w:val="1"/>
        </w:numPr>
        <w:spacing w:before="312" w:beforeLines="100" w:after="312" w:afterLines="100" w:line="360" w:lineRule="auto"/>
        <w:ind w:left="0" w:leftChars="0" w:firstLine="0" w:firstLineChars="0"/>
        <w:jc w:val="center"/>
        <w:outlineLvl w:val="1"/>
        <w:rPr>
          <w:rFonts w:hint="eastAsia" w:ascii="黑体" w:hAnsi="黑体" w:eastAsia="黑体" w:cs="黑体"/>
          <w:b/>
          <w:color w:val="auto"/>
          <w:sz w:val="32"/>
          <w:szCs w:val="48"/>
          <w:highlight w:val="none"/>
        </w:rPr>
      </w:pPr>
      <w:bookmarkStart w:id="1" w:name="_Toc109920190"/>
      <w:r>
        <w:rPr>
          <w:rFonts w:hint="eastAsia" w:ascii="黑体" w:hAnsi="黑体" w:eastAsia="黑体" w:cs="黑体"/>
          <w:b/>
          <w:color w:val="auto"/>
          <w:sz w:val="32"/>
          <w:szCs w:val="48"/>
          <w:highlight w:val="none"/>
        </w:rPr>
        <w:t xml:space="preserve"> </w:t>
      </w:r>
      <w:bookmarkStart w:id="2" w:name="_Toc12847"/>
      <w:r>
        <w:rPr>
          <w:rFonts w:hint="eastAsia" w:ascii="黑体" w:hAnsi="黑体" w:eastAsia="黑体" w:cs="黑体"/>
          <w:b/>
          <w:color w:val="auto"/>
          <w:sz w:val="32"/>
          <w:szCs w:val="48"/>
          <w:highlight w:val="none"/>
        </w:rPr>
        <w:t>发展基础</w:t>
      </w:r>
      <w:bookmarkEnd w:id="1"/>
      <w:bookmarkEnd w:id="2"/>
    </w:p>
    <w:p w14:paraId="027A591A">
      <w:pPr>
        <w:pStyle w:val="7"/>
        <w:spacing w:line="360" w:lineRule="auto"/>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“十四五”期间，</w:t>
      </w:r>
      <w:r>
        <w:rPr>
          <w:rFonts w:hint="eastAsia" w:ascii="Times New Roman" w:hAnsi="Times New Roman" w:eastAsia="仿宋_GB2312" w:cs="Times New Roman"/>
          <w:color w:val="auto"/>
          <w:sz w:val="32"/>
          <w:szCs w:val="32"/>
          <w:highlight w:val="none"/>
          <w:lang w:val="en-US" w:eastAsia="zh-CN"/>
        </w:rPr>
        <w:t>第五师双河市</w:t>
      </w:r>
      <w:r>
        <w:rPr>
          <w:rFonts w:hint="default" w:ascii="Times New Roman" w:hAnsi="Times New Roman" w:eastAsia="仿宋_GB2312" w:cs="Times New Roman"/>
          <w:color w:val="auto"/>
          <w:sz w:val="32"/>
          <w:szCs w:val="32"/>
          <w:highlight w:val="none"/>
          <w:lang w:val="en-US" w:eastAsia="zh-CN"/>
        </w:rPr>
        <w:t>卫生</w:t>
      </w:r>
      <w:r>
        <w:rPr>
          <w:rFonts w:hint="eastAsia" w:ascii="Times New Roman" w:hAnsi="Times New Roman" w:eastAsia="仿宋_GB2312" w:cs="Times New Roman"/>
          <w:color w:val="auto"/>
          <w:sz w:val="32"/>
          <w:szCs w:val="32"/>
          <w:highlight w:val="none"/>
          <w:lang w:val="en-US" w:eastAsia="zh-CN"/>
        </w:rPr>
        <w:t>健康</w:t>
      </w:r>
      <w:r>
        <w:rPr>
          <w:rFonts w:hint="default" w:ascii="Times New Roman" w:hAnsi="Times New Roman" w:eastAsia="仿宋_GB2312" w:cs="Times New Roman"/>
          <w:color w:val="auto"/>
          <w:sz w:val="32"/>
          <w:szCs w:val="32"/>
          <w:highlight w:val="none"/>
          <w:lang w:val="en-US" w:eastAsia="zh-CN"/>
        </w:rPr>
        <w:t>系统</w:t>
      </w:r>
      <w:r>
        <w:rPr>
          <w:rFonts w:hint="eastAsia" w:ascii="Times New Roman" w:hAnsi="Times New Roman" w:eastAsia="仿宋_GB2312" w:cs="Times New Roman"/>
          <w:color w:val="auto"/>
          <w:sz w:val="32"/>
          <w:szCs w:val="32"/>
          <w:highlight w:val="none"/>
          <w:lang w:val="en-US" w:eastAsia="zh-CN"/>
        </w:rPr>
        <w:t>坚决</w:t>
      </w:r>
      <w:r>
        <w:rPr>
          <w:rFonts w:hint="default" w:ascii="Times New Roman" w:hAnsi="Times New Roman" w:eastAsia="仿宋_GB2312" w:cs="Times New Roman"/>
          <w:color w:val="auto"/>
          <w:sz w:val="32"/>
          <w:szCs w:val="32"/>
          <w:highlight w:val="none"/>
          <w:lang w:val="en-US" w:eastAsia="zh-CN"/>
        </w:rPr>
        <w:t>贯彻落实党中央、兵团党委和师市党委决策部署，坚持把人民健康放在优先发展的战略位置，持续深化医药卫生体制改革，卫生健康事业</w:t>
      </w:r>
      <w:r>
        <w:rPr>
          <w:rFonts w:hint="eastAsia" w:ascii="Times New Roman" w:hAnsi="Times New Roman" w:eastAsia="仿宋_GB2312" w:cs="Times New Roman"/>
          <w:color w:val="auto"/>
          <w:sz w:val="32"/>
          <w:szCs w:val="32"/>
          <w:highlight w:val="none"/>
          <w:lang w:val="en-US" w:eastAsia="zh-CN"/>
        </w:rPr>
        <w:t>发展</w:t>
      </w:r>
      <w:r>
        <w:rPr>
          <w:rFonts w:hint="default" w:ascii="Times New Roman" w:hAnsi="Times New Roman" w:eastAsia="仿宋_GB2312" w:cs="Times New Roman"/>
          <w:color w:val="auto"/>
          <w:sz w:val="32"/>
          <w:szCs w:val="32"/>
          <w:highlight w:val="none"/>
          <w:lang w:val="en-US" w:eastAsia="zh-CN"/>
        </w:rPr>
        <w:t>取得显著</w:t>
      </w:r>
      <w:r>
        <w:rPr>
          <w:rFonts w:hint="eastAsia" w:ascii="Times New Roman" w:hAnsi="Times New Roman" w:eastAsia="仿宋_GB2312" w:cs="Times New Roman"/>
          <w:color w:val="auto"/>
          <w:sz w:val="32"/>
          <w:szCs w:val="32"/>
          <w:highlight w:val="none"/>
          <w:lang w:val="en-US" w:eastAsia="zh-CN"/>
        </w:rPr>
        <w:t>成绩</w:t>
      </w:r>
      <w:r>
        <w:rPr>
          <w:rFonts w:hint="default" w:ascii="Times New Roman" w:hAnsi="Times New Roman" w:eastAsia="仿宋_GB2312" w:cs="Times New Roman"/>
          <w:color w:val="auto"/>
          <w:sz w:val="32"/>
          <w:szCs w:val="32"/>
          <w:highlight w:val="none"/>
          <w:lang w:val="en-US" w:eastAsia="zh-CN"/>
        </w:rPr>
        <w:t>，为“十五五”高质量发展奠定了坚实基础。</w:t>
      </w:r>
    </w:p>
    <w:p w14:paraId="7A951CDD">
      <w:pPr>
        <w:pStyle w:val="7"/>
        <w:spacing w:line="360" w:lineRule="auto"/>
        <w:ind w:firstLine="643"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居民健康水平稳步提高。</w:t>
      </w:r>
      <w:r>
        <w:rPr>
          <w:rFonts w:hint="eastAsia" w:ascii="Times New Roman" w:hAnsi="Times New Roman" w:eastAsia="仿宋_GB2312" w:cs="Times New Roman"/>
          <w:color w:val="auto"/>
          <w:sz w:val="32"/>
          <w:szCs w:val="32"/>
          <w:highlight w:val="none"/>
          <w:lang w:val="en-US" w:eastAsia="zh-CN"/>
        </w:rPr>
        <w:t>人群核心健康指标持续优化，****年人均预期寿命提升至*岁，较****年提高*岁；孕产妇死亡率降至</w:t>
      </w:r>
      <w:r>
        <w:rPr>
          <w:rFonts w:hint="eastAsia" w:ascii="Times New Roman" w:hAnsi="Times New Roman" w:eastAsia="仿宋_GB2312" w:cs="Times New Roman"/>
          <w:color w:val="auto"/>
          <w:sz w:val="32"/>
          <w:szCs w:val="32"/>
          <w:highlight w:val="none"/>
          <w:shd w:val="clear"/>
          <w:lang w:val="en-US" w:eastAsia="zh-CN"/>
        </w:rPr>
        <w:t>*</w:t>
      </w:r>
      <w:r>
        <w:rPr>
          <w:rFonts w:hint="eastAsia" w:ascii="Times New Roman" w:hAnsi="Times New Roman" w:eastAsia="仿宋_GB2312" w:cs="Times New Roman"/>
          <w:color w:val="auto"/>
          <w:sz w:val="32"/>
          <w:szCs w:val="32"/>
          <w:highlight w:val="none"/>
          <w:lang w:val="en-US" w:eastAsia="zh-CN"/>
        </w:rPr>
        <w:t>，婴儿死亡率降至*，*岁以下儿童死亡率降至*，较****年下降*。居民健康素养水平提升至*。</w:t>
      </w:r>
    </w:p>
    <w:p w14:paraId="318D5BBB">
      <w:pPr>
        <w:pStyle w:val="7"/>
        <w:spacing w:line="360" w:lineRule="auto"/>
        <w:ind w:firstLine="643" w:firstLineChars="200"/>
        <w:rPr>
          <w:rFonts w:hint="eastAsia"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公共卫生服务体系持续完善。</w:t>
      </w:r>
      <w:r>
        <w:rPr>
          <w:rFonts w:hint="eastAsia" w:ascii="Times New Roman" w:hAnsi="Times New Roman" w:eastAsia="仿宋_GB2312" w:cs="Times New Roman"/>
          <w:color w:val="auto"/>
          <w:sz w:val="32"/>
          <w:szCs w:val="32"/>
          <w:highlight w:val="none"/>
          <w:lang w:val="en-US" w:eastAsia="zh-CN"/>
        </w:rPr>
        <w:t>“十四五”期间，师市稳步</w:t>
      </w:r>
      <w:r>
        <w:rPr>
          <w:rFonts w:hint="eastAsia" w:ascii="Times New Roman" w:hAnsi="Times New Roman" w:eastAsia="仿宋_GB2312" w:cs="Times New Roman"/>
          <w:b w:val="0"/>
          <w:bCs w:val="0"/>
          <w:color w:val="auto"/>
          <w:sz w:val="32"/>
          <w:szCs w:val="32"/>
          <w:highlight w:val="none"/>
          <w:lang w:val="en-US" w:eastAsia="zh-CN"/>
        </w:rPr>
        <w:t>推进疾控体系改革</w:t>
      </w:r>
      <w:r>
        <w:rPr>
          <w:rFonts w:hint="eastAsia" w:ascii="Times New Roman" w:hAnsi="Times New Roman" w:eastAsia="仿宋_GB2312" w:cs="Times New Roman"/>
          <w:color w:val="auto"/>
          <w:sz w:val="32"/>
          <w:szCs w:val="32"/>
          <w:highlight w:val="none"/>
          <w:lang w:val="en-US" w:eastAsia="zh-CN"/>
        </w:rPr>
        <w:t>，****年师市疾控局挂牌成立，赋予疾病预防控制事业新的活力；成立*个疾控分中心并实体化运行，与师市疾病预防控制中心一体化管理，形成疾控局、师市疾病预防控制中心、第五师医院公共卫生管理中心、团场医院公共卫生科、连队（社区）公共卫生委员会*级公卫体系。</w:t>
      </w:r>
      <w:r>
        <w:rPr>
          <w:rFonts w:hint="eastAsia" w:ascii="Times New Roman" w:hAnsi="Times New Roman" w:eastAsia="仿宋_GB2312" w:cs="Times New Roman"/>
          <w:b/>
          <w:bCs/>
          <w:color w:val="auto"/>
          <w:sz w:val="32"/>
          <w:szCs w:val="32"/>
          <w:highlight w:val="none"/>
          <w:lang w:val="en-US" w:eastAsia="zh-CN"/>
        </w:rPr>
        <w:t>传染病监测预警能力显著提升</w:t>
      </w:r>
      <w:r>
        <w:rPr>
          <w:rFonts w:hint="eastAsia" w:ascii="Times New Roman" w:hAnsi="Times New Roman" w:eastAsia="仿宋_GB2312" w:cs="Times New Roman"/>
          <w:color w:val="auto"/>
          <w:sz w:val="32"/>
          <w:szCs w:val="32"/>
          <w:highlight w:val="none"/>
          <w:lang w:val="en-US" w:eastAsia="zh-CN"/>
        </w:rPr>
        <w:t>，****年全面启用国家疾病预防控制数据集成服务平台前置管理系统，实现了传染病监测数据的自动抓取、标准汇集与实时上报，显著提升了监测报告的及时性、准确性和完整性。</w:t>
      </w:r>
      <w:r>
        <w:rPr>
          <w:rFonts w:hint="eastAsia" w:ascii="Times New Roman" w:hAnsi="Times New Roman" w:eastAsia="仿宋_GB2312" w:cs="Times New Roman"/>
          <w:b/>
          <w:bCs/>
          <w:color w:val="auto"/>
          <w:sz w:val="32"/>
          <w:szCs w:val="32"/>
          <w:highlight w:val="none"/>
          <w:lang w:val="en-US" w:eastAsia="zh-CN"/>
        </w:rPr>
        <w:t>慢性病规范管理水平持续强化</w:t>
      </w:r>
      <w:r>
        <w:rPr>
          <w:rFonts w:hint="eastAsia" w:ascii="Times New Roman" w:hAnsi="Times New Roman" w:eastAsia="仿宋_GB2312" w:cs="Times New Roman"/>
          <w:color w:val="auto"/>
          <w:sz w:val="32"/>
          <w:szCs w:val="32"/>
          <w:highlight w:val="none"/>
          <w:lang w:val="en-US" w:eastAsia="zh-CN"/>
        </w:rPr>
        <w:t>，****年高血压、糖尿病规范管理率分别达*、*。落实“两癌”筛查，筛查率达*。</w:t>
      </w:r>
      <w:r>
        <w:rPr>
          <w:rFonts w:hint="eastAsia" w:ascii="Times New Roman" w:hAnsi="Times New Roman" w:eastAsia="仿宋_GB2312" w:cs="Times New Roman"/>
          <w:b/>
          <w:bCs/>
          <w:color w:val="auto"/>
          <w:sz w:val="32"/>
          <w:szCs w:val="32"/>
          <w:highlight w:val="none"/>
          <w:lang w:val="en-US" w:eastAsia="zh-CN"/>
        </w:rPr>
        <w:t>基本公共卫生服务项目扎实推进</w:t>
      </w:r>
      <w:r>
        <w:rPr>
          <w:rFonts w:hint="eastAsia" w:ascii="Times New Roman" w:hAnsi="Times New Roman" w:eastAsia="仿宋_GB2312" w:cs="Times New Roman"/>
          <w:color w:val="auto"/>
          <w:sz w:val="32"/>
          <w:szCs w:val="32"/>
          <w:highlight w:val="none"/>
          <w:lang w:val="en-US" w:eastAsia="zh-CN"/>
        </w:rPr>
        <w:t>，师市居民电子健康档案建档率达*%，建档人数**.**万人，重点人群签约率达*</w:t>
      </w:r>
      <w:r>
        <w:rPr>
          <w:rFonts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，基层医疗卫生机构公共卫生职能进一步强化。</w:t>
      </w:r>
      <w:r>
        <w:rPr>
          <w:rFonts w:hint="eastAsia" w:ascii="Times New Roman" w:hAnsi="Times New Roman" w:eastAsia="仿宋_GB2312" w:cs="Times New Roman"/>
          <w:b/>
          <w:bCs/>
          <w:color w:val="auto"/>
          <w:sz w:val="32"/>
          <w:szCs w:val="32"/>
          <w:highlight w:val="none"/>
          <w:lang w:val="en-US" w:eastAsia="zh-CN"/>
        </w:rPr>
        <w:t>重点人群健康保障全面加强</w:t>
      </w:r>
      <w:r>
        <w:rPr>
          <w:rFonts w:hint="eastAsia" w:ascii="Times New Roman" w:hAnsi="Times New Roman" w:eastAsia="仿宋_GB2312" w:cs="Times New Roman"/>
          <w:color w:val="auto"/>
          <w:sz w:val="32"/>
          <w:szCs w:val="32"/>
          <w:highlight w:val="none"/>
          <w:lang w:val="en-US" w:eastAsia="zh-CN"/>
        </w:rPr>
        <w:t>，**岁及以上老年人健康管理率达*%；孕产妇系统管理率达*%，*-*岁儿童健康管理率达*%，儿童免疫规划疫苗全程接种率保持在*%以上；新生儿疾病筛查率提升至*%。严重精神障碍规范管理率达*%。各类人群健康服务需求得到有效满足。</w:t>
      </w:r>
    </w:p>
    <w:p w14:paraId="74E8150A">
      <w:pPr>
        <w:pStyle w:val="7"/>
        <w:spacing w:line="360" w:lineRule="auto"/>
        <w:ind w:firstLine="643"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医疗服务能力</w:t>
      </w:r>
      <w:r>
        <w:rPr>
          <w:rFonts w:hint="default" w:ascii="Times New Roman" w:hAnsi="Times New Roman" w:eastAsia="仿宋_GB2312" w:cs="Times New Roman"/>
          <w:b/>
          <w:bCs/>
          <w:color w:val="auto"/>
          <w:sz w:val="32"/>
          <w:szCs w:val="32"/>
          <w:highlight w:val="none"/>
          <w:lang w:val="en-US" w:eastAsia="zh-CN"/>
        </w:rPr>
        <w:t>稳步</w:t>
      </w:r>
      <w:r>
        <w:rPr>
          <w:rFonts w:hint="eastAsia" w:ascii="Times New Roman" w:hAnsi="Times New Roman" w:eastAsia="仿宋_GB2312" w:cs="Times New Roman"/>
          <w:b/>
          <w:bCs/>
          <w:color w:val="auto"/>
          <w:sz w:val="32"/>
          <w:szCs w:val="32"/>
          <w:highlight w:val="none"/>
          <w:lang w:val="en-US" w:eastAsia="zh-CN"/>
        </w:rPr>
        <w:t>提升。</w:t>
      </w:r>
      <w:r>
        <w:rPr>
          <w:rFonts w:hint="eastAsia" w:ascii="Times New Roman" w:hAnsi="Times New Roman" w:eastAsia="仿宋_GB2312" w:cs="Times New Roman"/>
          <w:b w:val="0"/>
          <w:bCs w:val="0"/>
          <w:color w:val="auto"/>
          <w:sz w:val="32"/>
          <w:szCs w:val="32"/>
          <w:highlight w:val="none"/>
          <w:lang w:val="en-US" w:eastAsia="zh-CN"/>
        </w:rPr>
        <w:t>不断</w:t>
      </w:r>
      <w:r>
        <w:rPr>
          <w:rFonts w:ascii="Times New Roman" w:hAnsi="Times New Roman" w:eastAsia="仿宋_GB2312" w:cs="Times New Roman"/>
          <w:color w:val="auto"/>
          <w:sz w:val="32"/>
          <w:szCs w:val="32"/>
          <w:highlight w:val="none"/>
        </w:rPr>
        <w:t>推动公立医疗机构高质量发展，</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年底成立由</w:t>
      </w:r>
      <w:r>
        <w:rPr>
          <w:rFonts w:hint="eastAsia" w:ascii="Times New Roman" w:hAnsi="Times New Roman" w:eastAsia="仿宋_GB2312" w:cs="Times New Roman"/>
          <w:color w:val="auto"/>
          <w:sz w:val="32"/>
          <w:szCs w:val="32"/>
          <w:highlight w:val="none"/>
          <w:lang w:eastAsia="zh-CN"/>
        </w:rPr>
        <w:t>五</w:t>
      </w:r>
      <w:r>
        <w:rPr>
          <w:rFonts w:hint="eastAsia" w:ascii="Times New Roman" w:hAnsi="Times New Roman" w:eastAsia="仿宋_GB2312" w:cs="Times New Roman"/>
          <w:color w:val="auto"/>
          <w:sz w:val="32"/>
          <w:szCs w:val="32"/>
          <w:highlight w:val="none"/>
        </w:rPr>
        <w:t>师医院牵头的</w:t>
      </w:r>
      <w:r>
        <w:rPr>
          <w:rFonts w:hint="eastAsia" w:ascii="Times New Roman" w:hAnsi="Times New Roman" w:eastAsia="仿宋_GB2312" w:cs="Times New Roman"/>
          <w:color w:val="auto"/>
          <w:sz w:val="32"/>
          <w:szCs w:val="32"/>
          <w:highlight w:val="none"/>
          <w:lang w:eastAsia="zh-CN"/>
        </w:rPr>
        <w:t>师市</w:t>
      </w:r>
      <w:r>
        <w:rPr>
          <w:rFonts w:hint="eastAsia" w:ascii="Times New Roman" w:hAnsi="Times New Roman" w:eastAsia="仿宋_GB2312" w:cs="Times New Roman"/>
          <w:color w:val="auto"/>
          <w:sz w:val="32"/>
          <w:szCs w:val="32"/>
          <w:highlight w:val="none"/>
        </w:rPr>
        <w:t>医共体，</w:t>
      </w:r>
      <w:r>
        <w:rPr>
          <w:rFonts w:ascii="Times New Roman" w:hAnsi="Times New Roman" w:eastAsia="仿宋_GB2312" w:cs="Times New Roman"/>
          <w:color w:val="auto"/>
          <w:sz w:val="32"/>
          <w:szCs w:val="32"/>
          <w:highlight w:val="none"/>
        </w:rPr>
        <w:t>构建师、团</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连三级医疗服务体系</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b/>
          <w:bCs/>
          <w:color w:val="auto"/>
          <w:sz w:val="32"/>
          <w:szCs w:val="32"/>
          <w:highlight w:val="none"/>
          <w:lang w:val="en-US" w:eastAsia="zh-CN"/>
        </w:rPr>
        <w:t>各级医疗机构服务能力持续增强，</w:t>
      </w:r>
      <w:r>
        <w:rPr>
          <w:rFonts w:hint="eastAsia" w:ascii="Times New Roman" w:hAnsi="Times New Roman" w:eastAsia="仿宋_GB2312" w:cs="Times New Roman"/>
          <w:color w:val="auto"/>
          <w:sz w:val="32"/>
          <w:szCs w:val="32"/>
          <w:highlight w:val="none"/>
          <w:lang w:val="en-US" w:eastAsia="zh-CN"/>
        </w:rPr>
        <w:t>第五师医院顺利</w:t>
      </w:r>
      <w:r>
        <w:rPr>
          <w:rFonts w:ascii="Times New Roman" w:hAnsi="Times New Roman" w:eastAsia="仿宋_GB2312" w:cs="Times New Roman"/>
          <w:color w:val="auto"/>
          <w:sz w:val="32"/>
          <w:szCs w:val="32"/>
          <w:highlight w:val="none"/>
        </w:rPr>
        <w:t>通过三甲医院复审，建成博州五师地区唯一</w:t>
      </w:r>
      <w:r>
        <w:rPr>
          <w:rFonts w:hint="eastAsia" w:ascii="Times New Roman" w:hAnsi="Times New Roman" w:eastAsia="仿宋_GB2312" w:cs="Times New Roman"/>
          <w:color w:val="auto"/>
          <w:sz w:val="32"/>
          <w:szCs w:val="32"/>
          <w:highlight w:val="none"/>
        </w:rPr>
        <w:t>的</w:t>
      </w:r>
      <w:r>
        <w:rPr>
          <w:rFonts w:ascii="Times New Roman" w:hAnsi="Times New Roman" w:eastAsia="仿宋_GB2312" w:cs="Times New Roman"/>
          <w:color w:val="auto"/>
          <w:sz w:val="32"/>
          <w:szCs w:val="32"/>
          <w:highlight w:val="none"/>
        </w:rPr>
        <w:t>肿瘤放疗中心。第五师中医医院成功创建二</w:t>
      </w:r>
      <w:r>
        <w:rPr>
          <w:rFonts w:hint="eastAsia" w:ascii="Times New Roman" w:hAnsi="Times New Roman" w:eastAsia="仿宋_GB2312" w:cs="Times New Roman"/>
          <w:color w:val="auto"/>
          <w:sz w:val="32"/>
          <w:szCs w:val="32"/>
          <w:highlight w:val="none"/>
          <w:lang w:eastAsia="zh-CN"/>
        </w:rPr>
        <w:t>级</w:t>
      </w:r>
      <w:r>
        <w:rPr>
          <w:rFonts w:ascii="Times New Roman" w:hAnsi="Times New Roman" w:eastAsia="仿宋_GB2312" w:cs="Times New Roman"/>
          <w:color w:val="auto"/>
          <w:sz w:val="32"/>
          <w:szCs w:val="32"/>
          <w:highlight w:val="none"/>
        </w:rPr>
        <w:t>甲</w:t>
      </w:r>
      <w:r>
        <w:rPr>
          <w:rFonts w:hint="eastAsia" w:ascii="Times New Roman" w:hAnsi="Times New Roman" w:eastAsia="仿宋_GB2312" w:cs="Times New Roman"/>
          <w:color w:val="auto"/>
          <w:sz w:val="32"/>
          <w:szCs w:val="32"/>
          <w:highlight w:val="none"/>
          <w:lang w:eastAsia="zh-CN"/>
        </w:rPr>
        <w:t>等</w:t>
      </w:r>
      <w:r>
        <w:rPr>
          <w:rFonts w:ascii="Times New Roman" w:hAnsi="Times New Roman" w:eastAsia="仿宋_GB2312" w:cs="Times New Roman"/>
          <w:color w:val="auto"/>
          <w:sz w:val="32"/>
          <w:szCs w:val="32"/>
          <w:highlight w:val="none"/>
        </w:rPr>
        <w:t>医院。</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团、</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团和</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团医院在“优质服务基层行”活动</w:t>
      </w:r>
      <w:r>
        <w:rPr>
          <w:rFonts w:hint="eastAsia" w:ascii="Times New Roman" w:hAnsi="Times New Roman" w:eastAsia="仿宋_GB2312" w:cs="Times New Roman"/>
          <w:color w:val="auto"/>
          <w:sz w:val="32"/>
          <w:szCs w:val="32"/>
          <w:highlight w:val="none"/>
          <w:lang w:eastAsia="zh-CN"/>
        </w:rPr>
        <w:t>中</w:t>
      </w:r>
      <w:r>
        <w:rPr>
          <w:rFonts w:ascii="Times New Roman" w:hAnsi="Times New Roman" w:eastAsia="仿宋_GB2312" w:cs="Times New Roman"/>
          <w:color w:val="auto"/>
          <w:sz w:val="32"/>
          <w:szCs w:val="32"/>
          <w:highlight w:val="none"/>
        </w:rPr>
        <w:t>达到</w:t>
      </w:r>
      <w:r>
        <w:rPr>
          <w:rFonts w:hint="eastAsia" w:ascii="Times New Roman" w:hAnsi="Times New Roman" w:eastAsia="仿宋_GB2312" w:cs="Times New Roman"/>
          <w:color w:val="auto"/>
          <w:sz w:val="32"/>
          <w:szCs w:val="32"/>
          <w:highlight w:val="none"/>
        </w:rPr>
        <w:t>国家</w:t>
      </w:r>
      <w:r>
        <w:rPr>
          <w:rFonts w:ascii="Times New Roman" w:hAnsi="Times New Roman" w:eastAsia="仿宋_GB2312" w:cs="Times New Roman"/>
          <w:color w:val="auto"/>
          <w:sz w:val="32"/>
          <w:szCs w:val="32"/>
          <w:highlight w:val="none"/>
        </w:rPr>
        <w:t>推荐标准，其余</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家团场医院均达到基本标准。</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个连队卫生室</w:t>
      </w:r>
      <w:r>
        <w:rPr>
          <w:rFonts w:hint="eastAsia" w:ascii="Times New Roman" w:hAnsi="Times New Roman" w:eastAsia="仿宋_GB2312" w:cs="Times New Roman"/>
          <w:color w:val="auto"/>
          <w:sz w:val="32"/>
          <w:szCs w:val="32"/>
          <w:highlight w:val="none"/>
        </w:rPr>
        <w:t>全部</w:t>
      </w:r>
      <w:r>
        <w:rPr>
          <w:rFonts w:ascii="Times New Roman" w:hAnsi="Times New Roman" w:eastAsia="仿宋_GB2312" w:cs="Times New Roman"/>
          <w:color w:val="auto"/>
          <w:sz w:val="32"/>
          <w:szCs w:val="32"/>
          <w:highlight w:val="none"/>
        </w:rPr>
        <w:t>完成标准化建设并常态化运行。</w:t>
      </w:r>
      <w:r>
        <w:rPr>
          <w:rFonts w:hint="eastAsia" w:ascii="Times New Roman" w:hAnsi="Times New Roman" w:eastAsia="仿宋_GB2312" w:cs="Times New Roman"/>
          <w:color w:val="auto"/>
          <w:sz w:val="32"/>
          <w:szCs w:val="32"/>
          <w:highlight w:val="none"/>
        </w:rPr>
        <w:t>医共体建成胸痛</w:t>
      </w:r>
      <w:r>
        <w:rPr>
          <w:rFonts w:hint="eastAsia" w:ascii="Times New Roman" w:hAnsi="Times New Roman" w:eastAsia="仿宋_GB2312" w:cs="Times New Roman"/>
          <w:color w:val="auto"/>
          <w:sz w:val="32"/>
          <w:szCs w:val="32"/>
          <w:highlight w:val="none"/>
          <w:lang w:eastAsia="zh-CN"/>
        </w:rPr>
        <w:t>、卒中、</w:t>
      </w:r>
      <w:r>
        <w:rPr>
          <w:rFonts w:hint="eastAsia" w:ascii="Times New Roman" w:hAnsi="Times New Roman" w:eastAsia="仿宋_GB2312" w:cs="Times New Roman"/>
          <w:color w:val="auto"/>
          <w:sz w:val="32"/>
          <w:szCs w:val="32"/>
          <w:highlight w:val="none"/>
        </w:rPr>
        <w:t>创伤等</w:t>
      </w:r>
      <w:r>
        <w:rPr>
          <w:rFonts w:hint="eastAsia" w:ascii="Times New Roman" w:hAnsi="Times New Roman" w:eastAsia="仿宋_GB2312" w:cs="Times New Roman"/>
          <w:color w:val="auto"/>
          <w:sz w:val="32"/>
          <w:szCs w:val="32"/>
          <w:highlight w:val="none"/>
          <w:lang w:eastAsia="zh-CN"/>
        </w:rPr>
        <w:t>急诊急救</w:t>
      </w:r>
      <w:r>
        <w:rPr>
          <w:rFonts w:hint="eastAsia" w:ascii="Times New Roman" w:hAnsi="Times New Roman" w:eastAsia="仿宋_GB2312" w:cs="Times New Roman"/>
          <w:color w:val="auto"/>
          <w:sz w:val="32"/>
          <w:szCs w:val="32"/>
          <w:highlight w:val="none"/>
        </w:rPr>
        <w:t>“五大中心”</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建成</w:t>
      </w:r>
      <w:r>
        <w:rPr>
          <w:rFonts w:hint="eastAsia" w:ascii="Times New Roman" w:hAnsi="Times New Roman" w:eastAsia="仿宋_GB2312" w:cs="Times New Roman"/>
          <w:color w:val="auto"/>
          <w:kern w:val="2"/>
          <w:sz w:val="32"/>
          <w:szCs w:val="32"/>
          <w:highlight w:val="none"/>
          <w:lang w:val="en-US" w:eastAsia="zh-CN" w:bidi="ar-SA"/>
        </w:rPr>
        <w:t>院前急救站*个，</w:t>
      </w:r>
      <w:r>
        <w:rPr>
          <w:rFonts w:ascii="Times New Roman" w:hAnsi="Times New Roman" w:eastAsia="仿宋_GB2312" w:cs="Times New Roman"/>
          <w:color w:val="auto"/>
          <w:sz w:val="32"/>
          <w:szCs w:val="32"/>
          <w:highlight w:val="none"/>
        </w:rPr>
        <w:t>兵团重点专科</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个，师市级重点专科</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个</w:t>
      </w:r>
      <w:r>
        <w:rPr>
          <w:rFonts w:hint="eastAsia" w:ascii="Times New Roman" w:hAnsi="Times New Roman" w:eastAsia="仿宋_GB2312" w:cs="Times New Roman"/>
          <w:color w:val="auto"/>
          <w:sz w:val="32"/>
          <w:szCs w:val="32"/>
          <w:highlight w:val="none"/>
          <w:lang w:eastAsia="zh-CN"/>
        </w:rPr>
        <w:t>，团场特色专病科室</w:t>
      </w:r>
      <w:r>
        <w:rPr>
          <w:rFonts w:hint="eastAsia" w:ascii="Times New Roman" w:hAnsi="Times New Roman" w:eastAsia="仿宋_GB2312" w:cs="Times New Roman"/>
          <w:color w:val="auto"/>
          <w:sz w:val="32"/>
          <w:szCs w:val="32"/>
          <w:highlight w:val="none"/>
          <w:lang w:val="en-US" w:eastAsia="zh-CN"/>
        </w:rPr>
        <w:t>*个</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师域内住院率稳定在**%以上。</w:t>
      </w:r>
      <w:r>
        <w:rPr>
          <w:rFonts w:hint="eastAsia" w:ascii="Times New Roman" w:hAnsi="Times New Roman" w:eastAsia="仿宋_GB2312" w:cs="Times New Roman"/>
          <w:b/>
          <w:bCs/>
          <w:color w:val="auto"/>
          <w:sz w:val="32"/>
          <w:szCs w:val="32"/>
          <w:highlight w:val="none"/>
          <w:lang w:val="en-US" w:eastAsia="zh-CN"/>
        </w:rPr>
        <w:t>医疗教学科研实现新突破</w:t>
      </w:r>
      <w:r>
        <w:rPr>
          <w:rFonts w:hint="eastAsia" w:ascii="Times New Roman" w:hAnsi="Times New Roman" w:eastAsia="仿宋_GB2312" w:cs="Times New Roman"/>
          <w:color w:val="auto"/>
          <w:sz w:val="32"/>
          <w:szCs w:val="32"/>
          <w:highlight w:val="none"/>
          <w:lang w:val="en-US" w:eastAsia="zh-CN"/>
        </w:rPr>
        <w:t>，师市医共体开展新技术***项，立项兵团级科技项目*项，师市级科技项目**项，并发表多篇科研论文。获批兵团助理全科医生规范化培训基地、护理规范化培训基地资质。</w:t>
      </w:r>
    </w:p>
    <w:p w14:paraId="036696E1">
      <w:pPr>
        <w:pStyle w:val="7"/>
        <w:spacing w:line="360" w:lineRule="auto"/>
        <w:ind w:firstLine="643" w:firstLineChars="200"/>
        <w:rPr>
          <w:rFonts w:hint="eastAsia"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医疗卫生资源配置持续优化。</w:t>
      </w:r>
      <w:r>
        <w:rPr>
          <w:rFonts w:hint="eastAsia" w:ascii="Times New Roman" w:hAnsi="Times New Roman" w:eastAsia="仿宋_GB2312" w:cs="Times New Roman"/>
          <w:b w:val="0"/>
          <w:bCs w:val="0"/>
          <w:color w:val="auto"/>
          <w:sz w:val="32"/>
          <w:szCs w:val="32"/>
          <w:highlight w:val="none"/>
          <w:lang w:val="en-US" w:eastAsia="zh-CN"/>
        </w:rPr>
        <w:t>师市医疗资源总量稳步增长，****年</w:t>
      </w:r>
      <w:r>
        <w:rPr>
          <w:rFonts w:hint="eastAsia" w:ascii="Times New Roman" w:hAnsi="Times New Roman" w:eastAsia="仿宋_GB2312" w:cs="Times New Roman"/>
          <w:color w:val="auto"/>
          <w:sz w:val="32"/>
          <w:szCs w:val="32"/>
          <w:highlight w:val="none"/>
          <w:lang w:val="en-US" w:eastAsia="zh-CN"/>
        </w:rPr>
        <w:t>师市医疗卫生机构床位数达****张，每千常住人口床位数*.**张；各类卫生技术人员****人，其中执业（助理）医师***人，较****年增长*.*%；注册护士***人，较****年增长*.*%，达到每千常住人口执业（助理）医师*.*人、注册护士*.**人。医疗设备配置不断升级，新增医用直线加速器、*.*T磁共振、***排高端CT等先进设备，诊疗保障能力显著增强。</w:t>
      </w:r>
    </w:p>
    <w:p w14:paraId="2F67BA03">
      <w:pPr>
        <w:pStyle w:val="7"/>
        <w:spacing w:line="360" w:lineRule="auto"/>
        <w:ind w:firstLine="643"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深化医改取得阶段性成效。</w:t>
      </w:r>
      <w:r>
        <w:rPr>
          <w:rFonts w:hint="eastAsia" w:ascii="Times New Roman" w:hAnsi="Times New Roman" w:eastAsia="仿宋_GB2312" w:cs="Times New Roman"/>
          <w:b w:val="0"/>
          <w:bCs w:val="0"/>
          <w:color w:val="auto"/>
          <w:sz w:val="32"/>
          <w:szCs w:val="32"/>
          <w:highlight w:val="none"/>
          <w:lang w:val="en-US" w:eastAsia="zh-CN"/>
        </w:rPr>
        <w:t>公立医院改革持续深化，</w:t>
      </w:r>
      <w:r>
        <w:rPr>
          <w:rFonts w:hint="eastAsia" w:ascii="Times New Roman" w:hAnsi="Times New Roman" w:eastAsia="仿宋_GB2312" w:cs="Times New Roman"/>
          <w:color w:val="auto"/>
          <w:sz w:val="32"/>
          <w:szCs w:val="32"/>
          <w:highlight w:val="none"/>
          <w:lang w:val="en-US" w:eastAsia="zh-CN"/>
        </w:rPr>
        <w:t>现代医院管理制度全面建立，</w:t>
      </w:r>
      <w:r>
        <w:rPr>
          <w:rFonts w:hint="eastAsia" w:ascii="Times New Roman" w:hAnsi="Times New Roman" w:eastAsia="仿宋_GB2312" w:cs="Times New Roman"/>
          <w:color w:val="auto"/>
          <w:sz w:val="32"/>
          <w:szCs w:val="32"/>
          <w:highlight w:val="none"/>
        </w:rPr>
        <w:t>第五师医院</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年全国</w:t>
      </w:r>
      <w:r>
        <w:rPr>
          <w:rFonts w:hint="eastAsia" w:ascii="Times New Roman" w:hAnsi="Times New Roman" w:eastAsia="仿宋_GB2312" w:cs="Times New Roman"/>
          <w:color w:val="auto"/>
          <w:sz w:val="32"/>
          <w:szCs w:val="32"/>
          <w:highlight w:val="none"/>
          <w:lang w:eastAsia="zh-CN"/>
        </w:rPr>
        <w:t>三级</w:t>
      </w:r>
      <w:r>
        <w:rPr>
          <w:rFonts w:ascii="Times New Roman" w:hAnsi="Times New Roman" w:eastAsia="仿宋_GB2312" w:cs="Times New Roman"/>
          <w:color w:val="auto"/>
          <w:sz w:val="32"/>
          <w:szCs w:val="32"/>
          <w:highlight w:val="none"/>
        </w:rPr>
        <w:t>公</w:t>
      </w:r>
      <w:r>
        <w:rPr>
          <w:rFonts w:hint="eastAsia" w:ascii="Times New Roman" w:hAnsi="Times New Roman" w:eastAsia="仿宋_GB2312" w:cs="Times New Roman"/>
          <w:color w:val="auto"/>
          <w:sz w:val="32"/>
          <w:szCs w:val="32"/>
          <w:highlight w:val="none"/>
        </w:rPr>
        <w:t>立</w:t>
      </w:r>
      <w:r>
        <w:rPr>
          <w:rFonts w:ascii="Times New Roman" w:hAnsi="Times New Roman" w:eastAsia="仿宋_GB2312" w:cs="Times New Roman"/>
          <w:color w:val="auto"/>
          <w:sz w:val="32"/>
          <w:szCs w:val="32"/>
          <w:highlight w:val="none"/>
        </w:rPr>
        <w:t>医院</w:t>
      </w:r>
      <w:r>
        <w:rPr>
          <w:rFonts w:hint="eastAsia" w:ascii="Times New Roman" w:hAnsi="Times New Roman" w:eastAsia="仿宋_GB2312" w:cs="Times New Roman"/>
          <w:color w:val="auto"/>
          <w:sz w:val="32"/>
          <w:szCs w:val="32"/>
          <w:highlight w:val="none"/>
          <w:lang w:eastAsia="zh-CN"/>
        </w:rPr>
        <w:t>绩效</w:t>
      </w:r>
      <w:r>
        <w:rPr>
          <w:rFonts w:ascii="Times New Roman" w:hAnsi="Times New Roman" w:eastAsia="仿宋_GB2312" w:cs="Times New Roman"/>
          <w:color w:val="auto"/>
          <w:sz w:val="32"/>
          <w:szCs w:val="32"/>
          <w:highlight w:val="none"/>
        </w:rPr>
        <w:t>考核</w:t>
      </w:r>
      <w:r>
        <w:rPr>
          <w:rFonts w:hint="eastAsia" w:ascii="Times New Roman" w:hAnsi="Times New Roman" w:eastAsia="仿宋_GB2312" w:cs="Times New Roman"/>
          <w:color w:val="auto"/>
          <w:sz w:val="32"/>
          <w:szCs w:val="32"/>
          <w:highlight w:val="none"/>
          <w:lang w:eastAsia="zh-CN"/>
        </w:rPr>
        <w:t>为</w:t>
      </w:r>
      <w:r>
        <w:rPr>
          <w:rFonts w:ascii="Times New Roman" w:hAnsi="Times New Roman" w:eastAsia="仿宋_GB2312" w:cs="Times New Roman"/>
          <w:color w:val="auto"/>
          <w:sz w:val="32"/>
          <w:szCs w:val="32"/>
          <w:highlight w:val="none"/>
        </w:rPr>
        <w:t>B级，</w:t>
      </w:r>
      <w:r>
        <w:rPr>
          <w:rFonts w:hint="eastAsia" w:ascii="Times New Roman" w:hAnsi="Times New Roman" w:eastAsia="仿宋_GB2312" w:cs="Times New Roman"/>
          <w:color w:val="auto"/>
          <w:sz w:val="32"/>
          <w:szCs w:val="32"/>
          <w:highlight w:val="none"/>
        </w:rPr>
        <w:t>位列</w:t>
      </w:r>
      <w:r>
        <w:rPr>
          <w:rFonts w:hint="eastAsia" w:ascii="Times New Roman" w:hAnsi="Times New Roman" w:eastAsia="仿宋_GB2312" w:cs="Times New Roman"/>
          <w:color w:val="auto"/>
          <w:sz w:val="32"/>
          <w:szCs w:val="32"/>
          <w:highlight w:val="none"/>
          <w:lang w:eastAsia="zh-CN"/>
        </w:rPr>
        <w:t>兵团第三，师市</w:t>
      </w:r>
      <w:r>
        <w:rPr>
          <w:rFonts w:ascii="Times New Roman" w:hAnsi="Times New Roman" w:eastAsia="仿宋_GB2312" w:cs="Times New Roman"/>
          <w:color w:val="auto"/>
          <w:sz w:val="32"/>
          <w:szCs w:val="32"/>
          <w:highlight w:val="none"/>
        </w:rPr>
        <w:t>医共体在</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年兵团医改监测</w:t>
      </w:r>
      <w:r>
        <w:rPr>
          <w:rFonts w:hint="eastAsia" w:ascii="Times New Roman" w:hAnsi="Times New Roman" w:eastAsia="仿宋_GB2312" w:cs="Times New Roman"/>
          <w:color w:val="auto"/>
          <w:sz w:val="32"/>
          <w:szCs w:val="32"/>
          <w:highlight w:val="none"/>
          <w:lang w:eastAsia="zh-CN"/>
        </w:rPr>
        <w:t>中</w:t>
      </w:r>
      <w:r>
        <w:rPr>
          <w:rFonts w:ascii="Times New Roman" w:hAnsi="Times New Roman" w:eastAsia="仿宋_GB2312" w:cs="Times New Roman"/>
          <w:color w:val="auto"/>
          <w:sz w:val="32"/>
          <w:szCs w:val="32"/>
          <w:highlight w:val="none"/>
        </w:rPr>
        <w:t>评价</w:t>
      </w:r>
      <w:r>
        <w:rPr>
          <w:rFonts w:hint="eastAsia" w:ascii="Times New Roman" w:hAnsi="Times New Roman" w:eastAsia="仿宋_GB2312" w:cs="Times New Roman"/>
          <w:color w:val="auto"/>
          <w:sz w:val="32"/>
          <w:szCs w:val="32"/>
          <w:highlight w:val="none"/>
          <w:lang w:eastAsia="zh-CN"/>
        </w:rPr>
        <w:t>为</w:t>
      </w:r>
      <w:r>
        <w:rPr>
          <w:rFonts w:ascii="Times New Roman" w:hAnsi="Times New Roman" w:eastAsia="仿宋_GB2312" w:cs="Times New Roman"/>
          <w:color w:val="auto"/>
          <w:sz w:val="32"/>
          <w:szCs w:val="32"/>
          <w:highlight w:val="none"/>
        </w:rPr>
        <w:t>A级</w:t>
      </w:r>
      <w:r>
        <w:rPr>
          <w:rFonts w:hint="eastAsia" w:ascii="Times New Roman" w:hAnsi="Times New Roman" w:eastAsia="仿宋_GB2312" w:cs="Times New Roman"/>
          <w:color w:val="auto"/>
          <w:sz w:val="32"/>
          <w:szCs w:val="32"/>
          <w:highlight w:val="none"/>
          <w:lang w:eastAsia="zh-CN"/>
        </w:rPr>
        <w:t>，位列兵团前列</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师市医共体，</w:t>
      </w:r>
      <w:r>
        <w:rPr>
          <w:rFonts w:hint="eastAsia" w:ascii="Times New Roman" w:hAnsi="Times New Roman" w:eastAsia="仿宋_GB2312" w:cs="Times New Roman"/>
          <w:color w:val="auto"/>
          <w:sz w:val="32"/>
          <w:szCs w:val="32"/>
          <w:highlight w:val="none"/>
        </w:rPr>
        <w:t>双向转诊标准与程序</w:t>
      </w:r>
      <w:r>
        <w:rPr>
          <w:rFonts w:hint="eastAsia" w:ascii="Times New Roman" w:hAnsi="Times New Roman" w:eastAsia="仿宋_GB2312" w:cs="Times New Roman"/>
          <w:color w:val="auto"/>
          <w:sz w:val="32"/>
          <w:szCs w:val="32"/>
          <w:highlight w:val="none"/>
          <w:lang w:val="en-US" w:eastAsia="zh-CN"/>
        </w:rPr>
        <w:t>不断</w:t>
      </w:r>
      <w:r>
        <w:rPr>
          <w:rFonts w:hint="eastAsia" w:ascii="Times New Roman" w:hAnsi="Times New Roman" w:eastAsia="仿宋_GB2312" w:cs="Times New Roman"/>
          <w:color w:val="auto"/>
          <w:sz w:val="32"/>
          <w:szCs w:val="32"/>
          <w:highlight w:val="none"/>
        </w:rPr>
        <w:t>完善，优质医疗资源下沉成效显著</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医保支付方式改革稳步推进，按疾病诊断相关分组（DRG）/按病种分值（DIP）付费改革，覆盖师市**家医疗机构、***个病种。药品供应保障制度不断健全，师市医共体</w:t>
      </w:r>
      <w:r>
        <w:rPr>
          <w:rFonts w:hint="default" w:ascii="Times New Roman" w:hAnsi="Times New Roman" w:eastAsia="仿宋_GB2312" w:cs="Times New Roman"/>
          <w:b w:val="0"/>
          <w:bCs w:val="0"/>
          <w:color w:val="auto"/>
          <w:sz w:val="32"/>
          <w:szCs w:val="32"/>
          <w:highlight w:val="none"/>
        </w:rPr>
        <w:t>实行统一目录、统一采购、统一配送，</w:t>
      </w:r>
      <w:r>
        <w:rPr>
          <w:rFonts w:hint="eastAsia" w:ascii="Times New Roman" w:hAnsi="Times New Roman" w:eastAsia="仿宋_GB2312" w:cs="Times New Roman"/>
          <w:b w:val="0"/>
          <w:bCs w:val="0"/>
          <w:color w:val="auto"/>
          <w:sz w:val="32"/>
          <w:szCs w:val="32"/>
          <w:highlight w:val="none"/>
          <w:lang w:val="en-US" w:eastAsia="zh-CN"/>
        </w:rPr>
        <w:t>建立基层与上级医院药品联动机制，</w:t>
      </w:r>
      <w:r>
        <w:rPr>
          <w:rFonts w:hint="default" w:ascii="Times New Roman" w:hAnsi="Times New Roman" w:eastAsia="仿宋_GB2312" w:cs="Times New Roman"/>
          <w:b w:val="0"/>
          <w:bCs w:val="0"/>
          <w:color w:val="auto"/>
          <w:sz w:val="32"/>
          <w:szCs w:val="32"/>
          <w:highlight w:val="none"/>
        </w:rPr>
        <w:t>常见病、多发病在基层得到有效诊治</w:t>
      </w:r>
      <w:r>
        <w:rPr>
          <w:rFonts w:hint="eastAsia" w:ascii="Times New Roman" w:hAnsi="Times New Roman" w:eastAsia="仿宋_GB2312" w:cs="Times New Roman"/>
          <w:b w:val="0"/>
          <w:bCs w:val="0"/>
          <w:color w:val="auto"/>
          <w:sz w:val="32"/>
          <w:szCs w:val="32"/>
          <w:highlight w:val="none"/>
          <w:lang w:val="en-US" w:eastAsia="zh-CN"/>
        </w:rPr>
        <w:t>。大力推动卫生健康数字化转型，</w:t>
      </w:r>
      <w:r>
        <w:rPr>
          <w:rFonts w:hint="eastAsia" w:ascii="Times New Roman" w:hAnsi="Times New Roman" w:eastAsia="仿宋_GB2312" w:cs="Times New Roman"/>
          <w:color w:val="auto"/>
          <w:sz w:val="32"/>
          <w:szCs w:val="32"/>
          <w:highlight w:val="none"/>
          <w:lang w:val="en-US" w:eastAsia="zh-CN"/>
        </w:rPr>
        <w:t>第五师医院电子病历系统应用水平分级评价达到*级，互联互通成熟度达到*乙，智慧服务*级、智慧管理*级标准。区域健康信息平台功能持续完善，显著提升患者就医体验和医院运行效率。</w:t>
      </w:r>
    </w:p>
    <w:p w14:paraId="08570E34">
      <w:pPr>
        <w:pStyle w:val="7"/>
        <w:spacing w:line="360" w:lineRule="auto"/>
        <w:ind w:firstLine="643"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b/>
          <w:bCs/>
          <w:color w:val="auto"/>
          <w:sz w:val="32"/>
          <w:szCs w:val="32"/>
          <w:highlight w:val="none"/>
          <w:lang w:val="en-US" w:eastAsia="zh-CN"/>
        </w:rPr>
        <w:t>中医药传承创新发展实现新突破。</w:t>
      </w:r>
      <w:bookmarkStart w:id="3" w:name="OLE_LINK8"/>
      <w:r>
        <w:rPr>
          <w:rFonts w:hint="eastAsia" w:ascii="Times New Roman" w:hAnsi="Times New Roman" w:eastAsia="仿宋_GB2312" w:cs="Times New Roman"/>
          <w:color w:val="auto"/>
          <w:kern w:val="2"/>
          <w:sz w:val="32"/>
          <w:szCs w:val="32"/>
          <w:highlight w:val="none"/>
          <w:lang w:val="en-US" w:eastAsia="zh-CN" w:bidi="ar-SA"/>
        </w:rPr>
        <w:t>第五师中医医院完成二甲中医医院创建，中医药服务能力显著提升。以“组团式”援疆为依托，以“两专科一中心”建设为重点，与武汉大学中南医院、湖北省中医院等*家湖北医院签订“院包科”帮扶协议，充分发挥中医“简、便、验、廉”优势，初步建成师市中医药适宜技术推广中心和培训基地，建成脾胃科、针灸推拿康复科为师市级重点专科。中医药人才队伍不断壮大，持续开展援疆“一对一”师带徒工程，设置名医工作室*个。第五师中医医院****年门急诊人次、出院人数、业务总收入较建设初期分别增长***.**%、***.**%、**.**%。团场医院实现中医馆全覆盖，建成**个连队卫生室中医阁，中医阁覆盖率达到**.**%，</w:t>
      </w:r>
      <w:r>
        <w:rPr>
          <w:rFonts w:hint="eastAsia" w:ascii="Times New Roman" w:hAnsi="Times New Roman" w:eastAsia="仿宋_GB2312" w:cs="Times New Roman"/>
          <w:color w:val="auto"/>
          <w:sz w:val="32"/>
          <w:szCs w:val="32"/>
          <w:highlight w:val="none"/>
          <w:lang w:val="en-US" w:eastAsia="zh-CN"/>
        </w:rPr>
        <w:t>中医诊疗量占比提升至**%。</w:t>
      </w:r>
      <w:r>
        <w:rPr>
          <w:rFonts w:hint="eastAsia" w:ascii="Times New Roman" w:hAnsi="Times New Roman" w:eastAsia="仿宋_GB2312" w:cs="Times New Roman"/>
          <w:color w:val="auto"/>
          <w:kern w:val="2"/>
          <w:sz w:val="32"/>
          <w:szCs w:val="32"/>
          <w:highlight w:val="none"/>
          <w:lang w:val="en-US" w:eastAsia="zh-CN" w:bidi="ar-SA"/>
        </w:rPr>
        <w:t>自****年开始常态化开展师市中医药技能大赛，搭建业务比拼交流平台，持续营造传承弘扬中医药文化的良好氛围。</w:t>
      </w:r>
      <w:bookmarkEnd w:id="3"/>
    </w:p>
    <w:p w14:paraId="53F0071D">
      <w:pPr>
        <w:pStyle w:val="7"/>
        <w:spacing w:line="360" w:lineRule="auto"/>
        <w:ind w:firstLine="643"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突发公共卫生事件应急处置能力提升。</w:t>
      </w:r>
      <w:r>
        <w:rPr>
          <w:rFonts w:hint="eastAsia" w:ascii="Times New Roman" w:hAnsi="Times New Roman" w:eastAsia="仿宋_GB2312" w:cs="Times New Roman"/>
          <w:b w:val="0"/>
          <w:bCs w:val="0"/>
          <w:color w:val="auto"/>
          <w:kern w:val="2"/>
          <w:sz w:val="32"/>
          <w:szCs w:val="32"/>
          <w:highlight w:val="none"/>
          <w:lang w:val="en-US" w:eastAsia="zh-CN" w:bidi="ar-SA"/>
        </w:rPr>
        <w:t>新冠疫情期间，</w:t>
      </w:r>
      <w:r>
        <w:rPr>
          <w:rFonts w:hint="eastAsia" w:ascii="Times New Roman" w:hAnsi="Times New Roman" w:eastAsia="仿宋_GB2312" w:cs="Times New Roman"/>
          <w:color w:val="auto"/>
          <w:kern w:val="2"/>
          <w:sz w:val="32"/>
          <w:szCs w:val="32"/>
          <w:highlight w:val="none"/>
          <w:lang w:val="en-US" w:eastAsia="zh-CN" w:bidi="ar-SA"/>
        </w:rPr>
        <w:t>坚持把职工群众生命安全和身体健康放在第一位，师市构筑起抗击疫情的坚固防线，经受住了五波疫情大流行的强力冲击。建立了分级分层分流的重大疫情救治体系，组建**人师市级传染病专业应急队伍和**人传染病应急小分队，配齐应急装备，提升突发疫情处置能力；改造及新建发热门诊**个，新建****平方米传染病楼，建成日检测能力达到*.*万管的PCR核酸检验实验室一座，组建师市级紧急医学救援队伍*支**人、团场紧急医学救援小分队*支**人。</w:t>
      </w:r>
    </w:p>
    <w:p w14:paraId="58ADF4FD">
      <w:pPr>
        <w:pStyle w:val="7"/>
        <w:spacing w:line="360" w:lineRule="auto"/>
        <w:ind w:firstLine="643" w:firstLineChars="200"/>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优化生育服务保障提质增效。</w:t>
      </w:r>
      <w:r>
        <w:rPr>
          <w:rFonts w:hint="eastAsia" w:ascii="Times New Roman" w:hAnsi="Times New Roman" w:eastAsia="仿宋_GB2312" w:cs="Times New Roman"/>
          <w:b w:val="0"/>
          <w:bCs w:val="0"/>
          <w:color w:val="auto"/>
          <w:kern w:val="2"/>
          <w:sz w:val="32"/>
          <w:szCs w:val="32"/>
          <w:highlight w:val="none"/>
          <w:lang w:val="en-US" w:eastAsia="zh-CN" w:bidi="ar-SA"/>
        </w:rPr>
        <w:t>持续完善生育领域经费保障体系，各项惠民资金足额纳入年度财政预算，常态化落实计生特殊家庭专项扶助资金，依规兑现计生家庭奖励补助与育儿补贴政策。纵深推进免费婚前孕前健康检查、免费增补叶酸等优生惠民项目，抓实全链条出生缺陷综合防控。大力发展普惠托育服务，截至****年，师市累计建成托位***个，每千人口托位数*.*个。顺利完成师市计划生育协会换届选举工作，不断建强基层服务网络，全周期生育健康保障能力稳步提升。</w:t>
      </w:r>
    </w:p>
    <w:p w14:paraId="71C46641">
      <w:pPr>
        <w:pStyle w:val="7"/>
        <w:spacing w:line="360" w:lineRule="auto"/>
        <w:ind w:firstLine="643"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红十字事业稳步提质发展。</w:t>
      </w:r>
      <w:r>
        <w:rPr>
          <w:rFonts w:hint="eastAsia" w:ascii="Times New Roman" w:hAnsi="Times New Roman" w:eastAsia="仿宋_GB2312" w:cs="Times New Roman"/>
          <w:b w:val="0"/>
          <w:bCs w:val="0"/>
          <w:color w:val="auto"/>
          <w:kern w:val="2"/>
          <w:sz w:val="32"/>
          <w:szCs w:val="32"/>
          <w:highlight w:val="none"/>
          <w:lang w:val="en-US" w:eastAsia="zh-CN" w:bidi="ar-SA"/>
        </w:rPr>
        <w:t>聚焦“三救三献”核心主责主业，推动各项工作落地见效。持续深化应急救护培训“五进”工程，累计覆盖干部职工群众超万人次，切实提升基层群众自救互救能力和基层应急处置水平。依托“红十字博爱送万家”品牌活动及各类公益基金项目，常态化开展人道主义救助，精准帮扶困难群体。****年顺利完成师市红十字会换届工作，配齐配强编制人员，为红会事业发展筑牢组织根基。</w:t>
      </w:r>
    </w:p>
    <w:p w14:paraId="037A93FA">
      <w:pPr>
        <w:numPr>
          <w:ilvl w:val="0"/>
          <w:numId w:val="1"/>
        </w:numPr>
        <w:spacing w:before="312" w:beforeLines="100" w:after="312" w:afterLines="100" w:line="360" w:lineRule="auto"/>
        <w:ind w:left="0" w:leftChars="0" w:firstLine="0" w:firstLineChars="0"/>
        <w:jc w:val="center"/>
        <w:outlineLvl w:val="1"/>
        <w:rPr>
          <w:rFonts w:hint="eastAsia" w:ascii="黑体" w:hAnsi="黑体" w:eastAsia="黑体" w:cs="黑体"/>
          <w:b/>
          <w:color w:val="auto"/>
          <w:sz w:val="32"/>
          <w:szCs w:val="48"/>
          <w:highlight w:val="none"/>
        </w:rPr>
      </w:pPr>
      <w:bookmarkStart w:id="4" w:name="_Toc29374"/>
      <w:r>
        <w:rPr>
          <w:rFonts w:hint="eastAsia" w:ascii="黑体" w:hAnsi="黑体" w:eastAsia="黑体" w:cs="黑体"/>
          <w:b/>
          <w:color w:val="auto"/>
          <w:sz w:val="32"/>
          <w:szCs w:val="48"/>
          <w:highlight w:val="none"/>
        </w:rPr>
        <w:t>面临的问题与挑战</w:t>
      </w:r>
      <w:bookmarkEnd w:id="4"/>
    </w:p>
    <w:p w14:paraId="7A541991">
      <w:pPr>
        <w:pStyle w:val="7"/>
        <w:spacing w:line="360" w:lineRule="auto"/>
        <w:ind w:firstLine="643" w:firstLineChars="200"/>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人口老龄化进程加快，健康服务需求持续升级。</w:t>
      </w:r>
      <w:r>
        <w:rPr>
          <w:rFonts w:hint="eastAsia" w:ascii="Times New Roman" w:hAnsi="Times New Roman" w:eastAsia="仿宋_GB2312" w:cs="Times New Roman"/>
          <w:b w:val="0"/>
          <w:bCs w:val="0"/>
          <w:color w:val="auto"/>
          <w:kern w:val="2"/>
          <w:sz w:val="32"/>
          <w:szCs w:val="32"/>
          <w:highlight w:val="none"/>
          <w:lang w:val="en-US" w:eastAsia="zh-CN" w:bidi="ar-SA"/>
        </w:rPr>
        <w:t>截至****年末，**岁及以上老年人口达*.***万人，占总人口比重**.**%；其中**岁及以上老年人口*.***万人，占比**.**%。老年人口慢性病患病率达**.**%，失能、半失能老年人口占比*.*%，对长期照护、康复医疗、安宁疗护等多元化健康服务需求日益迫切，对医疗卫生资源的优化配置提出了更高要求，给医疗卫生体系带来持续压力。</w:t>
      </w:r>
    </w:p>
    <w:p w14:paraId="5AD86232">
      <w:pPr>
        <w:pStyle w:val="7"/>
        <w:spacing w:line="360" w:lineRule="auto"/>
        <w:ind w:firstLine="643" w:firstLineChars="200"/>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医疗卫生体系的资金与运营困境。</w:t>
      </w:r>
      <w:r>
        <w:rPr>
          <w:rFonts w:hint="eastAsia" w:ascii="Times New Roman" w:hAnsi="Times New Roman" w:eastAsia="仿宋_GB2312" w:cs="Times New Roman"/>
          <w:b w:val="0"/>
          <w:bCs w:val="0"/>
          <w:color w:val="auto"/>
          <w:kern w:val="2"/>
          <w:sz w:val="32"/>
          <w:szCs w:val="32"/>
          <w:highlight w:val="none"/>
          <w:lang w:val="en-US" w:eastAsia="zh-CN" w:bidi="ar-SA"/>
        </w:rPr>
        <w:t>本地区经济发展相对滞后，财政收入基础薄弱，政府在医疗卫生领域的投入总体不足，受医保政策、人才队伍、内部管理和地区差异等多种因素交织的影响，师市医疗卫生机构普遍面临资金周转困难，运营收支矛盾日益突出的困境，对区域卫生健康事业的整体发展构成了严峻挑战。</w:t>
      </w:r>
    </w:p>
    <w:p w14:paraId="0FA3FE14">
      <w:pPr>
        <w:pStyle w:val="7"/>
        <w:spacing w:line="360" w:lineRule="auto"/>
        <w:ind w:firstLine="643" w:firstLineChars="200"/>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公共卫生和疾病防控工作存在薄弱环节。</w:t>
      </w:r>
      <w:r>
        <w:rPr>
          <w:rFonts w:hint="eastAsia" w:ascii="Times New Roman" w:hAnsi="Times New Roman" w:eastAsia="仿宋_GB2312" w:cs="Times New Roman"/>
          <w:b w:val="0"/>
          <w:bCs w:val="0"/>
          <w:color w:val="auto"/>
          <w:kern w:val="2"/>
          <w:sz w:val="32"/>
          <w:szCs w:val="32"/>
          <w:highlight w:val="none"/>
          <w:lang w:val="en-US" w:eastAsia="zh-CN" w:bidi="ar-SA"/>
        </w:rPr>
        <w:t>新冠肺炎、食品安全事件等突发公共卫生事件的发生，暴露出师市卫生健康系统在实验室检测、传染病早期监测预警、应急响应、应急处置能力、资源统筹等方面的不足，给现有的疾病防控格局带来持续挑战。师市疾病预防控制中心在人才培养、管理制度、实验室检验设备配备、专业能力建设、信息化建设、科研能力、监督执法等方面存在短板；*个疾控分中心在办公场所标准化建设、干部队伍配备、业务覆盖范围和服务能力方面还不到位。疾控领域尤其是传染病防控、实验室检测等方面人才引进与留用压力较大，人才队伍结构不合理。此外，公共卫生机构与医疗机构协同配合不足，信息共享和业务联动机制不完善，“以治病为中心”向“以人民健康为中心”转变不彻底，健康管理服务体系不健全，全生命周期健康服务衔接不畅，共同制约了公共卫生服务和疾病防控能力的整体提升。</w:t>
      </w:r>
    </w:p>
    <w:p w14:paraId="7EE96502">
      <w:pPr>
        <w:pStyle w:val="7"/>
        <w:spacing w:line="360" w:lineRule="auto"/>
        <w:ind w:firstLine="643" w:firstLineChars="200"/>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医疗服务供需之间的结构性矛盾。</w:t>
      </w:r>
      <w:r>
        <w:rPr>
          <w:rFonts w:hint="eastAsia" w:ascii="Times New Roman" w:hAnsi="Times New Roman" w:eastAsia="仿宋_GB2312" w:cs="Times New Roman"/>
          <w:b w:val="0"/>
          <w:bCs w:val="0"/>
          <w:color w:val="auto"/>
          <w:kern w:val="2"/>
          <w:sz w:val="32"/>
          <w:szCs w:val="32"/>
          <w:highlight w:val="none"/>
          <w:lang w:val="en-US" w:eastAsia="zh-CN" w:bidi="ar-SA"/>
        </w:rPr>
        <w:t>医疗服务供给与居民健康需求不相适配，一方面，牵头医院高水平专科诊疗、优质护理及综合救治能力仍显不足，难以全面覆盖重大疾病防治实际需要；另一方面，职工群众对高质量、个性化、连续性的医疗服务需求持续增长，基层诊疗能力弱，基层医疗机构与上级医疗机构服务衔接不畅，尚未形成“防-治-管-筛”全链条健康服务。同时，出现师市患者跨区域向周边地方医疗机构流失现象，既造成本地医疗资源闲置浪费，又增加患者就医负担与转诊成本，对区域医疗服务体系的稳定性和可持续发展构成挑战。</w:t>
      </w:r>
    </w:p>
    <w:p w14:paraId="0550CEE6">
      <w:pPr>
        <w:pStyle w:val="7"/>
        <w:spacing w:line="360" w:lineRule="auto"/>
        <w:ind w:firstLine="643" w:firstLineChars="200"/>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急救能力建设滞后。</w:t>
      </w:r>
      <w:r>
        <w:rPr>
          <w:rFonts w:hint="eastAsia" w:ascii="Times New Roman" w:hAnsi="Times New Roman" w:eastAsia="仿宋_GB2312" w:cs="Times New Roman"/>
          <w:b w:val="0"/>
          <w:bCs w:val="0"/>
          <w:color w:val="auto"/>
          <w:kern w:val="2"/>
          <w:sz w:val="32"/>
          <w:szCs w:val="32"/>
          <w:highlight w:val="none"/>
          <w:lang w:val="en-US" w:eastAsia="zh-CN" w:bidi="ar-SA"/>
        </w:rPr>
        <w:t>“十四五”期间，** 团医院、第五师中医医院增设了***院前急救站，在一定程度上提升了突发事件和急危重症患者的救治能力，但整体上仍未形成系统完善的急救网络。当前，团场医院急诊急救能力普遍薄弱，区域急救资源布局分散，尚不能覆盖全部辖区，院前急救、院内救治与区域转运之间缺乏有效衔接，信息与流程联动不足，急救反应速度和服务可及性受到限制，难以满足辖区职工群众对高效、连续医疗救治的需求，也削弱了区域整体公共卫生防护能力。</w:t>
      </w:r>
    </w:p>
    <w:p w14:paraId="4F1F0D07">
      <w:pPr>
        <w:pStyle w:val="7"/>
        <w:spacing w:line="360" w:lineRule="auto"/>
        <w:ind w:firstLine="643" w:firstLineChars="200"/>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医疗卫生信息化支撑能力不足。</w:t>
      </w:r>
      <w:r>
        <w:rPr>
          <w:rFonts w:hint="eastAsia" w:ascii="Times New Roman" w:hAnsi="Times New Roman" w:eastAsia="仿宋_GB2312" w:cs="Times New Roman"/>
          <w:b w:val="0"/>
          <w:bCs w:val="0"/>
          <w:color w:val="auto"/>
          <w:kern w:val="2"/>
          <w:sz w:val="32"/>
          <w:szCs w:val="32"/>
          <w:highlight w:val="none"/>
          <w:lang w:val="en-US" w:eastAsia="zh-CN" w:bidi="ar-SA"/>
        </w:rPr>
        <w:t>区域卫生信息平台建设不完善，卫生健康行政部门、医保部门、医疗卫生机构和疾控机构信息系统建设水平不高，医共体内部信息化存在“信息孤岛”“碎片化”“不完整”等问题。师市医疗机构电子病历还处于较低水平，尚未与高水平医院建立常态化的远程医疗服务体系，师市范围内的互联网医疗体系还没有建成，“便民、辅政、助医、协同、基础”功能还需进一步完善。</w:t>
      </w:r>
    </w:p>
    <w:p w14:paraId="01A40C6A">
      <w:pPr>
        <w:pStyle w:val="7"/>
        <w:spacing w:line="360" w:lineRule="auto"/>
        <w:ind w:firstLine="643" w:firstLineChars="200"/>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卫生资源配置不均衡问题突出。</w:t>
      </w:r>
      <w:r>
        <w:rPr>
          <w:rFonts w:hint="eastAsia" w:ascii="Times New Roman" w:hAnsi="Times New Roman" w:eastAsia="仿宋_GB2312" w:cs="Times New Roman"/>
          <w:b w:val="0"/>
          <w:bCs w:val="0"/>
          <w:color w:val="auto"/>
          <w:kern w:val="2"/>
          <w:sz w:val="32"/>
          <w:szCs w:val="32"/>
          <w:highlight w:val="none"/>
          <w:lang w:val="en-US" w:eastAsia="zh-CN" w:bidi="ar-SA"/>
        </w:rPr>
        <w:t>医疗服务资源总量虽初具规模，但存在较为明显的区域发展不平衡不充分问题，师市和团场资源配置不均。基层医疗机构基础设施老旧、诊疗设备配备不全，项目开展受限，不能充分满足辖区群众基本医疗服务需求。</w:t>
      </w:r>
    </w:p>
    <w:p w14:paraId="30378927">
      <w:pPr>
        <w:numPr>
          <w:ilvl w:val="0"/>
          <w:numId w:val="1"/>
        </w:numPr>
        <w:spacing w:before="312" w:beforeLines="100" w:after="312" w:afterLines="100" w:line="360" w:lineRule="auto"/>
        <w:ind w:left="0" w:leftChars="0" w:firstLine="0" w:firstLineChars="0"/>
        <w:jc w:val="center"/>
        <w:outlineLvl w:val="1"/>
        <w:rPr>
          <w:rFonts w:hint="eastAsia" w:ascii="黑体" w:hAnsi="黑体" w:eastAsia="黑体" w:cs="黑体"/>
          <w:b/>
          <w:color w:val="auto"/>
          <w:sz w:val="32"/>
          <w:szCs w:val="48"/>
          <w:highlight w:val="none"/>
        </w:rPr>
      </w:pPr>
      <w:bookmarkStart w:id="5" w:name="_Toc24480"/>
      <w:r>
        <w:rPr>
          <w:rFonts w:hint="eastAsia" w:ascii="黑体" w:hAnsi="黑体" w:eastAsia="黑体" w:cs="黑体"/>
          <w:b/>
          <w:color w:val="auto"/>
          <w:sz w:val="32"/>
          <w:szCs w:val="48"/>
          <w:highlight w:val="none"/>
        </w:rPr>
        <w:t>发展机遇</w:t>
      </w:r>
      <w:bookmarkEnd w:id="5"/>
    </w:p>
    <w:p w14:paraId="70F4989B">
      <w:pPr>
        <w:pBdr>
          <w:bottom w:val="single" w:color="FFFFFF" w:sz="4" w:space="12"/>
        </w:pBdr>
        <w:autoSpaceDE w:val="0"/>
        <w:autoSpaceDN w:val="0"/>
        <w:snapToGrid w:val="0"/>
        <w:spacing w:line="360" w:lineRule="auto"/>
        <w:ind w:firstLine="643" w:firstLineChars="200"/>
        <w:contextualSpacing/>
        <w:rPr>
          <w:rFonts w:hint="eastAsia"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高位推动筑牢发展根基</w:t>
      </w:r>
      <w:r>
        <w:rPr>
          <w:rFonts w:hint="eastAsia" w:ascii="Times New Roman" w:hAnsi="Times New Roman" w:eastAsia="仿宋_GB2312" w:cs="Times New Roman"/>
          <w:b/>
          <w:bCs/>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年*月，习近平总书记在听取新疆维吾尔自治区党委和政府工作汇报时强调，要“把保障和改善民生放在优先位置”，为新疆卫生健康事业发展指明了方向。自治区、兵团党委系统部署健康新疆、健康兵团建设，要求推动优质医疗资源下沉，让各族群众看病更方便。师市党委坚持把卫生健康摆在优先发展战略地位，将师市卫生健康发展纳入第五师双河市“十五五”时期经济社会发展主要指标，加大投入保障，专题推进医养结合建设和基层服务能力提升。在博州党委和师市党委关心下，兵地医疗协作逐步推进，医保互认、资源共享取得进展，为师市卫生事业发展提供了融合条件。</w:t>
      </w:r>
    </w:p>
    <w:p w14:paraId="7523D15F">
      <w:pPr>
        <w:pBdr>
          <w:bottom w:val="single" w:color="FFFFFF" w:sz="4" w:space="12"/>
        </w:pBdr>
        <w:autoSpaceDE w:val="0"/>
        <w:autoSpaceDN w:val="0"/>
        <w:snapToGrid w:val="0"/>
        <w:spacing w:line="360" w:lineRule="auto"/>
        <w:ind w:firstLine="643" w:firstLineChars="200"/>
        <w:contextualSpacing/>
        <w:rPr>
          <w:rFonts w:hint="eastAsia"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国家重大战略叠加赋能。</w:t>
      </w:r>
      <w:r>
        <w:rPr>
          <w:rFonts w:hint="default" w:ascii="Times New Roman" w:hAnsi="Times New Roman" w:eastAsia="仿宋_GB2312" w:cs="Times New Roman"/>
          <w:b w:val="0"/>
          <w:bCs w:val="0"/>
          <w:color w:val="auto"/>
          <w:sz w:val="32"/>
          <w:szCs w:val="32"/>
          <w:highlight w:val="none"/>
          <w:lang w:val="en-US" w:eastAsia="zh-CN"/>
        </w:rPr>
        <w:t>“十五五”时期既是《“健康中国</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”规划纲要》目标任务全面收官的关键阶段，也是卫生健康事业转型升级的重要窗口期。在这一背景下，国家持续加大卫生健康领域财政投入倾斜，重点布局公共卫生体系建设、区域医疗中心打造等重大项目。</w:t>
      </w:r>
      <w:r>
        <w:rPr>
          <w:rFonts w:hint="eastAsia" w:ascii="Times New Roman" w:hAnsi="Times New Roman" w:eastAsia="仿宋_GB2312" w:cs="Times New Roman"/>
          <w:b w:val="0"/>
          <w:bCs w:val="0"/>
          <w:color w:val="auto"/>
          <w:sz w:val="32"/>
          <w:szCs w:val="32"/>
          <w:highlight w:val="none"/>
          <w:lang w:val="en-US" w:eastAsia="zh-CN"/>
        </w:rPr>
        <w:t>国家区域协调发展战略和对口援疆政策的深入实施，推动优质医疗资源、核心技术、高级人才及先进管理经验持续向边疆地区下沉，为快速提升本地服务能力、优化资源配置创造了条件。同时，深化医药卫生体制改革、“三医联动”等方面政策协同效应不断显现，将进一步优化资源配置、提升服务效率和质量，为破解行业体制机制障碍、激发内生动力提供指引。</w:t>
      </w:r>
    </w:p>
    <w:p w14:paraId="5446E66A">
      <w:pPr>
        <w:pBdr>
          <w:bottom w:val="single" w:color="FFFFFF" w:sz="4" w:space="12"/>
        </w:pBdr>
        <w:autoSpaceDE w:val="0"/>
        <w:autoSpaceDN w:val="0"/>
        <w:snapToGrid w:val="0"/>
        <w:spacing w:line="360" w:lineRule="auto"/>
        <w:ind w:firstLine="643" w:firstLineChars="200"/>
        <w:contextualSpacing/>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健康需求升级带来发展空间。</w:t>
      </w:r>
      <w:r>
        <w:rPr>
          <w:rFonts w:hint="eastAsia" w:ascii="Times New Roman" w:hAnsi="Times New Roman" w:eastAsia="仿宋_GB2312" w:cs="Times New Roman"/>
          <w:b w:val="0"/>
          <w:bCs w:val="0"/>
          <w:color w:val="auto"/>
          <w:sz w:val="32"/>
          <w:szCs w:val="32"/>
          <w:highlight w:val="none"/>
          <w:lang w:val="en-US" w:eastAsia="zh-CN"/>
        </w:rPr>
        <w:t>随着人口老龄化进程加快，老年群体对慢性病管理、康复护理、安宁疗护、医养结合等多元化健康服务需求持续攀升；居民健康意识和需求层次逐步提升，从传统“治病”向主动“防病”“养生”转变，健康管理、中医养生、健康体检等服务需求快速增长。此外，三孩政策配套支持措施逐步落地，婴幼儿照护、孕前优生健康检查、孕产妇保健、儿童早期发展等妇幼健康服务需求逐步扩大，为卫生健康事业拓展服务领域、优化供给结构提供广阔发展空间。</w:t>
      </w:r>
    </w:p>
    <w:p w14:paraId="4375B24A">
      <w:pPr>
        <w:pBdr>
          <w:bottom w:val="single" w:color="FFFFFF" w:sz="4" w:space="12"/>
        </w:pBdr>
        <w:autoSpaceDE w:val="0"/>
        <w:autoSpaceDN w:val="0"/>
        <w:snapToGrid w:val="0"/>
        <w:spacing w:line="360" w:lineRule="auto"/>
        <w:ind w:firstLine="643" w:firstLineChars="200"/>
        <w:contextualSpacing/>
        <w:rPr>
          <w:rFonts w:hint="default"/>
          <w:color w:val="auto"/>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科技创新驱动服务模式变革。</w:t>
      </w:r>
      <w:r>
        <w:rPr>
          <w:rFonts w:hint="eastAsia" w:ascii="Times New Roman" w:hAnsi="Times New Roman" w:eastAsia="仿宋_GB2312" w:cs="Times New Roman"/>
          <w:b w:val="0"/>
          <w:bCs w:val="0"/>
          <w:color w:val="auto"/>
          <w:sz w:val="32"/>
          <w:szCs w:val="32"/>
          <w:highlight w:val="none"/>
          <w:lang w:val="en-US" w:eastAsia="zh-CN"/>
        </w:rPr>
        <w:t>人工智能、大数据、物联网、*G等新一代信息技术与医疗卫生领域深度融合，应用场景不断拓展，为智慧医疗、精准医疗发展提供强有力技术支撑，推动诊疗模式、服务模式深刻变革。生物医药、高端医疗器械等领域技术创新加速突破，助力提升疾病诊断、治疗和预防能力。远程医疗、互联网+护理服务、线上健康咨询、智慧药房等新业态的发展有效助力优质医疗资源下沉，</w:t>
      </w:r>
      <w:r>
        <w:rPr>
          <w:rFonts w:hint="default" w:ascii="Times New Roman" w:hAnsi="Times New Roman" w:eastAsia="仿宋_GB2312" w:cs="Times New Roman"/>
          <w:b w:val="0"/>
          <w:bCs w:val="0"/>
          <w:color w:val="auto"/>
          <w:sz w:val="32"/>
          <w:szCs w:val="32"/>
          <w:highlight w:val="none"/>
          <w:lang w:val="en-US" w:eastAsia="zh-CN"/>
        </w:rPr>
        <w:t>不仅</w:t>
      </w:r>
      <w:r>
        <w:rPr>
          <w:rFonts w:hint="eastAsia" w:ascii="Times New Roman" w:hAnsi="Times New Roman" w:eastAsia="仿宋_GB2312" w:cs="Times New Roman"/>
          <w:b w:val="0"/>
          <w:bCs w:val="0"/>
          <w:color w:val="auto"/>
          <w:sz w:val="32"/>
          <w:szCs w:val="32"/>
          <w:highlight w:val="none"/>
          <w:lang w:val="en-US" w:eastAsia="zh-CN"/>
        </w:rPr>
        <w:t>提升服务可及性和便捷性，</w:t>
      </w:r>
      <w:r>
        <w:rPr>
          <w:rFonts w:hint="default" w:ascii="Times New Roman" w:hAnsi="Times New Roman" w:eastAsia="仿宋_GB2312" w:cs="Times New Roman"/>
          <w:b w:val="0"/>
          <w:bCs w:val="0"/>
          <w:color w:val="auto"/>
          <w:sz w:val="32"/>
          <w:szCs w:val="32"/>
          <w:highlight w:val="none"/>
          <w:lang w:val="en-US" w:eastAsia="zh-CN"/>
        </w:rPr>
        <w:t>也为边疆地区突破时空限制、缩小与发达地区差距创造了可能</w:t>
      </w:r>
      <w:r>
        <w:rPr>
          <w:rFonts w:hint="eastAsia" w:ascii="Times New Roman" w:hAnsi="Times New Roman" w:eastAsia="仿宋_GB2312" w:cs="Times New Roman"/>
          <w:b w:val="0"/>
          <w:bCs w:val="0"/>
          <w:color w:val="auto"/>
          <w:sz w:val="32"/>
          <w:szCs w:val="32"/>
          <w:highlight w:val="none"/>
          <w:lang w:val="en-US" w:eastAsia="zh-CN"/>
        </w:rPr>
        <w:t>。</w:t>
      </w:r>
    </w:p>
    <w:p w14:paraId="70ACA4E3">
      <w:pPr>
        <w:pBdr>
          <w:bottom w:val="single" w:color="FFFFFF" w:sz="4" w:space="12"/>
        </w:pBdr>
        <w:autoSpaceDE w:val="0"/>
        <w:autoSpaceDN w:val="0"/>
        <w:snapToGrid w:val="0"/>
        <w:spacing w:line="360" w:lineRule="auto"/>
        <w:ind w:firstLine="643" w:firstLineChars="200"/>
        <w:contextualSpacing/>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双河城市建设带来发展空间。</w:t>
      </w:r>
      <w:r>
        <w:rPr>
          <w:rFonts w:hint="default" w:ascii="Times New Roman" w:hAnsi="Times New Roman" w:eastAsia="仿宋_GB2312" w:cs="Times New Roman"/>
          <w:b w:val="0"/>
          <w:bCs w:val="0"/>
          <w:color w:val="auto"/>
          <w:sz w:val="32"/>
          <w:szCs w:val="32"/>
          <w:highlight w:val="none"/>
          <w:lang w:val="en-US" w:eastAsia="zh-CN"/>
        </w:rPr>
        <w:t>双河城市建设稳步推进，基础设施和公共服务体系正在逐步完善。随着人口逐渐集聚和产业初具规模，城市发展潜力正在释放，为卫生健康服务体系扩容升级、医疗资源合理布局以及健康产业发展提供了新的空间和动力。</w:t>
      </w:r>
    </w:p>
    <w:p w14:paraId="691E8135">
      <w:pPr>
        <w:pBdr>
          <w:bottom w:val="single" w:color="FFFFFF" w:sz="4" w:space="12"/>
        </w:pBdr>
        <w:autoSpaceDE w:val="0"/>
        <w:autoSpaceDN w:val="0"/>
        <w:snapToGrid w:val="0"/>
        <w:spacing w:line="360" w:lineRule="auto"/>
        <w:ind w:firstLine="643" w:firstLineChars="200"/>
        <w:contextualSpacing/>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医疗领域腐败问题专项整治规范医疗行为。</w:t>
      </w:r>
      <w:r>
        <w:rPr>
          <w:rFonts w:hint="default" w:ascii="Times New Roman" w:hAnsi="Times New Roman" w:eastAsia="仿宋_GB2312" w:cs="Times New Roman"/>
          <w:b w:val="0"/>
          <w:bCs w:val="0"/>
          <w:color w:val="auto"/>
          <w:kern w:val="2"/>
          <w:sz w:val="32"/>
          <w:szCs w:val="32"/>
          <w:highlight w:val="none"/>
          <w:lang w:val="en-US" w:eastAsia="zh-CN" w:bidi="ar-SA"/>
        </w:rPr>
        <w:t>全国</w:t>
      </w:r>
      <w:r>
        <w:rPr>
          <w:rFonts w:hint="eastAsia" w:ascii="Times New Roman" w:hAnsi="Times New Roman" w:eastAsia="仿宋_GB2312" w:cs="Times New Roman"/>
          <w:b w:val="0"/>
          <w:bCs w:val="0"/>
          <w:color w:val="auto"/>
          <w:kern w:val="2"/>
          <w:sz w:val="32"/>
          <w:szCs w:val="32"/>
          <w:highlight w:val="none"/>
          <w:lang w:val="en-US" w:eastAsia="zh-CN" w:bidi="ar-SA"/>
        </w:rPr>
        <w:t>深入开展</w:t>
      </w:r>
      <w:r>
        <w:rPr>
          <w:rFonts w:hint="default" w:ascii="Times New Roman" w:hAnsi="Times New Roman" w:eastAsia="仿宋_GB2312" w:cs="Times New Roman"/>
          <w:b w:val="0"/>
          <w:bCs w:val="0"/>
          <w:color w:val="auto"/>
          <w:kern w:val="2"/>
          <w:sz w:val="32"/>
          <w:szCs w:val="32"/>
          <w:highlight w:val="none"/>
          <w:lang w:val="en-US" w:eastAsia="zh-CN" w:bidi="ar-SA"/>
        </w:rPr>
        <w:t>医疗领域腐败问题专项整治</w:t>
      </w:r>
      <w:r>
        <w:rPr>
          <w:rFonts w:hint="eastAsia" w:ascii="Times New Roman" w:hAnsi="Times New Roman" w:eastAsia="仿宋_GB2312" w:cs="Times New Roman"/>
          <w:b w:val="0"/>
          <w:bCs w:val="0"/>
          <w:color w:val="auto"/>
          <w:kern w:val="2"/>
          <w:sz w:val="32"/>
          <w:szCs w:val="32"/>
          <w:highlight w:val="none"/>
          <w:lang w:val="en-US" w:eastAsia="zh-CN" w:bidi="ar-SA"/>
        </w:rPr>
        <w:t>行动</w:t>
      </w:r>
      <w:r>
        <w:rPr>
          <w:rFonts w:hint="default" w:ascii="Times New Roman" w:hAnsi="Times New Roman" w:eastAsia="仿宋_GB2312" w:cs="Times New Roman"/>
          <w:b w:val="0"/>
          <w:bCs w:val="0"/>
          <w:color w:val="auto"/>
          <w:kern w:val="2"/>
          <w:sz w:val="32"/>
          <w:szCs w:val="32"/>
          <w:highlight w:val="none"/>
          <w:lang w:val="en-US" w:eastAsia="zh-CN" w:bidi="ar-SA"/>
        </w:rPr>
        <w:t>，从根本上规范医疗服务行为</w:t>
      </w:r>
      <w:r>
        <w:rPr>
          <w:rFonts w:hint="eastAsia" w:ascii="Times New Roman" w:hAnsi="Times New Roman"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重塑行业风气</w:t>
      </w:r>
      <w:r>
        <w:rPr>
          <w:rFonts w:hint="eastAsia" w:ascii="Times New Roman" w:hAnsi="Times New Roman" w:eastAsia="仿宋_GB2312" w:cs="Times New Roman"/>
          <w:b w:val="0"/>
          <w:bCs w:val="0"/>
          <w:color w:val="auto"/>
          <w:kern w:val="2"/>
          <w:sz w:val="32"/>
          <w:szCs w:val="32"/>
          <w:highlight w:val="none"/>
          <w:lang w:val="en-US" w:eastAsia="zh-CN" w:bidi="ar-SA"/>
        </w:rPr>
        <w:t>，推动医院管理价值回归。该行动</w:t>
      </w:r>
      <w:r>
        <w:rPr>
          <w:rFonts w:hint="eastAsia" w:ascii="Times New Roman" w:hAnsi="Times New Roman" w:eastAsia="仿宋_GB2312" w:cs="Times New Roman"/>
          <w:b w:val="0"/>
          <w:bCs w:val="0"/>
          <w:color w:val="auto"/>
          <w:sz w:val="32"/>
          <w:szCs w:val="32"/>
          <w:highlight w:val="none"/>
          <w:lang w:val="en-US" w:eastAsia="zh-CN"/>
        </w:rPr>
        <w:t>促使医务人员</w:t>
      </w:r>
      <w:r>
        <w:rPr>
          <w:rFonts w:hint="default" w:ascii="Times New Roman" w:hAnsi="Times New Roman" w:eastAsia="仿宋_GB2312" w:cs="Times New Roman"/>
          <w:b w:val="0"/>
          <w:bCs w:val="0"/>
          <w:color w:val="auto"/>
          <w:sz w:val="32"/>
          <w:szCs w:val="32"/>
          <w:highlight w:val="none"/>
          <w:lang w:val="en-US" w:eastAsia="zh-CN"/>
        </w:rPr>
        <w:t>更加重视继续教育，以提高自己的专业技能和知识，遵守职业道德，以患者的利益作为根本遵循</w:t>
      </w:r>
      <w:r>
        <w:rPr>
          <w:rFonts w:hint="eastAsia" w:ascii="Times New Roman" w:hAnsi="Times New Roman" w:eastAsia="仿宋_GB2312" w:cs="Times New Roman"/>
          <w:b w:val="0"/>
          <w:bCs w:val="0"/>
          <w:color w:val="auto"/>
          <w:sz w:val="32"/>
          <w:szCs w:val="32"/>
          <w:highlight w:val="none"/>
          <w:lang w:val="en-US" w:eastAsia="zh-CN"/>
        </w:rPr>
        <w:t>；同时，医疗机构</w:t>
      </w:r>
      <w:r>
        <w:rPr>
          <w:rFonts w:hint="default" w:ascii="Times New Roman" w:hAnsi="Times New Roman" w:eastAsia="仿宋_GB2312" w:cs="Times New Roman"/>
          <w:b w:val="0"/>
          <w:bCs w:val="0"/>
          <w:color w:val="auto"/>
          <w:sz w:val="32"/>
          <w:szCs w:val="32"/>
          <w:highlight w:val="none"/>
          <w:lang w:val="en-US" w:eastAsia="zh-CN"/>
        </w:rPr>
        <w:t>规范合规运营，持续增进群众就医信任感，有效提升医疗服务认可度与就诊利用率。</w:t>
      </w:r>
    </w:p>
    <w:p w14:paraId="3F0D4E32">
      <w:pPr>
        <w:spacing w:line="360" w:lineRule="auto"/>
        <w:ind w:left="0" w:leftChars="0" w:firstLine="0" w:firstLineChars="0"/>
        <w:jc w:val="center"/>
        <w:outlineLvl w:val="0"/>
        <w:rPr>
          <w:rFonts w:ascii="黑体" w:hAnsi="黑体" w:eastAsia="黑体" w:cs="黑体"/>
          <w:b/>
          <w:color w:val="auto"/>
          <w:spacing w:val="6"/>
          <w:kern w:val="44"/>
          <w:sz w:val="32"/>
          <w:szCs w:val="60"/>
          <w:highlight w:val="none"/>
        </w:rPr>
      </w:pPr>
      <w:bookmarkStart w:id="6" w:name="_Toc25787"/>
      <w:r>
        <w:rPr>
          <w:rFonts w:hint="eastAsia" w:ascii="黑体" w:hAnsi="黑体" w:eastAsia="黑体" w:cs="黑体"/>
          <w:b/>
          <w:color w:val="auto"/>
          <w:spacing w:val="6"/>
          <w:kern w:val="44"/>
          <w:sz w:val="32"/>
          <w:szCs w:val="60"/>
          <w:highlight w:val="none"/>
        </w:rPr>
        <w:t>第二章  总体要求</w:t>
      </w:r>
      <w:bookmarkEnd w:id="6"/>
    </w:p>
    <w:p w14:paraId="6C277F07">
      <w:pPr>
        <w:numPr>
          <w:ilvl w:val="0"/>
          <w:numId w:val="2"/>
        </w:numPr>
        <w:spacing w:beforeLines="100" w:afterLines="100" w:line="360" w:lineRule="auto"/>
        <w:ind w:left="0" w:leftChars="0" w:firstLine="0" w:firstLineChars="0"/>
        <w:jc w:val="center"/>
        <w:outlineLvl w:val="1"/>
        <w:rPr>
          <w:rFonts w:ascii="黑体" w:hAnsi="黑体" w:eastAsia="黑体" w:cs="黑体"/>
          <w:b/>
          <w:color w:val="auto"/>
          <w:sz w:val="32"/>
          <w:szCs w:val="48"/>
          <w:highlight w:val="none"/>
        </w:rPr>
      </w:pPr>
      <w:r>
        <w:rPr>
          <w:rFonts w:hint="eastAsia" w:ascii="黑体" w:hAnsi="黑体" w:eastAsia="黑体" w:cs="黑体"/>
          <w:b/>
          <w:color w:val="auto"/>
          <w:sz w:val="32"/>
          <w:szCs w:val="48"/>
          <w:highlight w:val="none"/>
        </w:rPr>
        <w:t xml:space="preserve"> </w:t>
      </w:r>
      <w:bookmarkStart w:id="7" w:name="_Toc11220"/>
      <w:r>
        <w:rPr>
          <w:rFonts w:hint="eastAsia" w:ascii="黑体" w:hAnsi="黑体" w:eastAsia="黑体" w:cs="黑体"/>
          <w:b/>
          <w:color w:val="auto"/>
          <w:sz w:val="32"/>
          <w:szCs w:val="48"/>
          <w:highlight w:val="none"/>
        </w:rPr>
        <w:t>指导思想</w:t>
      </w:r>
      <w:bookmarkEnd w:id="7"/>
    </w:p>
    <w:p w14:paraId="3309ABFB">
      <w:pPr>
        <w:pStyle w:val="7"/>
        <w:spacing w:line="360" w:lineRule="auto"/>
        <w:ind w:firstLine="640" w:firstLineChars="200"/>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以习近平新时代中国特色社会主义思想为指导，全面贯彻党的二十大和二十届历次全会精神，深入落实习近平总书记关于健康中国建设重要论述精神和新时代党的治疆方略，牢牢扭住新疆工作总目标，聚焦履行兵团职责使命。坚持新时代党的卫生与健康工作方针，坚持稳中求进、提质控本增效政策取向，以健康师市建设为主线，以深化改革为动力，推进卫生健康事业和人口高质量发展。全面落实“医疗强师”战略部署，着力破解资源分布不均、基层能力薄弱等突出问题，推动卫生健康工作从以治病为中心向以人民健康为中心转变，围绕兵团“重振公立医院新优势、重塑医疗卫生服务新形象、重树惠及兵地各族职工群众新旗帜”目标定位，加快构建优质高效、整合协同、医防融合的卫生健康服务体系，全方位、全周期保障兵地各族职工群众健康，为推进社会主义现代化筑牢健康根基。</w:t>
      </w:r>
    </w:p>
    <w:p w14:paraId="1E416923">
      <w:pPr>
        <w:numPr>
          <w:ilvl w:val="0"/>
          <w:numId w:val="2"/>
        </w:numPr>
        <w:spacing w:beforeLines="100" w:afterLines="100" w:line="360" w:lineRule="auto"/>
        <w:ind w:left="0" w:leftChars="0" w:firstLine="0" w:firstLineChars="0"/>
        <w:jc w:val="center"/>
        <w:outlineLvl w:val="1"/>
        <w:rPr>
          <w:rFonts w:hint="eastAsia" w:ascii="黑体" w:hAnsi="黑体" w:eastAsia="黑体" w:cs="黑体"/>
          <w:b/>
          <w:color w:val="auto"/>
          <w:sz w:val="32"/>
          <w:szCs w:val="48"/>
          <w:highlight w:val="none"/>
        </w:rPr>
      </w:pPr>
      <w:bookmarkStart w:id="8" w:name="_Toc26175"/>
      <w:r>
        <w:rPr>
          <w:rFonts w:hint="eastAsia" w:ascii="黑体" w:hAnsi="黑体" w:eastAsia="黑体" w:cs="黑体"/>
          <w:b/>
          <w:color w:val="auto"/>
          <w:sz w:val="32"/>
          <w:szCs w:val="48"/>
          <w:highlight w:val="none"/>
        </w:rPr>
        <w:t>基本原则</w:t>
      </w:r>
      <w:bookmarkEnd w:id="8"/>
    </w:p>
    <w:p w14:paraId="4AC11E9E">
      <w:pPr>
        <w:pStyle w:val="7"/>
        <w:spacing w:line="360" w:lineRule="auto"/>
        <w:ind w:firstLine="643" w:firstLineChars="200"/>
        <w:rPr>
          <w:rFonts w:hint="default" w:ascii="Times New Roman" w:hAnsi="Times New Roman" w:eastAsia="仿宋_GB2312" w:cs="Times New Roman"/>
          <w:b w:val="0"/>
          <w:bCs w:val="0"/>
          <w:color w:val="auto"/>
          <w:kern w:val="2"/>
          <w:sz w:val="32"/>
          <w:szCs w:val="32"/>
          <w:highlight w:val="none"/>
          <w:lang w:val="en-US" w:eastAsia="zh-CN" w:bidi="ar-SA"/>
        </w:rPr>
      </w:pPr>
      <w:r>
        <w:rPr>
          <w:rFonts w:ascii="Times New Roman" w:hAnsi="Times New Roman" w:eastAsia="仿宋_GB2312" w:cs="Times New Roman"/>
          <w:b/>
          <w:bCs/>
          <w:color w:val="auto"/>
          <w:sz w:val="32"/>
          <w:szCs w:val="32"/>
          <w:highlight w:val="none"/>
        </w:rPr>
        <w:t>坚持党的全面领导</w:t>
      </w:r>
      <w:r>
        <w:rPr>
          <w:rFonts w:hint="eastAsia"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val="0"/>
          <w:bCs w:val="0"/>
          <w:color w:val="auto"/>
          <w:kern w:val="2"/>
          <w:sz w:val="32"/>
          <w:szCs w:val="32"/>
          <w:highlight w:val="none"/>
          <w:lang w:val="en-US" w:eastAsia="zh-CN" w:bidi="ar-SA"/>
        </w:rPr>
        <w:t>坚持把党的全面领导贯穿卫生健康事业发展全过程、各方面，健全党委领导、政府主导、部门协同、社会参与的工作格局，牢牢把握卫生健康事业发展的正确政治方向。充分发挥党总揽全局、协调各方的领导核心作用，有效整合各类资源，凝聚改革发展合力，确保健康优先发展战略落地见效，推动卫生健康事业始终沿着社会主义方向稳步前进。</w:t>
      </w:r>
    </w:p>
    <w:p w14:paraId="15648BED">
      <w:pPr>
        <w:pStyle w:val="7"/>
        <w:spacing w:line="360" w:lineRule="auto"/>
        <w:ind w:firstLine="643" w:firstLineChars="200"/>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bCs/>
          <w:color w:val="auto"/>
          <w:sz w:val="32"/>
          <w:szCs w:val="32"/>
          <w:highlight w:val="none"/>
        </w:rPr>
        <w:t>坚持</w:t>
      </w:r>
      <w:r>
        <w:rPr>
          <w:rFonts w:hint="eastAsia" w:ascii="Times New Roman" w:hAnsi="Times New Roman" w:eastAsia="仿宋_GB2312" w:cs="Times New Roman"/>
          <w:b/>
          <w:bCs/>
          <w:color w:val="auto"/>
          <w:sz w:val="32"/>
          <w:szCs w:val="32"/>
          <w:highlight w:val="none"/>
          <w:lang w:val="en-US" w:eastAsia="zh-CN"/>
        </w:rPr>
        <w:t>以人民健康为中心</w:t>
      </w:r>
      <w:r>
        <w:rPr>
          <w:rFonts w:hint="eastAsia"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val="0"/>
          <w:bCs w:val="0"/>
          <w:color w:val="auto"/>
          <w:kern w:val="2"/>
          <w:sz w:val="32"/>
          <w:szCs w:val="32"/>
          <w:highlight w:val="none"/>
          <w:lang w:val="en-US" w:eastAsia="zh-CN" w:bidi="ar-SA"/>
        </w:rPr>
        <w:t>把增进人民健康福祉作为卫生健康事业发展的出发点和落脚点。聚焦群众急难愁盼的健康问题，精准对接重点人群健康需求，优化健康服务供给，提升服务质量和可及性。尊重人民群众在健康中的主体地位，引导个人树立健康责任意识，推动形成共建共治共享的健康治理格局，让卫生健康发展成果更多更公平惠及全体人民。</w:t>
      </w:r>
    </w:p>
    <w:p w14:paraId="2F3607AD">
      <w:pPr>
        <w:pStyle w:val="7"/>
        <w:spacing w:line="360" w:lineRule="auto"/>
        <w:ind w:firstLine="643" w:firstLineChars="200"/>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坚持防治结合。</w:t>
      </w:r>
      <w:r>
        <w:rPr>
          <w:rFonts w:hint="eastAsia" w:ascii="Times New Roman" w:hAnsi="Times New Roman" w:eastAsia="仿宋_GB2312" w:cs="Times New Roman"/>
          <w:b w:val="0"/>
          <w:bCs w:val="0"/>
          <w:color w:val="auto"/>
          <w:kern w:val="2"/>
          <w:sz w:val="32"/>
          <w:szCs w:val="32"/>
          <w:highlight w:val="none"/>
          <w:lang w:val="en-US" w:eastAsia="zh-CN" w:bidi="ar-SA"/>
        </w:rPr>
        <w:t>坚持关口前移、防治结合，推动卫生健康工作从以疾病治疗为中心向以健康管理为中心转变。完善疾病预防控制与医疗机构协同机制，健全覆盖全生命周期的健康服务体系，提升防治一体化水平，全方位守护群众健康。</w:t>
      </w:r>
    </w:p>
    <w:p w14:paraId="7B1E2322">
      <w:pPr>
        <w:pStyle w:val="7"/>
        <w:spacing w:line="360" w:lineRule="auto"/>
        <w:ind w:firstLine="643" w:firstLineChars="200"/>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坚持高质量发展。</w:t>
      </w:r>
      <w:r>
        <w:rPr>
          <w:rFonts w:hint="eastAsia" w:ascii="Times New Roman" w:hAnsi="Times New Roman" w:eastAsia="仿宋_GB2312" w:cs="Times New Roman"/>
          <w:b w:val="0"/>
          <w:bCs w:val="0"/>
          <w:color w:val="auto"/>
          <w:kern w:val="2"/>
          <w:sz w:val="32"/>
          <w:szCs w:val="32"/>
          <w:highlight w:val="none"/>
          <w:lang w:val="en-US" w:eastAsia="zh-CN" w:bidi="ar-SA"/>
        </w:rPr>
        <w:t>锚定高质量发展主题，推动卫生健康事业从规模扩张向内涵提升转型。以提升医疗服务质量和效率为核心，强化医疗机构内涵建设，推进诊疗规范化、管理精细化、服务人性化和智能化发展。</w:t>
      </w:r>
      <w:r>
        <w:rPr>
          <w:rFonts w:hint="eastAsia" w:ascii="Times New Roman" w:hAnsi="Times New Roman" w:eastAsia="仿宋_GB2312" w:cs="Times New Roman"/>
          <w:color w:val="auto"/>
          <w:sz w:val="32"/>
          <w:szCs w:val="32"/>
          <w:highlight w:val="none"/>
        </w:rPr>
        <w:t>统筹优质医疗资源扩容与下沉，强化兵地协同，促进区域间卫生资源共建共享与功能互补。</w:t>
      </w:r>
    </w:p>
    <w:p w14:paraId="75AACE6E">
      <w:pPr>
        <w:pStyle w:val="7"/>
        <w:spacing w:line="360" w:lineRule="auto"/>
        <w:ind w:firstLine="643" w:firstLineChars="200"/>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坚持全面深化改革。</w:t>
      </w:r>
      <w:r>
        <w:rPr>
          <w:rFonts w:hint="eastAsia" w:ascii="Times New Roman" w:hAnsi="Times New Roman" w:eastAsia="仿宋_GB2312" w:cs="Times New Roman"/>
          <w:b w:val="0"/>
          <w:bCs w:val="0"/>
          <w:color w:val="auto"/>
          <w:kern w:val="2"/>
          <w:sz w:val="32"/>
          <w:szCs w:val="32"/>
          <w:highlight w:val="none"/>
          <w:lang w:val="en-US" w:eastAsia="zh-CN" w:bidi="ar-SA"/>
        </w:rPr>
        <w:t>深化“三医联动”改革，聚焦分级诊疗、现代医院管理、医保支付等重点领域，推动“医疗强师”、医防融合、医共体建设和服务模式创新，破除体制机制障碍，激发体系内生动力。</w:t>
      </w:r>
    </w:p>
    <w:p w14:paraId="4D4BA9B1">
      <w:pPr>
        <w:pStyle w:val="7"/>
        <w:spacing w:line="360" w:lineRule="auto"/>
        <w:ind w:firstLine="643" w:firstLineChars="200"/>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坚持统筹发展和安全。</w:t>
      </w:r>
      <w:r>
        <w:rPr>
          <w:rFonts w:hint="eastAsia" w:ascii="Times New Roman" w:hAnsi="Times New Roman" w:eastAsia="仿宋_GB2312" w:cs="Times New Roman"/>
          <w:b w:val="0"/>
          <w:bCs w:val="0"/>
          <w:color w:val="auto"/>
          <w:kern w:val="2"/>
          <w:sz w:val="32"/>
          <w:szCs w:val="32"/>
          <w:highlight w:val="none"/>
          <w:lang w:val="en-US" w:eastAsia="zh-CN" w:bidi="ar-SA"/>
        </w:rPr>
        <w:t>要强化底线思维，正确认识当前卫生健康工作所面临的形势和存在的问题，有效防范化解各类风险，扎实稳步推进医共体建设，做实疾病预防和基本公共卫生服务，强化医疗质量安全管理，规范医疗服务行为，防范化解行业风险，坚持守好安全生产、信访维稳、运营管理、廉洁从政等工作底线。</w:t>
      </w:r>
    </w:p>
    <w:p w14:paraId="77EBD6F8">
      <w:pPr>
        <w:pStyle w:val="7"/>
        <w:spacing w:line="360" w:lineRule="auto"/>
        <w:ind w:firstLine="643" w:firstLineChars="200"/>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坚持中西医并重传承创新。</w:t>
      </w:r>
      <w:r>
        <w:rPr>
          <w:rFonts w:hint="eastAsia" w:ascii="Times New Roman" w:hAnsi="Times New Roman" w:eastAsia="仿宋_GB2312" w:cs="Times New Roman"/>
          <w:b w:val="0"/>
          <w:bCs w:val="0"/>
          <w:color w:val="auto"/>
          <w:kern w:val="2"/>
          <w:sz w:val="32"/>
          <w:szCs w:val="32"/>
          <w:highlight w:val="none"/>
          <w:lang w:val="en-US" w:eastAsia="zh-CN" w:bidi="ar-SA"/>
        </w:rPr>
        <w:t>充分发挥中医药在预防保健、诊疗康复、公共卫生应急等领域的独特优势。推动中医药与西医药在临床诊疗、科研创新、人才培养等方面协同发展，加强中医药特色专科建设和适宜技术推广，丰富卫生健康服务供给，助力健康中国建设。</w:t>
      </w:r>
    </w:p>
    <w:p w14:paraId="323E5656">
      <w:pPr>
        <w:numPr>
          <w:ilvl w:val="0"/>
          <w:numId w:val="2"/>
        </w:numPr>
        <w:spacing w:beforeLines="100" w:afterLines="100" w:line="360" w:lineRule="auto"/>
        <w:ind w:left="0" w:leftChars="0" w:firstLine="0" w:firstLineChars="0"/>
        <w:jc w:val="center"/>
        <w:outlineLvl w:val="1"/>
        <w:rPr>
          <w:rFonts w:ascii="黑体" w:hAnsi="黑体" w:eastAsia="黑体" w:cs="黑体"/>
          <w:b/>
          <w:color w:val="auto"/>
          <w:sz w:val="32"/>
          <w:szCs w:val="48"/>
          <w:highlight w:val="none"/>
        </w:rPr>
      </w:pPr>
      <w:bookmarkStart w:id="9" w:name="_Toc3845"/>
      <w:r>
        <w:rPr>
          <w:rFonts w:hint="eastAsia" w:ascii="黑体" w:hAnsi="黑体" w:eastAsia="黑体" w:cs="黑体"/>
          <w:b/>
          <w:color w:val="auto"/>
          <w:sz w:val="32"/>
          <w:szCs w:val="48"/>
          <w:highlight w:val="none"/>
        </w:rPr>
        <w:t>发展目标</w:t>
      </w:r>
      <w:bookmarkEnd w:id="9"/>
    </w:p>
    <w:p w14:paraId="152B29CA">
      <w:pPr>
        <w:pBdr>
          <w:bottom w:val="single" w:color="FFFFFF" w:sz="4" w:space="12"/>
        </w:pBdr>
        <w:autoSpaceDE w:val="0"/>
        <w:autoSpaceDN w:val="0"/>
        <w:snapToGrid w:val="0"/>
        <w:spacing w:line="360" w:lineRule="auto"/>
        <w:ind w:firstLine="643" w:firstLineChars="200"/>
        <w:contextualSpacing/>
        <w:rPr>
          <w:rFonts w:ascii="Times New Roman" w:hAnsi="Times New Roman" w:eastAsia="仿宋_GB2312" w:cs="Times New Roman"/>
          <w:b/>
          <w:bCs/>
          <w:color w:val="auto"/>
          <w:sz w:val="32"/>
          <w:szCs w:val="32"/>
          <w:highlight w:val="none"/>
        </w:rPr>
      </w:pPr>
      <w:r>
        <w:rPr>
          <w:rFonts w:hint="eastAsia" w:ascii="Times New Roman" w:hAnsi="Times New Roman" w:eastAsia="仿宋_GB2312" w:cs="Times New Roman"/>
          <w:b/>
          <w:bCs/>
          <w:color w:val="auto"/>
          <w:sz w:val="32"/>
          <w:szCs w:val="32"/>
          <w:highlight w:val="none"/>
        </w:rPr>
        <w:t>总体目标</w:t>
      </w:r>
    </w:p>
    <w:p w14:paraId="3E429BE3">
      <w:pPr>
        <w:pBdr>
          <w:bottom w:val="single" w:color="FFFFFF" w:sz="4" w:space="12"/>
        </w:pBdr>
        <w:autoSpaceDE w:val="0"/>
        <w:autoSpaceDN w:val="0"/>
        <w:snapToGrid w:val="0"/>
        <w:spacing w:line="360" w:lineRule="auto"/>
        <w:ind w:firstLine="640" w:firstLineChars="200"/>
        <w:contextualSpacing/>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到</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年，全面建成与</w:t>
      </w:r>
      <w:r>
        <w:rPr>
          <w:rFonts w:hint="eastAsia" w:ascii="Times New Roman" w:hAnsi="Times New Roman" w:eastAsia="仿宋_GB2312" w:cs="Times New Roman"/>
          <w:color w:val="auto"/>
          <w:sz w:val="32"/>
          <w:szCs w:val="32"/>
          <w:highlight w:val="none"/>
          <w:lang w:val="en-US" w:eastAsia="zh-CN"/>
        </w:rPr>
        <w:t>师</w:t>
      </w:r>
      <w:r>
        <w:rPr>
          <w:rFonts w:hint="eastAsia" w:ascii="Times New Roman" w:hAnsi="Times New Roman" w:eastAsia="仿宋_GB2312" w:cs="Times New Roman"/>
          <w:color w:val="auto"/>
          <w:sz w:val="32"/>
          <w:szCs w:val="32"/>
          <w:highlight w:val="none"/>
        </w:rPr>
        <w:t>市经济社会发展水平相适应、与人民群众健康需求相匹配的整合型卫生健康服务体系，健康融入所有政策机制全面建立。公共卫生防护网更加牢固，重大疾病防控和应急处置能力显著提升；优质医疗资源均衡布局取得重大突破，基层医疗卫生服务能力</w:t>
      </w:r>
      <w:r>
        <w:rPr>
          <w:rFonts w:hint="eastAsia" w:ascii="Times New Roman" w:hAnsi="Times New Roman" w:eastAsia="仿宋_GB2312" w:cs="Times New Roman"/>
          <w:color w:val="auto"/>
          <w:sz w:val="32"/>
          <w:szCs w:val="32"/>
          <w:highlight w:val="none"/>
          <w:lang w:val="en-US" w:eastAsia="zh-CN"/>
        </w:rPr>
        <w:t>显著</w:t>
      </w:r>
      <w:r>
        <w:rPr>
          <w:rFonts w:hint="eastAsia" w:ascii="Times New Roman" w:hAnsi="Times New Roman" w:eastAsia="仿宋_GB2312" w:cs="Times New Roman"/>
          <w:color w:val="auto"/>
          <w:sz w:val="32"/>
          <w:szCs w:val="32"/>
          <w:highlight w:val="none"/>
        </w:rPr>
        <w:t>增强；居民健康素养水平大幅提升；中医药传承创新发展成效显著；医药卫生体制改革纵深推进，“三医联动”协同治理效能充分释放。全方位全周期健康保障能力显著增强，基本建成健康宜居、人民满意的健康</w:t>
      </w:r>
      <w:r>
        <w:rPr>
          <w:rFonts w:hint="eastAsia" w:ascii="Times New Roman" w:hAnsi="Times New Roman" w:eastAsia="仿宋_GB2312" w:cs="Times New Roman"/>
          <w:color w:val="auto"/>
          <w:sz w:val="32"/>
          <w:szCs w:val="32"/>
          <w:highlight w:val="none"/>
          <w:lang w:val="en-US" w:eastAsia="zh-CN"/>
        </w:rPr>
        <w:t>城市</w:t>
      </w:r>
      <w:r>
        <w:rPr>
          <w:rFonts w:hint="eastAsia" w:ascii="Times New Roman" w:hAnsi="Times New Roman" w:eastAsia="仿宋_GB2312" w:cs="Times New Roman"/>
          <w:color w:val="auto"/>
          <w:sz w:val="32"/>
          <w:szCs w:val="32"/>
          <w:highlight w:val="none"/>
        </w:rPr>
        <w:t>，为基本实现社会主义现代化提供坚实健康支撑。</w:t>
      </w:r>
    </w:p>
    <w:p w14:paraId="56F98611">
      <w:pPr>
        <w:pBdr>
          <w:bottom w:val="single" w:color="FFFFFF" w:sz="4" w:space="12"/>
        </w:pBdr>
        <w:autoSpaceDE w:val="0"/>
        <w:autoSpaceDN w:val="0"/>
        <w:snapToGrid w:val="0"/>
        <w:spacing w:line="360" w:lineRule="auto"/>
        <w:ind w:firstLine="643" w:firstLineChars="200"/>
        <w:contextualSpacing/>
        <w:rPr>
          <w:rFonts w:ascii="Times New Roman" w:hAnsi="Times New Roman" w:eastAsia="仿宋_GB2312" w:cs="Times New Roman"/>
          <w:b/>
          <w:bCs/>
          <w:color w:val="auto"/>
          <w:sz w:val="32"/>
          <w:szCs w:val="32"/>
          <w:highlight w:val="none"/>
        </w:rPr>
      </w:pPr>
      <w:r>
        <w:rPr>
          <w:rFonts w:hint="eastAsia" w:ascii="Times New Roman" w:hAnsi="Times New Roman" w:eastAsia="仿宋_GB2312" w:cs="Times New Roman"/>
          <w:b/>
          <w:bCs/>
          <w:color w:val="auto"/>
          <w:sz w:val="32"/>
          <w:szCs w:val="32"/>
          <w:highlight w:val="none"/>
        </w:rPr>
        <w:t>具体目标</w:t>
      </w:r>
    </w:p>
    <w:p w14:paraId="21BD8E38">
      <w:pPr>
        <w:numPr>
          <w:ilvl w:val="0"/>
          <w:numId w:val="0"/>
        </w:numPr>
        <w:pBdr>
          <w:bottom w:val="single" w:color="FFFFFF" w:sz="4" w:space="12"/>
        </w:pBdr>
        <w:autoSpaceDE w:val="0"/>
        <w:autoSpaceDN w:val="0"/>
        <w:snapToGrid w:val="0"/>
        <w:spacing w:line="360" w:lineRule="auto"/>
        <w:ind w:firstLine="643" w:firstLineChars="200"/>
        <w:contextualSpacing/>
        <w:rPr>
          <w:rFonts w:hint="eastAsia" w:ascii="Times New Roman" w:hAnsi="Times New Roman" w:eastAsia="仿宋_GB2312" w:cs="Times New Roman"/>
          <w:b w:val="0"/>
          <w:bCs w:val="0"/>
          <w:color w:val="auto"/>
          <w:sz w:val="32"/>
          <w:szCs w:val="32"/>
          <w:highlight w:val="none"/>
          <w:lang w:eastAsia="zh-CN"/>
        </w:rPr>
      </w:pPr>
      <w:r>
        <w:rPr>
          <w:rFonts w:hint="eastAsia" w:ascii="Times New Roman" w:hAnsi="Times New Roman" w:eastAsia="仿宋_GB2312" w:cs="Times New Roman"/>
          <w:b/>
          <w:bCs/>
          <w:color w:val="auto"/>
          <w:sz w:val="32"/>
          <w:szCs w:val="32"/>
          <w:highlight w:val="none"/>
          <w:lang w:eastAsia="zh-CN"/>
        </w:rPr>
        <w:t>健康水平稳步提升。</w:t>
      </w:r>
      <w:r>
        <w:rPr>
          <w:rFonts w:hint="eastAsia" w:ascii="Times New Roman" w:hAnsi="Times New Roman" w:eastAsia="仿宋_GB2312" w:cs="Times New Roman"/>
          <w:b w:val="0"/>
          <w:bCs w:val="0"/>
          <w:color w:val="auto"/>
          <w:sz w:val="32"/>
          <w:szCs w:val="32"/>
          <w:highlight w:val="none"/>
          <w:lang w:eastAsia="zh-CN"/>
        </w:rPr>
        <w:t>居民核心健康指标持续优化，人均预期寿命稳步提高，婴儿死亡率、孕产妇死亡率等关键指标保持低位运行；居民健康素养全面提升，健康生活方式普遍形成，重点人群健康保障更加有力。</w:t>
      </w:r>
    </w:p>
    <w:p w14:paraId="3D111E60">
      <w:pPr>
        <w:numPr>
          <w:ilvl w:val="0"/>
          <w:numId w:val="0"/>
        </w:numPr>
        <w:pBdr>
          <w:bottom w:val="single" w:color="FFFFFF" w:sz="4" w:space="12"/>
        </w:pBdr>
        <w:autoSpaceDE w:val="0"/>
        <w:autoSpaceDN w:val="0"/>
        <w:snapToGrid w:val="0"/>
        <w:spacing w:line="360" w:lineRule="auto"/>
        <w:ind w:firstLine="643" w:firstLineChars="200"/>
        <w:contextualSpacing/>
        <w:rPr>
          <w:rFonts w:hint="eastAsia" w:ascii="Times New Roman" w:hAnsi="Times New Roman" w:eastAsia="仿宋_GB2312" w:cs="Times New Roman"/>
          <w:b w:val="0"/>
          <w:bCs w:val="0"/>
          <w:color w:val="auto"/>
          <w:sz w:val="32"/>
          <w:szCs w:val="32"/>
          <w:highlight w:val="none"/>
          <w:lang w:eastAsia="zh-CN"/>
        </w:rPr>
      </w:pPr>
      <w:r>
        <w:rPr>
          <w:rFonts w:hint="eastAsia" w:ascii="Times New Roman" w:hAnsi="Times New Roman" w:eastAsia="仿宋_GB2312" w:cs="Times New Roman"/>
          <w:b/>
          <w:bCs/>
          <w:color w:val="auto"/>
          <w:sz w:val="32"/>
          <w:szCs w:val="32"/>
          <w:highlight w:val="none"/>
          <w:lang w:eastAsia="zh-CN"/>
        </w:rPr>
        <w:t>公共卫生体系筑牢织密。</w:t>
      </w:r>
      <w:r>
        <w:rPr>
          <w:rFonts w:hint="eastAsia" w:ascii="Times New Roman" w:hAnsi="Times New Roman" w:eastAsia="仿宋_GB2312" w:cs="Times New Roman"/>
          <w:b w:val="0"/>
          <w:bCs w:val="0"/>
          <w:color w:val="auto"/>
          <w:sz w:val="32"/>
          <w:szCs w:val="32"/>
          <w:highlight w:val="none"/>
          <w:lang w:eastAsia="zh-CN"/>
        </w:rPr>
        <w:t>疾病预防控制体系能力显著增强，重大传染病疫情早发现、早预警、早处置能力全面提升，突发公共卫生事件应急响应效率大幅提高；慢性病综合防治成效凸显，家庭医生签约服务质量持续优化，</w:t>
      </w:r>
      <w:r>
        <w:rPr>
          <w:rFonts w:hint="eastAsia" w:ascii="Times New Roman" w:hAnsi="Times New Roman" w:eastAsia="仿宋_GB2312" w:cs="Times New Roman"/>
          <w:b w:val="0"/>
          <w:bCs w:val="0"/>
          <w:color w:val="auto"/>
          <w:sz w:val="32"/>
          <w:szCs w:val="32"/>
          <w:highlight w:val="none"/>
          <w:lang w:val="en-US" w:eastAsia="zh-CN"/>
        </w:rPr>
        <w:t>妇幼、</w:t>
      </w:r>
      <w:r>
        <w:rPr>
          <w:rFonts w:hint="eastAsia" w:ascii="Times New Roman" w:hAnsi="Times New Roman" w:eastAsia="仿宋_GB2312" w:cs="Times New Roman"/>
          <w:b w:val="0"/>
          <w:bCs w:val="0"/>
          <w:color w:val="auto"/>
          <w:sz w:val="32"/>
          <w:szCs w:val="32"/>
          <w:highlight w:val="none"/>
          <w:lang w:eastAsia="zh-CN"/>
        </w:rPr>
        <w:t>精神卫生、职业健康等公共卫生服务供给不断充足。</w:t>
      </w:r>
    </w:p>
    <w:p w14:paraId="05AF09FC">
      <w:pPr>
        <w:pBdr>
          <w:bottom w:val="single" w:color="FFFFFF" w:sz="4" w:space="12"/>
        </w:pBdr>
        <w:autoSpaceDE w:val="0"/>
        <w:autoSpaceDN w:val="0"/>
        <w:snapToGrid w:val="0"/>
        <w:spacing w:line="360" w:lineRule="auto"/>
        <w:ind w:firstLine="643" w:firstLineChars="200"/>
        <w:contextualSpacing/>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lang w:eastAsia="zh-CN"/>
        </w:rPr>
        <w:t>医疗服务</w:t>
      </w:r>
      <w:r>
        <w:rPr>
          <w:rFonts w:hint="eastAsia" w:ascii="Times New Roman" w:hAnsi="Times New Roman" w:eastAsia="仿宋_GB2312" w:cs="Times New Roman"/>
          <w:b/>
          <w:bCs/>
          <w:color w:val="auto"/>
          <w:sz w:val="32"/>
          <w:szCs w:val="32"/>
          <w:highlight w:val="none"/>
          <w:lang w:val="en-US" w:eastAsia="zh-CN"/>
        </w:rPr>
        <w:t>水平</w:t>
      </w:r>
      <w:r>
        <w:rPr>
          <w:rFonts w:hint="eastAsia" w:ascii="Times New Roman" w:hAnsi="Times New Roman" w:eastAsia="仿宋_GB2312" w:cs="Times New Roman"/>
          <w:b/>
          <w:bCs/>
          <w:color w:val="auto"/>
          <w:sz w:val="32"/>
          <w:szCs w:val="32"/>
          <w:highlight w:val="none"/>
          <w:lang w:eastAsia="zh-CN"/>
        </w:rPr>
        <w:t>持续</w:t>
      </w:r>
      <w:r>
        <w:rPr>
          <w:rFonts w:hint="eastAsia" w:ascii="Times New Roman" w:hAnsi="Times New Roman" w:eastAsia="仿宋_GB2312" w:cs="Times New Roman"/>
          <w:b/>
          <w:bCs/>
          <w:color w:val="auto"/>
          <w:sz w:val="32"/>
          <w:szCs w:val="32"/>
          <w:highlight w:val="none"/>
          <w:lang w:val="en-US" w:eastAsia="zh-CN"/>
        </w:rPr>
        <w:t>提升</w:t>
      </w:r>
      <w:r>
        <w:rPr>
          <w:rFonts w:hint="eastAsia" w:ascii="Times New Roman" w:hAnsi="Times New Roman" w:eastAsia="仿宋_GB2312" w:cs="Times New Roman"/>
          <w:b/>
          <w:bCs/>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eastAsia="zh-CN"/>
        </w:rPr>
        <w:t>分级诊疗格局基本形成，优质医疗资源均衡布局取得突破性进展。</w:t>
      </w:r>
      <w:r>
        <w:rPr>
          <w:rFonts w:hint="eastAsia" w:ascii="Times New Roman" w:hAnsi="Times New Roman" w:eastAsia="仿宋_GB2312" w:cs="Times New Roman"/>
          <w:b w:val="0"/>
          <w:bCs w:val="0"/>
          <w:color w:val="auto"/>
          <w:sz w:val="32"/>
          <w:szCs w:val="32"/>
          <w:highlight w:val="none"/>
          <w:lang w:val="en-US" w:eastAsia="zh-CN"/>
        </w:rPr>
        <w:t>第五师</w:t>
      </w:r>
      <w:r>
        <w:rPr>
          <w:rFonts w:hint="eastAsia" w:ascii="Times New Roman" w:hAnsi="Times New Roman" w:eastAsia="仿宋_GB2312" w:cs="Times New Roman"/>
          <w:b w:val="0"/>
          <w:bCs w:val="0"/>
          <w:color w:val="auto"/>
          <w:sz w:val="32"/>
          <w:szCs w:val="32"/>
          <w:highlight w:val="none"/>
          <w:lang w:eastAsia="zh-CN"/>
        </w:rPr>
        <w:t>医院疑难重症救治能力与基层机构常见病多发病诊治能力同步增强。就医流程持续优化，群众就医体验</w:t>
      </w:r>
      <w:r>
        <w:rPr>
          <w:rFonts w:hint="eastAsia" w:ascii="Times New Roman" w:hAnsi="Times New Roman" w:eastAsia="仿宋_GB2312" w:cs="Times New Roman"/>
          <w:b w:val="0"/>
          <w:bCs w:val="0"/>
          <w:color w:val="auto"/>
          <w:sz w:val="32"/>
          <w:szCs w:val="32"/>
          <w:highlight w:val="none"/>
          <w:lang w:val="en-US" w:eastAsia="zh-CN"/>
        </w:rPr>
        <w:t>不断提升</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医防融合机制不断完善，医防高效协同。</w:t>
      </w:r>
      <w:r>
        <w:rPr>
          <w:rFonts w:hint="eastAsia" w:ascii="Times New Roman" w:hAnsi="Times New Roman" w:eastAsia="仿宋_GB2312" w:cs="Times New Roman"/>
          <w:color w:val="auto"/>
          <w:sz w:val="32"/>
          <w:szCs w:val="32"/>
          <w:highlight w:val="none"/>
        </w:rPr>
        <w:t>聚力建设“医养之城”</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积极</w:t>
      </w:r>
      <w:r>
        <w:rPr>
          <w:rFonts w:hint="eastAsia" w:ascii="Times New Roman" w:hAnsi="Times New Roman" w:eastAsia="仿宋_GB2312" w:cs="Times New Roman"/>
          <w:color w:val="auto"/>
          <w:sz w:val="32"/>
          <w:szCs w:val="32"/>
          <w:highlight w:val="none"/>
          <w:lang w:val="en-US" w:eastAsia="zh-CN"/>
        </w:rPr>
        <w:t>提升</w:t>
      </w:r>
      <w:r>
        <w:rPr>
          <w:rFonts w:hint="eastAsia" w:ascii="Times New Roman" w:hAnsi="Times New Roman" w:eastAsia="仿宋_GB2312" w:cs="Times New Roman"/>
          <w:color w:val="auto"/>
          <w:sz w:val="32"/>
          <w:szCs w:val="32"/>
          <w:highlight w:val="none"/>
        </w:rPr>
        <w:t>团场医院医养结合服务</w:t>
      </w:r>
      <w:r>
        <w:rPr>
          <w:rFonts w:hint="eastAsia" w:ascii="Times New Roman" w:hAnsi="Times New Roman" w:eastAsia="仿宋_GB2312" w:cs="Times New Roman"/>
          <w:color w:val="auto"/>
          <w:sz w:val="32"/>
          <w:szCs w:val="32"/>
          <w:highlight w:val="none"/>
          <w:lang w:val="en-US" w:eastAsia="zh-CN"/>
        </w:rPr>
        <w:t>水平</w:t>
      </w:r>
      <w:r>
        <w:rPr>
          <w:rFonts w:hint="eastAsia" w:ascii="Times New Roman" w:hAnsi="Times New Roman" w:eastAsia="仿宋_GB2312" w:cs="Times New Roman"/>
          <w:color w:val="auto"/>
          <w:sz w:val="32"/>
          <w:szCs w:val="32"/>
          <w:highlight w:val="none"/>
        </w:rPr>
        <w:t>，引导基层医疗卫生机构向医疗、康复、养老融合转型。</w:t>
      </w:r>
    </w:p>
    <w:p w14:paraId="236D5AFE">
      <w:pPr>
        <w:numPr>
          <w:ilvl w:val="0"/>
          <w:numId w:val="0"/>
        </w:numPr>
        <w:pBdr>
          <w:bottom w:val="single" w:color="FFFFFF" w:sz="4" w:space="12"/>
        </w:pBdr>
        <w:autoSpaceDE w:val="0"/>
        <w:autoSpaceDN w:val="0"/>
        <w:snapToGrid w:val="0"/>
        <w:spacing w:line="360" w:lineRule="auto"/>
        <w:ind w:firstLine="643" w:firstLineChars="200"/>
        <w:contextualSpacing/>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eastAsia="zh-CN"/>
        </w:rPr>
        <w:t>资源配置更加优质均衡。</w:t>
      </w:r>
      <w:r>
        <w:rPr>
          <w:rFonts w:hint="eastAsia" w:ascii="Times New Roman" w:hAnsi="Times New Roman" w:eastAsia="仿宋_GB2312" w:cs="Times New Roman"/>
          <w:b w:val="0"/>
          <w:bCs w:val="0"/>
          <w:color w:val="auto"/>
          <w:sz w:val="32"/>
          <w:szCs w:val="32"/>
          <w:highlight w:val="none"/>
          <w:lang w:eastAsia="zh-CN"/>
        </w:rPr>
        <w:t>卫生健康资源总量稳步增长，城乡、区域间资源分布差距显著缩小，</w:t>
      </w:r>
      <w:r>
        <w:rPr>
          <w:rFonts w:hint="eastAsia" w:ascii="Times New Roman" w:hAnsi="Times New Roman" w:eastAsia="仿宋_GB2312" w:cs="Times New Roman"/>
          <w:b w:val="0"/>
          <w:bCs w:val="0"/>
          <w:color w:val="auto"/>
          <w:sz w:val="32"/>
          <w:szCs w:val="32"/>
          <w:highlight w:val="none"/>
          <w:lang w:val="en-US" w:eastAsia="zh-CN"/>
        </w:rPr>
        <w:t>补齐基层医疗卫生机构建设短板</w:t>
      </w:r>
      <w:r>
        <w:rPr>
          <w:rFonts w:hint="eastAsia" w:ascii="Times New Roman" w:hAnsi="Times New Roman" w:eastAsia="仿宋_GB2312" w:cs="Times New Roman"/>
          <w:b w:val="0"/>
          <w:bCs w:val="0"/>
          <w:color w:val="auto"/>
          <w:sz w:val="32"/>
          <w:szCs w:val="32"/>
          <w:highlight w:val="none"/>
          <w:lang w:eastAsia="zh-CN"/>
        </w:rPr>
        <w:t>，基层医疗卫生机构标准化建设全面达标。人才队伍结构持续优化，服务能力显著增强，满足群众就近就医需求。</w:t>
      </w:r>
    </w:p>
    <w:p w14:paraId="298A7044">
      <w:pPr>
        <w:numPr>
          <w:ilvl w:val="0"/>
          <w:numId w:val="0"/>
        </w:numPr>
        <w:pBdr>
          <w:bottom w:val="single" w:color="FFFFFF" w:sz="4" w:space="12"/>
        </w:pBdr>
        <w:autoSpaceDE w:val="0"/>
        <w:autoSpaceDN w:val="0"/>
        <w:snapToGrid w:val="0"/>
        <w:spacing w:line="360" w:lineRule="auto"/>
        <w:ind w:firstLine="643" w:firstLineChars="200"/>
        <w:contextualSpacing/>
        <w:rPr>
          <w:rFonts w:hint="eastAsia" w:ascii="Times New Roman" w:hAnsi="Times New Roman" w:eastAsia="仿宋_GB2312" w:cs="Times New Roman"/>
          <w:b/>
          <w:bCs/>
          <w:color w:val="auto"/>
          <w:sz w:val="32"/>
          <w:szCs w:val="32"/>
          <w:highlight w:val="none"/>
          <w:lang w:eastAsia="zh-CN"/>
        </w:rPr>
      </w:pPr>
      <w:r>
        <w:rPr>
          <w:rFonts w:hint="eastAsia" w:ascii="Times New Roman" w:hAnsi="Times New Roman" w:eastAsia="仿宋_GB2312" w:cs="Times New Roman"/>
          <w:b/>
          <w:bCs/>
          <w:color w:val="auto"/>
          <w:sz w:val="32"/>
          <w:szCs w:val="32"/>
          <w:highlight w:val="none"/>
          <w:lang w:eastAsia="zh-CN"/>
        </w:rPr>
        <w:t>改革创新效能充分释放。</w:t>
      </w:r>
      <w:r>
        <w:rPr>
          <w:rFonts w:hint="eastAsia" w:ascii="Times New Roman" w:hAnsi="Times New Roman" w:eastAsia="仿宋_GB2312" w:cs="Times New Roman"/>
          <w:b w:val="0"/>
          <w:bCs w:val="0"/>
          <w:color w:val="auto"/>
          <w:sz w:val="32"/>
          <w:szCs w:val="32"/>
          <w:highlight w:val="none"/>
          <w:lang w:eastAsia="zh-CN"/>
        </w:rPr>
        <w:t>“三医联动”协同治理机制更加成熟，现代医院管理制度全面建立。编制管理、薪酬分配、服务价格、综合监管及政府投入等改革统筹推进，重点领域取得积极进展。医保支付方式改革纵深推进，药品耗材集中采购成效持续巩固，群众就医负担稳步减轻。卫生健康信息化互联互通水平显著提升，数据共享应用效能逐步发挥。</w:t>
      </w:r>
    </w:p>
    <w:p w14:paraId="31EB6813">
      <w:pPr>
        <w:numPr>
          <w:ilvl w:val="0"/>
          <w:numId w:val="0"/>
        </w:numPr>
        <w:pBdr>
          <w:bottom w:val="single" w:color="FFFFFF" w:sz="4" w:space="12"/>
        </w:pBdr>
        <w:autoSpaceDE w:val="0"/>
        <w:autoSpaceDN w:val="0"/>
        <w:snapToGrid w:val="0"/>
        <w:spacing w:line="360" w:lineRule="auto"/>
        <w:ind w:firstLine="643" w:firstLineChars="200"/>
        <w:contextualSpacing/>
        <w:rPr>
          <w:rFonts w:hint="eastAsia" w:ascii="Times New Roman" w:hAnsi="Times New Roman" w:eastAsia="仿宋_GB2312" w:cs="Times New Roman"/>
          <w:b w:val="0"/>
          <w:bCs w:val="0"/>
          <w:color w:val="auto"/>
          <w:sz w:val="32"/>
          <w:szCs w:val="32"/>
          <w:highlight w:val="none"/>
          <w:lang w:eastAsia="zh-CN"/>
        </w:rPr>
      </w:pPr>
      <w:r>
        <w:rPr>
          <w:rFonts w:hint="eastAsia" w:ascii="Times New Roman" w:hAnsi="Times New Roman" w:eastAsia="仿宋_GB2312" w:cs="Times New Roman"/>
          <w:b/>
          <w:bCs/>
          <w:color w:val="auto"/>
          <w:sz w:val="32"/>
          <w:szCs w:val="32"/>
          <w:highlight w:val="none"/>
          <w:lang w:eastAsia="zh-CN"/>
        </w:rPr>
        <w:t>中医药传承创新发展稳步推进。</w:t>
      </w:r>
      <w:r>
        <w:rPr>
          <w:rFonts w:hint="eastAsia" w:ascii="Times New Roman" w:hAnsi="Times New Roman" w:eastAsia="仿宋_GB2312" w:cs="Times New Roman"/>
          <w:b w:val="0"/>
          <w:bCs w:val="0"/>
          <w:color w:val="auto"/>
          <w:sz w:val="32"/>
          <w:szCs w:val="32"/>
          <w:highlight w:val="none"/>
          <w:lang w:eastAsia="zh-CN"/>
        </w:rPr>
        <w:t>中医药服务体系更加完善，在治未病、疾病治疗和康复中的独特优势得到充分发挥，</w:t>
      </w:r>
      <w:r>
        <w:rPr>
          <w:rFonts w:hint="eastAsia" w:ascii="Times New Roman" w:hAnsi="Times New Roman" w:eastAsia="仿宋_GB2312" w:cs="Times New Roman"/>
          <w:b w:val="0"/>
          <w:bCs w:val="0"/>
          <w:color w:val="auto"/>
          <w:sz w:val="32"/>
          <w:szCs w:val="32"/>
          <w:highlight w:val="none"/>
          <w:lang w:val="en-US" w:eastAsia="zh-CN"/>
        </w:rPr>
        <w:t>中医药</w:t>
      </w:r>
      <w:r>
        <w:rPr>
          <w:rFonts w:hint="eastAsia" w:ascii="Times New Roman" w:hAnsi="Times New Roman" w:eastAsia="仿宋_GB2312" w:cs="Times New Roman"/>
          <w:b w:val="0"/>
          <w:bCs w:val="0"/>
          <w:color w:val="auto"/>
          <w:sz w:val="32"/>
          <w:szCs w:val="32"/>
          <w:highlight w:val="none"/>
          <w:lang w:eastAsia="zh-CN"/>
        </w:rPr>
        <w:t>服务能力与品牌影响力显著提升。</w:t>
      </w:r>
      <w:r>
        <w:rPr>
          <w:rFonts w:hint="eastAsia" w:ascii="Times New Roman" w:hAnsi="Times New Roman" w:eastAsia="仿宋_GB2312" w:cs="Times New Roman"/>
          <w:b w:val="0"/>
          <w:bCs w:val="0"/>
          <w:color w:val="auto"/>
          <w:sz w:val="32"/>
          <w:szCs w:val="32"/>
          <w:highlight w:val="none"/>
          <w:lang w:val="en-US" w:eastAsia="zh-CN"/>
        </w:rPr>
        <w:t>第五师</w:t>
      </w:r>
      <w:r>
        <w:rPr>
          <w:rFonts w:hint="eastAsia" w:ascii="Times New Roman" w:hAnsi="Times New Roman" w:eastAsia="仿宋_GB2312" w:cs="Times New Roman"/>
          <w:b w:val="0"/>
          <w:bCs w:val="0"/>
          <w:color w:val="auto"/>
          <w:sz w:val="32"/>
          <w:szCs w:val="32"/>
          <w:highlight w:val="none"/>
          <w:lang w:eastAsia="zh-CN"/>
        </w:rPr>
        <w:t>中医医院在巩固二甲创建成果基础上，稳步推进三甲创建工作。</w:t>
      </w:r>
    </w:p>
    <w:p w14:paraId="45E1D49F">
      <w:pPr>
        <w:pBdr>
          <w:bottom w:val="single" w:color="FFFFFF" w:sz="4" w:space="12"/>
        </w:pBdr>
        <w:autoSpaceDE w:val="0"/>
        <w:autoSpaceDN w:val="0"/>
        <w:snapToGrid w:val="0"/>
        <w:spacing w:line="360" w:lineRule="auto"/>
        <w:ind w:firstLine="643" w:firstLineChars="200"/>
        <w:contextualSpacing/>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援疆帮扶长效机制更加健全。</w:t>
      </w:r>
      <w:r>
        <w:rPr>
          <w:rFonts w:hint="eastAsia" w:ascii="Times New Roman" w:hAnsi="Times New Roman" w:eastAsia="仿宋_GB2312" w:cs="Times New Roman"/>
          <w:color w:val="auto"/>
          <w:sz w:val="32"/>
          <w:szCs w:val="32"/>
          <w:highlight w:val="none"/>
        </w:rPr>
        <w:t>推动由“短期输血”向“长期造血”转变，实现人才培养常态化、学科建设体系化和医疗服务精准化，通过援疆帮扶推动卫生健康事业发展。</w:t>
      </w:r>
    </w:p>
    <w:p w14:paraId="7DD2F59A">
      <w:pPr>
        <w:spacing w:line="360" w:lineRule="auto"/>
        <w:jc w:val="center"/>
        <w:rPr>
          <w:rFonts w:hint="default" w:ascii="Times New Roman" w:hAnsi="Times New Roman" w:eastAsia="黑体" w:cs="Times New Roman"/>
          <w:b/>
          <w:bCs/>
          <w:color w:val="auto"/>
          <w:sz w:val="32"/>
          <w:szCs w:val="32"/>
          <w:highlight w:val="none"/>
          <w:lang w:val="en-US" w:eastAsia="zh-CN"/>
        </w:rPr>
      </w:pPr>
      <w:r>
        <w:rPr>
          <w:rFonts w:hint="eastAsia"/>
          <w:color w:val="auto"/>
          <w:highlight w:val="none"/>
          <w:lang w:eastAsia="zh-CN"/>
        </w:rPr>
        <w:br w:type="page"/>
      </w:r>
      <w:r>
        <w:rPr>
          <w:rFonts w:ascii="Times New Roman" w:hAnsi="Times New Roman" w:eastAsia="黑体" w:cs="Times New Roman"/>
          <w:color w:val="auto"/>
          <w:sz w:val="32"/>
          <w:szCs w:val="32"/>
          <w:highlight w:val="none"/>
        </w:rPr>
        <w:t>“十五五”时期</w:t>
      </w:r>
      <w:r>
        <w:rPr>
          <w:rFonts w:hint="eastAsia" w:ascii="Times New Roman" w:hAnsi="Times New Roman" w:eastAsia="黑体" w:cs="Times New Roman"/>
          <w:color w:val="auto"/>
          <w:sz w:val="32"/>
          <w:szCs w:val="32"/>
          <w:highlight w:val="none"/>
        </w:rPr>
        <w:t>第</w:t>
      </w:r>
      <w:r>
        <w:rPr>
          <w:rFonts w:ascii="Times New Roman" w:hAnsi="Times New Roman" w:eastAsia="黑体" w:cs="Times New Roman"/>
          <w:color w:val="auto"/>
          <w:sz w:val="32"/>
          <w:szCs w:val="32"/>
          <w:highlight w:val="none"/>
        </w:rPr>
        <w:t>五师卫生健康事业发展主要</w:t>
      </w:r>
      <w:r>
        <w:rPr>
          <w:rFonts w:hint="eastAsia" w:ascii="Times New Roman" w:hAnsi="Times New Roman" w:eastAsia="黑体" w:cs="Times New Roman"/>
          <w:color w:val="auto"/>
          <w:sz w:val="32"/>
          <w:szCs w:val="32"/>
          <w:highlight w:val="none"/>
        </w:rPr>
        <w:t>预期</w:t>
      </w:r>
      <w:r>
        <w:rPr>
          <w:rFonts w:ascii="Times New Roman" w:hAnsi="Times New Roman" w:eastAsia="黑体" w:cs="Times New Roman"/>
          <w:color w:val="auto"/>
          <w:sz w:val="32"/>
          <w:szCs w:val="32"/>
          <w:highlight w:val="none"/>
        </w:rPr>
        <w:t>指标</w:t>
      </w:r>
    </w:p>
    <w:tbl>
      <w:tblPr>
        <w:tblStyle w:val="15"/>
        <w:tblW w:w="9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1"/>
        <w:gridCol w:w="693"/>
        <w:gridCol w:w="4578"/>
        <w:gridCol w:w="988"/>
        <w:gridCol w:w="1027"/>
        <w:gridCol w:w="1219"/>
      </w:tblGrid>
      <w:tr w14:paraId="3DEFF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401" w:type="dxa"/>
            <w:vAlign w:val="center"/>
          </w:tcPr>
          <w:p w14:paraId="4ECC1A1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Times New Roman" w:hAnsi="Times New Roman" w:eastAsia="黑体" w:cs="Times New Roman"/>
                <w:b w:val="0"/>
                <w:bCs/>
                <w:color w:val="auto"/>
                <w:spacing w:val="-20"/>
                <w:sz w:val="24"/>
                <w:szCs w:val="24"/>
                <w:highlight w:val="none"/>
              </w:rPr>
            </w:pPr>
            <w:bookmarkStart w:id="10" w:name="OLE_LINK5" w:colFirst="0" w:colLast="4"/>
            <w:r>
              <w:rPr>
                <w:rFonts w:hint="eastAsia" w:ascii="Times New Roman" w:hAnsi="Times New Roman" w:eastAsia="黑体" w:cs="Times New Roman"/>
                <w:b w:val="0"/>
                <w:bCs/>
                <w:color w:val="auto"/>
                <w:spacing w:val="-20"/>
                <w:sz w:val="24"/>
                <w:szCs w:val="24"/>
                <w:highlight w:val="none"/>
              </w:rPr>
              <w:t>领域</w:t>
            </w:r>
          </w:p>
        </w:tc>
        <w:tc>
          <w:tcPr>
            <w:tcW w:w="693" w:type="dxa"/>
            <w:vAlign w:val="center"/>
          </w:tcPr>
          <w:p w14:paraId="350333D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黑体" w:cs="Times New Roman"/>
                <w:b w:val="0"/>
                <w:bCs/>
                <w:color w:val="auto"/>
                <w:spacing w:val="-20"/>
                <w:sz w:val="24"/>
                <w:szCs w:val="24"/>
                <w:highlight w:val="none"/>
              </w:rPr>
            </w:pPr>
            <w:r>
              <w:rPr>
                <w:rFonts w:hint="eastAsia" w:ascii="Times New Roman" w:hAnsi="Times New Roman" w:eastAsia="黑体" w:cs="Times New Roman"/>
                <w:b w:val="0"/>
                <w:bCs/>
                <w:color w:val="auto"/>
                <w:spacing w:val="-20"/>
                <w:sz w:val="24"/>
                <w:szCs w:val="24"/>
                <w:highlight w:val="none"/>
              </w:rPr>
              <w:t>序号</w:t>
            </w:r>
          </w:p>
        </w:tc>
        <w:tc>
          <w:tcPr>
            <w:tcW w:w="4578" w:type="dxa"/>
            <w:vAlign w:val="center"/>
          </w:tcPr>
          <w:p w14:paraId="036F482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黑体" w:cs="Times New Roman"/>
                <w:b w:val="0"/>
                <w:bCs/>
                <w:color w:val="auto"/>
                <w:spacing w:val="-20"/>
                <w:sz w:val="24"/>
                <w:szCs w:val="24"/>
                <w:highlight w:val="none"/>
              </w:rPr>
            </w:pPr>
            <w:r>
              <w:rPr>
                <w:rFonts w:hint="eastAsia" w:ascii="Times New Roman" w:hAnsi="Times New Roman" w:eastAsia="黑体" w:cs="Times New Roman"/>
                <w:b w:val="0"/>
                <w:bCs/>
                <w:color w:val="auto"/>
                <w:spacing w:val="-20"/>
                <w:sz w:val="24"/>
                <w:szCs w:val="24"/>
                <w:highlight w:val="none"/>
              </w:rPr>
              <w:t>主要指标</w:t>
            </w:r>
          </w:p>
        </w:tc>
        <w:tc>
          <w:tcPr>
            <w:tcW w:w="988" w:type="dxa"/>
            <w:vAlign w:val="center"/>
          </w:tcPr>
          <w:p w14:paraId="027AD47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val="0"/>
                <w:bCs/>
                <w:color w:val="auto"/>
                <w:spacing w:val="-20"/>
                <w:sz w:val="24"/>
                <w:szCs w:val="24"/>
                <w:highlight w:val="none"/>
                <w:lang w:val="en-US" w:eastAsia="zh-CN"/>
              </w:rPr>
            </w:pPr>
            <w:r>
              <w:rPr>
                <w:rFonts w:hint="eastAsia" w:ascii="Times New Roman" w:hAnsi="Times New Roman" w:eastAsia="黑体" w:cs="Times New Roman"/>
                <w:b w:val="0"/>
                <w:bCs/>
                <w:color w:val="auto"/>
                <w:spacing w:val="-20"/>
                <w:sz w:val="24"/>
                <w:szCs w:val="24"/>
                <w:highlight w:val="none"/>
                <w:lang w:val="en-US" w:eastAsia="zh-CN"/>
              </w:rPr>
              <w:t>****年</w:t>
            </w:r>
          </w:p>
        </w:tc>
        <w:tc>
          <w:tcPr>
            <w:tcW w:w="1027" w:type="dxa"/>
            <w:vAlign w:val="center"/>
          </w:tcPr>
          <w:p w14:paraId="5982D6E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黑体" w:cs="Times New Roman"/>
                <w:b w:val="0"/>
                <w:bCs/>
                <w:color w:val="auto"/>
                <w:spacing w:val="-20"/>
                <w:sz w:val="24"/>
                <w:szCs w:val="24"/>
                <w:highlight w:val="none"/>
              </w:rPr>
            </w:pPr>
            <w:r>
              <w:rPr>
                <w:rFonts w:hint="eastAsia" w:ascii="Times New Roman" w:hAnsi="Times New Roman" w:eastAsia="黑体" w:cs="Times New Roman"/>
                <w:b w:val="0"/>
                <w:bCs/>
                <w:color w:val="auto"/>
                <w:spacing w:val="-20"/>
                <w:sz w:val="24"/>
                <w:szCs w:val="24"/>
                <w:highlight w:val="none"/>
                <w:lang w:eastAsia="zh-CN"/>
              </w:rPr>
              <w:t>****</w:t>
            </w:r>
            <w:r>
              <w:rPr>
                <w:rFonts w:hint="eastAsia" w:ascii="Times New Roman" w:hAnsi="Times New Roman" w:eastAsia="黑体" w:cs="Times New Roman"/>
                <w:b w:val="0"/>
                <w:bCs/>
                <w:color w:val="auto"/>
                <w:spacing w:val="-20"/>
                <w:sz w:val="24"/>
                <w:szCs w:val="24"/>
                <w:highlight w:val="none"/>
              </w:rPr>
              <w:t>年</w:t>
            </w:r>
          </w:p>
        </w:tc>
        <w:tc>
          <w:tcPr>
            <w:tcW w:w="1219" w:type="dxa"/>
            <w:vAlign w:val="center"/>
          </w:tcPr>
          <w:p w14:paraId="1AF6081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黑体" w:cs="Times New Roman"/>
                <w:b w:val="0"/>
                <w:bCs/>
                <w:color w:val="auto"/>
                <w:spacing w:val="-20"/>
                <w:sz w:val="24"/>
                <w:szCs w:val="24"/>
                <w:highlight w:val="none"/>
              </w:rPr>
            </w:pPr>
            <w:r>
              <w:rPr>
                <w:rFonts w:hint="eastAsia" w:ascii="Times New Roman" w:hAnsi="Times New Roman" w:eastAsia="黑体" w:cs="Times New Roman"/>
                <w:b w:val="0"/>
                <w:bCs/>
                <w:color w:val="auto"/>
                <w:spacing w:val="-20"/>
                <w:sz w:val="24"/>
                <w:szCs w:val="24"/>
                <w:highlight w:val="none"/>
              </w:rPr>
              <w:t>指标属性</w:t>
            </w:r>
          </w:p>
        </w:tc>
      </w:tr>
      <w:tr w14:paraId="3E804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401" w:type="dxa"/>
            <w:vMerge w:val="restart"/>
            <w:vAlign w:val="center"/>
          </w:tcPr>
          <w:p w14:paraId="7EF4F481">
            <w:pPr>
              <w:snapToGrid w:val="0"/>
              <w:spacing w:line="360" w:lineRule="auto"/>
              <w:ind w:left="0" w:leftChars="0" w:right="0" w:rightChars="0" w:firstLine="0" w:firstLineChars="0"/>
              <w:jc w:val="center"/>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健康水平</w:t>
            </w:r>
          </w:p>
        </w:tc>
        <w:tc>
          <w:tcPr>
            <w:tcW w:w="693" w:type="dxa"/>
            <w:vAlign w:val="center"/>
          </w:tcPr>
          <w:p w14:paraId="40CCA515">
            <w:pPr>
              <w:snapToGrid w:val="0"/>
              <w:spacing w:line="360" w:lineRule="auto"/>
              <w:ind w:left="0" w:leftChars="0" w:right="0" w:rightChars="0" w:firstLine="0" w:firstLineChars="0"/>
              <w:jc w:val="center"/>
              <w:rPr>
                <w:rFonts w:hint="eastAsia" w:ascii="Times New Roman" w:hAnsi="Times New Roman" w:eastAsia="仿宋_GB2312" w:cs="Times New Roman"/>
                <w:color w:val="auto"/>
                <w:sz w:val="24"/>
                <w:szCs w:val="24"/>
                <w:highlight w:val="none"/>
                <w:lang w:eastAsia="zh-CN"/>
              </w:rPr>
            </w:pPr>
            <w:r>
              <w:rPr>
                <w:rFonts w:hint="eastAsia" w:ascii="Times New Roman" w:hAnsi="Times New Roman" w:eastAsia="仿宋_GB2312" w:cs="Times New Roman"/>
                <w:color w:val="auto"/>
                <w:sz w:val="24"/>
                <w:szCs w:val="24"/>
                <w:highlight w:val="none"/>
                <w:lang w:eastAsia="zh-CN"/>
              </w:rPr>
              <w:t>*</w:t>
            </w:r>
          </w:p>
        </w:tc>
        <w:tc>
          <w:tcPr>
            <w:tcW w:w="4578" w:type="dxa"/>
            <w:vAlign w:val="center"/>
          </w:tcPr>
          <w:p w14:paraId="0D217768">
            <w:pPr>
              <w:snapToGrid w:val="0"/>
              <w:spacing w:line="360" w:lineRule="auto"/>
              <w:ind w:left="0" w:leftChars="0" w:right="0" w:rightChars="0" w:firstLine="0" w:firstLineChars="0"/>
              <w:jc w:val="left"/>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人均预期寿命</w:t>
            </w:r>
            <w:r>
              <w:rPr>
                <w:rFonts w:hint="eastAsia" w:ascii="Times New Roman" w:hAnsi="Times New Roman" w:eastAsia="仿宋_GB2312" w:cs="Times New Roman"/>
                <w:color w:val="auto"/>
                <w:sz w:val="24"/>
                <w:szCs w:val="24"/>
                <w:highlight w:val="none"/>
              </w:rPr>
              <w:t>（岁）</w:t>
            </w:r>
          </w:p>
        </w:tc>
        <w:tc>
          <w:tcPr>
            <w:tcW w:w="988" w:type="dxa"/>
            <w:vAlign w:val="center"/>
          </w:tcPr>
          <w:p w14:paraId="6EB5E777">
            <w:pPr>
              <w:snapToGrid w:val="0"/>
              <w:spacing w:line="360" w:lineRule="auto"/>
              <w:ind w:left="0" w:leftChars="0" w:right="0" w:rightChars="0" w:firstLine="0" w:firstLineChars="0"/>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w:t>
            </w:r>
          </w:p>
        </w:tc>
        <w:tc>
          <w:tcPr>
            <w:tcW w:w="1027" w:type="dxa"/>
            <w:vAlign w:val="center"/>
          </w:tcPr>
          <w:p w14:paraId="6ACCF3CD">
            <w:pPr>
              <w:snapToGrid w:val="0"/>
              <w:spacing w:line="360" w:lineRule="auto"/>
              <w:ind w:left="0" w:leftChars="0" w:right="0" w:rightChars="0" w:firstLine="0" w:firstLineChars="0"/>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w:t>
            </w:r>
          </w:p>
        </w:tc>
        <w:tc>
          <w:tcPr>
            <w:tcW w:w="1219" w:type="dxa"/>
            <w:vAlign w:val="center"/>
          </w:tcPr>
          <w:p w14:paraId="63848CDF">
            <w:pPr>
              <w:snapToGrid w:val="0"/>
              <w:spacing w:line="360" w:lineRule="auto"/>
              <w:ind w:left="0" w:leftChars="0" w:right="0" w:rightChars="0" w:firstLine="0" w:firstLineChars="0"/>
              <w:jc w:val="center"/>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预期性</w:t>
            </w:r>
          </w:p>
        </w:tc>
      </w:tr>
      <w:tr w14:paraId="5F450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1" w:type="dxa"/>
            <w:vMerge w:val="continue"/>
            <w:vAlign w:val="center"/>
          </w:tcPr>
          <w:p w14:paraId="3500400F">
            <w:pPr>
              <w:snapToGrid w:val="0"/>
              <w:spacing w:line="360" w:lineRule="auto"/>
              <w:ind w:left="0" w:leftChars="0" w:right="0" w:rightChars="0" w:firstLine="0" w:firstLineChars="0"/>
              <w:jc w:val="center"/>
              <w:rPr>
                <w:rFonts w:ascii="Times New Roman" w:hAnsi="Times New Roman" w:eastAsia="仿宋_GB2312" w:cs="Times New Roman"/>
                <w:color w:val="auto"/>
                <w:sz w:val="24"/>
                <w:szCs w:val="24"/>
                <w:highlight w:val="none"/>
              </w:rPr>
            </w:pPr>
          </w:p>
        </w:tc>
        <w:tc>
          <w:tcPr>
            <w:tcW w:w="693" w:type="dxa"/>
            <w:vAlign w:val="center"/>
          </w:tcPr>
          <w:p w14:paraId="4167BCAC">
            <w:pPr>
              <w:snapToGrid w:val="0"/>
              <w:spacing w:line="360" w:lineRule="auto"/>
              <w:ind w:left="0" w:leftChars="0" w:right="0" w:rightChars="0" w:firstLine="0" w:firstLineChars="0"/>
              <w:jc w:val="center"/>
              <w:rPr>
                <w:rFonts w:hint="eastAsia" w:ascii="Times New Roman" w:hAnsi="Times New Roman" w:eastAsia="仿宋_GB2312" w:cs="Times New Roman"/>
                <w:color w:val="auto"/>
                <w:sz w:val="24"/>
                <w:szCs w:val="24"/>
                <w:highlight w:val="none"/>
                <w:lang w:eastAsia="zh-CN"/>
              </w:rPr>
            </w:pPr>
            <w:r>
              <w:rPr>
                <w:rFonts w:hint="eastAsia" w:ascii="Times New Roman" w:hAnsi="Times New Roman" w:eastAsia="仿宋_GB2312" w:cs="Times New Roman"/>
                <w:color w:val="auto"/>
                <w:sz w:val="24"/>
                <w:szCs w:val="24"/>
                <w:highlight w:val="none"/>
                <w:lang w:eastAsia="zh-CN"/>
              </w:rPr>
              <w:t>*</w:t>
            </w:r>
          </w:p>
        </w:tc>
        <w:tc>
          <w:tcPr>
            <w:tcW w:w="4578" w:type="dxa"/>
            <w:vAlign w:val="center"/>
          </w:tcPr>
          <w:p w14:paraId="30EE319B">
            <w:pPr>
              <w:snapToGrid w:val="0"/>
              <w:spacing w:line="360" w:lineRule="auto"/>
              <w:ind w:left="0" w:leftChars="0" w:right="0" w:rightChars="0" w:firstLine="0" w:firstLineChars="0"/>
              <w:jc w:val="left"/>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rPr>
              <w:t>居民健康素养水平</w:t>
            </w:r>
            <w:r>
              <w:rPr>
                <w:rFonts w:hint="eastAsia" w:ascii="Times New Roman" w:hAnsi="Times New Roman" w:eastAsia="仿宋_GB2312" w:cs="Times New Roman"/>
                <w:color w:val="auto"/>
                <w:sz w:val="24"/>
                <w:szCs w:val="24"/>
                <w:highlight w:val="none"/>
                <w:lang w:eastAsia="zh-CN"/>
              </w:rPr>
              <w:t>（</w:t>
            </w:r>
            <w:r>
              <w:rPr>
                <w:rFonts w:hint="eastAsia" w:ascii="Times New Roman" w:hAnsi="Times New Roman" w:eastAsia="仿宋_GB2312" w:cs="Times New Roman"/>
                <w:color w:val="auto"/>
                <w:sz w:val="24"/>
                <w:szCs w:val="24"/>
                <w:highlight w:val="none"/>
                <w:lang w:val="en-US" w:eastAsia="zh-CN"/>
              </w:rPr>
              <w:t>%）</w:t>
            </w:r>
          </w:p>
        </w:tc>
        <w:tc>
          <w:tcPr>
            <w:tcW w:w="988" w:type="dxa"/>
            <w:vAlign w:val="center"/>
          </w:tcPr>
          <w:p w14:paraId="731C8EFB">
            <w:pPr>
              <w:snapToGrid w:val="0"/>
              <w:spacing w:line="360" w:lineRule="auto"/>
              <w:ind w:left="0" w:leftChars="0" w:right="0" w:rightChars="0" w:firstLine="0" w:firstLineChars="0"/>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w:t>
            </w:r>
          </w:p>
        </w:tc>
        <w:tc>
          <w:tcPr>
            <w:tcW w:w="1027" w:type="dxa"/>
            <w:vAlign w:val="center"/>
          </w:tcPr>
          <w:p w14:paraId="4CA9D883">
            <w:pPr>
              <w:snapToGrid w:val="0"/>
              <w:spacing w:line="360" w:lineRule="auto"/>
              <w:ind w:left="0" w:leftChars="0" w:right="0" w:rightChars="0" w:firstLine="0" w:firstLineChars="0"/>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w:t>
            </w:r>
          </w:p>
        </w:tc>
        <w:tc>
          <w:tcPr>
            <w:tcW w:w="1219" w:type="dxa"/>
            <w:vAlign w:val="center"/>
          </w:tcPr>
          <w:p w14:paraId="05E78DB0">
            <w:pPr>
              <w:snapToGrid w:val="0"/>
              <w:spacing w:line="360" w:lineRule="auto"/>
              <w:ind w:left="0" w:leftChars="0" w:right="0" w:rightChars="0" w:firstLine="0" w:firstLineChars="0"/>
              <w:jc w:val="center"/>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预期性</w:t>
            </w:r>
          </w:p>
        </w:tc>
      </w:tr>
      <w:tr w14:paraId="4B2C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1" w:type="dxa"/>
            <w:vMerge w:val="continue"/>
            <w:vAlign w:val="center"/>
          </w:tcPr>
          <w:p w14:paraId="72104BCF">
            <w:pPr>
              <w:snapToGrid w:val="0"/>
              <w:spacing w:line="360" w:lineRule="auto"/>
              <w:ind w:left="0" w:leftChars="0" w:right="0" w:rightChars="0" w:firstLine="0" w:firstLineChars="0"/>
              <w:jc w:val="center"/>
              <w:rPr>
                <w:rFonts w:ascii="Times New Roman" w:hAnsi="Times New Roman" w:eastAsia="仿宋_GB2312" w:cs="Times New Roman"/>
                <w:color w:val="auto"/>
                <w:sz w:val="24"/>
                <w:szCs w:val="24"/>
                <w:highlight w:val="none"/>
              </w:rPr>
            </w:pPr>
          </w:p>
        </w:tc>
        <w:tc>
          <w:tcPr>
            <w:tcW w:w="693" w:type="dxa"/>
            <w:shd w:val="clear" w:color="auto" w:fill="auto"/>
            <w:vAlign w:val="center"/>
          </w:tcPr>
          <w:p w14:paraId="59ED4C03">
            <w:pPr>
              <w:snapToGrid w:val="0"/>
              <w:spacing w:line="360" w:lineRule="auto"/>
              <w:ind w:left="0" w:leftChars="0" w:right="0" w:rightChars="0" w:firstLine="0" w:firstLineChars="0"/>
              <w:jc w:val="center"/>
              <w:rPr>
                <w:rFonts w:hint="eastAsia"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sz w:val="24"/>
                <w:szCs w:val="24"/>
                <w:highlight w:val="none"/>
                <w:lang w:eastAsia="zh-CN"/>
              </w:rPr>
              <w:t>*</w:t>
            </w:r>
          </w:p>
        </w:tc>
        <w:tc>
          <w:tcPr>
            <w:tcW w:w="4578" w:type="dxa"/>
            <w:vAlign w:val="center"/>
          </w:tcPr>
          <w:p w14:paraId="7B37ED46">
            <w:pPr>
              <w:snapToGrid w:val="0"/>
              <w:spacing w:line="360" w:lineRule="auto"/>
              <w:ind w:left="0" w:leftChars="0" w:right="0" w:rightChars="0" w:firstLine="0" w:firstLineChars="0"/>
              <w:jc w:val="left"/>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孕产妇死亡率</w:t>
            </w:r>
            <w:r>
              <w:rPr>
                <w:rFonts w:hint="eastAsia"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eastAsia="zh-CN"/>
              </w:rPr>
              <w:t>*</w:t>
            </w:r>
            <w:r>
              <w:rPr>
                <w:rFonts w:hint="eastAsia"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eastAsia="zh-CN"/>
              </w:rPr>
              <w:t>**</w:t>
            </w:r>
            <w:r>
              <w:rPr>
                <w:rFonts w:hint="eastAsia" w:ascii="Times New Roman" w:hAnsi="Times New Roman" w:eastAsia="仿宋_GB2312" w:cs="Times New Roman"/>
                <w:color w:val="auto"/>
                <w:sz w:val="24"/>
                <w:szCs w:val="24"/>
                <w:highlight w:val="none"/>
              </w:rPr>
              <w:t>万）</w:t>
            </w:r>
          </w:p>
        </w:tc>
        <w:tc>
          <w:tcPr>
            <w:tcW w:w="988" w:type="dxa"/>
            <w:vAlign w:val="center"/>
          </w:tcPr>
          <w:p w14:paraId="53E5244D">
            <w:pPr>
              <w:snapToGrid w:val="0"/>
              <w:spacing w:line="360" w:lineRule="auto"/>
              <w:ind w:left="0" w:leftChars="0" w:right="0" w:rightChars="0" w:firstLine="0" w:firstLineChars="0"/>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w:t>
            </w:r>
          </w:p>
        </w:tc>
        <w:tc>
          <w:tcPr>
            <w:tcW w:w="1027" w:type="dxa"/>
            <w:vAlign w:val="center"/>
          </w:tcPr>
          <w:p w14:paraId="2AF28A98">
            <w:pPr>
              <w:snapToGrid w:val="0"/>
              <w:spacing w:line="360" w:lineRule="auto"/>
              <w:ind w:left="0" w:leftChars="0" w:right="0" w:rightChars="0" w:firstLine="0" w:firstLineChars="0"/>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w:t>
            </w:r>
          </w:p>
        </w:tc>
        <w:tc>
          <w:tcPr>
            <w:tcW w:w="1219" w:type="dxa"/>
            <w:vAlign w:val="center"/>
          </w:tcPr>
          <w:p w14:paraId="5021F3B9">
            <w:pPr>
              <w:snapToGrid w:val="0"/>
              <w:spacing w:line="360" w:lineRule="auto"/>
              <w:ind w:left="0" w:leftChars="0" w:right="0" w:rightChars="0" w:firstLine="0" w:firstLineChars="0"/>
              <w:jc w:val="center"/>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预期性</w:t>
            </w:r>
          </w:p>
        </w:tc>
      </w:tr>
      <w:tr w14:paraId="1A83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1" w:type="dxa"/>
            <w:vMerge w:val="continue"/>
            <w:vAlign w:val="center"/>
          </w:tcPr>
          <w:p w14:paraId="76AACB42">
            <w:pPr>
              <w:snapToGrid w:val="0"/>
              <w:spacing w:line="360" w:lineRule="auto"/>
              <w:ind w:left="0" w:leftChars="0" w:right="0" w:rightChars="0" w:firstLine="0" w:firstLineChars="0"/>
              <w:jc w:val="center"/>
              <w:rPr>
                <w:rFonts w:ascii="Times New Roman" w:hAnsi="Times New Roman" w:eastAsia="仿宋_GB2312" w:cs="Times New Roman"/>
                <w:color w:val="auto"/>
                <w:sz w:val="24"/>
                <w:szCs w:val="24"/>
                <w:highlight w:val="none"/>
              </w:rPr>
            </w:pPr>
          </w:p>
        </w:tc>
        <w:tc>
          <w:tcPr>
            <w:tcW w:w="693" w:type="dxa"/>
            <w:shd w:val="clear" w:color="auto" w:fill="auto"/>
            <w:vAlign w:val="center"/>
          </w:tcPr>
          <w:p w14:paraId="0C333EE8">
            <w:pPr>
              <w:snapToGrid w:val="0"/>
              <w:spacing w:line="360" w:lineRule="auto"/>
              <w:ind w:left="0" w:leftChars="0" w:right="0" w:rightChars="0" w:firstLine="0" w:firstLineChars="0"/>
              <w:jc w:val="center"/>
              <w:rPr>
                <w:rFonts w:hint="eastAsia"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sz w:val="24"/>
                <w:szCs w:val="24"/>
                <w:highlight w:val="none"/>
                <w:lang w:eastAsia="zh-CN"/>
              </w:rPr>
              <w:t>*</w:t>
            </w:r>
          </w:p>
        </w:tc>
        <w:tc>
          <w:tcPr>
            <w:tcW w:w="4578" w:type="dxa"/>
            <w:vAlign w:val="center"/>
          </w:tcPr>
          <w:p w14:paraId="0CF50FB9">
            <w:pPr>
              <w:snapToGrid w:val="0"/>
              <w:spacing w:line="360" w:lineRule="auto"/>
              <w:ind w:left="0" w:leftChars="0" w:right="0" w:rightChars="0" w:firstLine="0" w:firstLineChars="0"/>
              <w:jc w:val="left"/>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婴儿死亡率</w:t>
            </w:r>
            <w:r>
              <w:rPr>
                <w:rFonts w:hint="eastAsia" w:ascii="Times New Roman" w:hAnsi="Times New Roman" w:eastAsia="仿宋_GB2312" w:cs="Times New Roman"/>
                <w:color w:val="auto"/>
                <w:sz w:val="24"/>
                <w:szCs w:val="24"/>
                <w:highlight w:val="none"/>
              </w:rPr>
              <w:t>（</w:t>
            </w:r>
            <w:r>
              <w:rPr>
                <w:rFonts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rPr>
              <w:t>）</w:t>
            </w:r>
          </w:p>
        </w:tc>
        <w:tc>
          <w:tcPr>
            <w:tcW w:w="988" w:type="dxa"/>
            <w:vAlign w:val="center"/>
          </w:tcPr>
          <w:p w14:paraId="64D81497">
            <w:pPr>
              <w:snapToGrid w:val="0"/>
              <w:spacing w:line="360" w:lineRule="auto"/>
              <w:ind w:left="0" w:leftChars="0" w:right="0" w:rightChars="0" w:firstLine="0" w:firstLineChars="0"/>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w:t>
            </w:r>
          </w:p>
        </w:tc>
        <w:tc>
          <w:tcPr>
            <w:tcW w:w="1027" w:type="dxa"/>
            <w:vAlign w:val="center"/>
          </w:tcPr>
          <w:p w14:paraId="2168CA91">
            <w:pPr>
              <w:snapToGrid w:val="0"/>
              <w:spacing w:line="360" w:lineRule="auto"/>
              <w:ind w:left="0" w:leftChars="0" w:right="0" w:rightChars="0" w:firstLine="0" w:firstLineChars="0"/>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w:t>
            </w:r>
          </w:p>
        </w:tc>
        <w:tc>
          <w:tcPr>
            <w:tcW w:w="1219" w:type="dxa"/>
            <w:vAlign w:val="center"/>
          </w:tcPr>
          <w:p w14:paraId="58CCC5C9">
            <w:pPr>
              <w:snapToGrid w:val="0"/>
              <w:spacing w:line="360" w:lineRule="auto"/>
              <w:ind w:left="0" w:leftChars="0" w:right="0" w:rightChars="0" w:firstLine="0" w:firstLineChars="0"/>
              <w:jc w:val="center"/>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预期性</w:t>
            </w:r>
          </w:p>
        </w:tc>
      </w:tr>
      <w:tr w14:paraId="1811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1" w:type="dxa"/>
            <w:vMerge w:val="continue"/>
            <w:vAlign w:val="center"/>
          </w:tcPr>
          <w:p w14:paraId="64A3506D">
            <w:pPr>
              <w:snapToGrid w:val="0"/>
              <w:spacing w:line="360" w:lineRule="auto"/>
              <w:ind w:left="0" w:leftChars="0" w:right="0" w:rightChars="0" w:firstLine="0" w:firstLineChars="0"/>
              <w:jc w:val="center"/>
              <w:rPr>
                <w:rFonts w:ascii="Times New Roman" w:hAnsi="Times New Roman" w:eastAsia="仿宋_GB2312" w:cs="Times New Roman"/>
                <w:color w:val="auto"/>
                <w:sz w:val="24"/>
                <w:szCs w:val="24"/>
                <w:highlight w:val="none"/>
              </w:rPr>
            </w:pPr>
          </w:p>
        </w:tc>
        <w:tc>
          <w:tcPr>
            <w:tcW w:w="693" w:type="dxa"/>
            <w:shd w:val="clear" w:color="auto" w:fill="auto"/>
            <w:vAlign w:val="center"/>
          </w:tcPr>
          <w:p w14:paraId="16DC93B8">
            <w:pPr>
              <w:snapToGrid w:val="0"/>
              <w:spacing w:line="360" w:lineRule="auto"/>
              <w:ind w:left="0" w:leftChars="0" w:right="0" w:rightChars="0" w:firstLine="0" w:firstLineChars="0"/>
              <w:jc w:val="center"/>
              <w:rPr>
                <w:rFonts w:hint="eastAsia"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sz w:val="24"/>
                <w:szCs w:val="24"/>
                <w:highlight w:val="none"/>
                <w:lang w:eastAsia="zh-CN"/>
              </w:rPr>
              <w:t>*</w:t>
            </w:r>
          </w:p>
        </w:tc>
        <w:tc>
          <w:tcPr>
            <w:tcW w:w="4578" w:type="dxa"/>
            <w:vAlign w:val="center"/>
          </w:tcPr>
          <w:p w14:paraId="4729A270">
            <w:pPr>
              <w:snapToGrid w:val="0"/>
              <w:spacing w:line="360" w:lineRule="auto"/>
              <w:ind w:left="0" w:leftChars="0" w:right="0" w:rightChars="0" w:firstLine="0" w:firstLineChars="0"/>
              <w:jc w:val="left"/>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eastAsia="zh-CN"/>
              </w:rPr>
              <w:t>*</w:t>
            </w:r>
            <w:r>
              <w:rPr>
                <w:rFonts w:ascii="Times New Roman" w:hAnsi="Times New Roman" w:eastAsia="仿宋_GB2312" w:cs="Times New Roman"/>
                <w:color w:val="auto"/>
                <w:sz w:val="24"/>
                <w:szCs w:val="24"/>
                <w:highlight w:val="none"/>
              </w:rPr>
              <w:t>岁以下儿童死亡率</w:t>
            </w:r>
            <w:r>
              <w:rPr>
                <w:rFonts w:hint="eastAsia" w:ascii="Times New Roman" w:hAnsi="Times New Roman" w:eastAsia="仿宋_GB2312" w:cs="Times New Roman"/>
                <w:color w:val="auto"/>
                <w:sz w:val="24"/>
                <w:szCs w:val="24"/>
                <w:highlight w:val="none"/>
              </w:rPr>
              <w:t>（</w:t>
            </w:r>
            <w:r>
              <w:rPr>
                <w:rFonts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rPr>
              <w:t>）</w:t>
            </w:r>
          </w:p>
        </w:tc>
        <w:tc>
          <w:tcPr>
            <w:tcW w:w="988" w:type="dxa"/>
            <w:vAlign w:val="center"/>
          </w:tcPr>
          <w:p w14:paraId="70575226">
            <w:pPr>
              <w:snapToGrid w:val="0"/>
              <w:spacing w:line="360" w:lineRule="auto"/>
              <w:ind w:left="0" w:leftChars="0" w:right="0" w:rightChars="0" w:firstLine="0" w:firstLineChars="0"/>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w:t>
            </w:r>
          </w:p>
        </w:tc>
        <w:tc>
          <w:tcPr>
            <w:tcW w:w="1027" w:type="dxa"/>
            <w:vAlign w:val="center"/>
          </w:tcPr>
          <w:p w14:paraId="7A4C98D6">
            <w:pPr>
              <w:snapToGrid w:val="0"/>
              <w:spacing w:line="360" w:lineRule="auto"/>
              <w:ind w:left="0" w:leftChars="0" w:right="0" w:rightChars="0" w:firstLine="0" w:firstLineChars="0"/>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w:t>
            </w:r>
          </w:p>
        </w:tc>
        <w:tc>
          <w:tcPr>
            <w:tcW w:w="1219" w:type="dxa"/>
            <w:vAlign w:val="center"/>
          </w:tcPr>
          <w:p w14:paraId="2C4DBA24">
            <w:pPr>
              <w:snapToGrid w:val="0"/>
              <w:spacing w:line="360" w:lineRule="auto"/>
              <w:ind w:left="0" w:leftChars="0" w:right="0" w:rightChars="0" w:firstLine="0" w:firstLineChars="0"/>
              <w:jc w:val="center"/>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预期性</w:t>
            </w:r>
          </w:p>
        </w:tc>
      </w:tr>
      <w:tr w14:paraId="503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1" w:type="dxa"/>
            <w:vMerge w:val="continue"/>
            <w:vAlign w:val="center"/>
          </w:tcPr>
          <w:p w14:paraId="5B1A52E5">
            <w:pPr>
              <w:snapToGrid w:val="0"/>
              <w:spacing w:line="360" w:lineRule="auto"/>
              <w:ind w:left="0" w:leftChars="0" w:right="0" w:rightChars="0" w:firstLine="0" w:firstLineChars="0"/>
              <w:jc w:val="center"/>
              <w:rPr>
                <w:rFonts w:ascii="Times New Roman" w:hAnsi="Times New Roman" w:eastAsia="仿宋_GB2312" w:cs="Times New Roman"/>
                <w:color w:val="auto"/>
                <w:sz w:val="24"/>
                <w:szCs w:val="24"/>
                <w:highlight w:val="none"/>
              </w:rPr>
            </w:pPr>
          </w:p>
        </w:tc>
        <w:tc>
          <w:tcPr>
            <w:tcW w:w="693" w:type="dxa"/>
            <w:shd w:val="clear" w:color="auto" w:fill="auto"/>
            <w:vAlign w:val="center"/>
          </w:tcPr>
          <w:p w14:paraId="6E838609">
            <w:pPr>
              <w:snapToGrid w:val="0"/>
              <w:spacing w:line="360" w:lineRule="auto"/>
              <w:ind w:left="0" w:leftChars="0" w:right="0" w:rightChars="0" w:firstLine="0" w:firstLineChars="0"/>
              <w:jc w:val="center"/>
              <w:rPr>
                <w:rFonts w:hint="eastAsia"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sz w:val="24"/>
                <w:szCs w:val="24"/>
                <w:highlight w:val="none"/>
                <w:lang w:eastAsia="zh-CN"/>
              </w:rPr>
              <w:t>*</w:t>
            </w:r>
          </w:p>
        </w:tc>
        <w:tc>
          <w:tcPr>
            <w:tcW w:w="4578" w:type="dxa"/>
            <w:vAlign w:val="center"/>
          </w:tcPr>
          <w:p w14:paraId="26AC3254">
            <w:pPr>
              <w:snapToGrid w:val="0"/>
              <w:spacing w:line="360" w:lineRule="auto"/>
              <w:ind w:left="0" w:leftChars="0" w:right="0" w:rightChars="0" w:firstLine="0" w:firstLineChars="0"/>
              <w:jc w:val="left"/>
              <w:rPr>
                <w:rFonts w:ascii="Times New Roman" w:hAnsi="Times New Roman" w:eastAsia="仿宋_GB2312" w:cs="Times New Roman"/>
                <w:color w:val="auto"/>
                <w:sz w:val="24"/>
                <w:szCs w:val="24"/>
                <w:highlight w:val="none"/>
              </w:rPr>
            </w:pPr>
            <w:r>
              <w:rPr>
                <w:rFonts w:hint="eastAsia" w:ascii="Times New Roman" w:hAnsi="仿宋_GB2312" w:eastAsia="仿宋_GB2312" w:cs="仿宋_GB2312"/>
                <w:color w:val="auto"/>
                <w:spacing w:val="-20"/>
                <w:sz w:val="24"/>
                <w:szCs w:val="24"/>
                <w:highlight w:val="none"/>
              </w:rPr>
              <w:t>重大慢性病过早死亡率</w:t>
            </w:r>
            <w:r>
              <w:rPr>
                <w:rFonts w:hint="eastAsia" w:ascii="Times New Roman" w:hAnsi="Times New Roman" w:eastAsia="仿宋_GB2312" w:cs="Times New Roman"/>
                <w:color w:val="auto"/>
                <w:sz w:val="24"/>
                <w:szCs w:val="24"/>
                <w:highlight w:val="none"/>
              </w:rPr>
              <w:t>（%）</w:t>
            </w:r>
          </w:p>
        </w:tc>
        <w:tc>
          <w:tcPr>
            <w:tcW w:w="988" w:type="dxa"/>
            <w:vAlign w:val="center"/>
          </w:tcPr>
          <w:p w14:paraId="39849BB1">
            <w:pPr>
              <w:snapToGrid w:val="0"/>
              <w:spacing w:line="360" w:lineRule="auto"/>
              <w:ind w:left="0" w:leftChars="0" w:right="0" w:rightChars="0" w:firstLine="0" w:firstLineChars="0"/>
              <w:jc w:val="center"/>
              <w:rPr>
                <w:rFonts w:hint="default" w:ascii="Times New Roman" w:hAnsi="Times New Roman" w:eastAsia="仿宋_GB2312" w:cs="Times New Roman"/>
                <w:i w:val="0"/>
                <w:iCs w:val="0"/>
                <w:color w:val="auto"/>
                <w:sz w:val="24"/>
                <w:szCs w:val="24"/>
                <w:highlight w:val="none"/>
                <w:lang w:val="en-US" w:eastAsia="zh-CN"/>
              </w:rPr>
            </w:pPr>
            <w:r>
              <w:rPr>
                <w:rFonts w:hint="eastAsia" w:ascii="Times New Roman" w:hAnsi="Times New Roman" w:eastAsia="仿宋_GB2312" w:cs="Times New Roman"/>
                <w:i w:val="0"/>
                <w:iCs w:val="0"/>
                <w:color w:val="auto"/>
                <w:sz w:val="24"/>
                <w:szCs w:val="24"/>
                <w:highlight w:val="none"/>
                <w:lang w:val="en-US" w:eastAsia="zh-CN"/>
              </w:rPr>
              <w:t>/</w:t>
            </w:r>
          </w:p>
        </w:tc>
        <w:tc>
          <w:tcPr>
            <w:tcW w:w="1027" w:type="dxa"/>
            <w:vAlign w:val="center"/>
          </w:tcPr>
          <w:p w14:paraId="64ABCE5A">
            <w:pPr>
              <w:snapToGrid w:val="0"/>
              <w:spacing w:line="360" w:lineRule="auto"/>
              <w:ind w:left="0" w:leftChars="0" w:right="0" w:rightChars="0" w:firstLine="0" w:firstLineChars="0"/>
              <w:jc w:val="center"/>
              <w:rPr>
                <w:rFonts w:hint="default" w:ascii="Times New Roman" w:hAnsi="Times New Roman" w:eastAsia="仿宋_GB2312" w:cs="Times New Roman"/>
                <w:color w:val="auto"/>
                <w:sz w:val="24"/>
                <w:szCs w:val="24"/>
                <w:highlight w:val="none"/>
                <w:lang w:val="en-US"/>
              </w:rPr>
            </w:pPr>
            <w:r>
              <w:rPr>
                <w:rFonts w:hint="eastAsia" w:ascii="Times New Roman" w:hAnsi="Times New Roman" w:eastAsia="仿宋_GB2312" w:cs="Times New Roman"/>
                <w:color w:val="auto"/>
                <w:sz w:val="24"/>
                <w:szCs w:val="24"/>
                <w:highlight w:val="none"/>
                <w:lang w:val="en-US" w:eastAsia="zh-CN"/>
              </w:rPr>
              <w:t>≤**</w:t>
            </w:r>
          </w:p>
        </w:tc>
        <w:tc>
          <w:tcPr>
            <w:tcW w:w="1219" w:type="dxa"/>
            <w:vAlign w:val="center"/>
          </w:tcPr>
          <w:p w14:paraId="37857268">
            <w:pPr>
              <w:snapToGrid w:val="0"/>
              <w:spacing w:line="360" w:lineRule="auto"/>
              <w:ind w:left="0" w:leftChars="0" w:right="0" w:rightChars="0" w:firstLine="0" w:firstLineChars="0"/>
              <w:jc w:val="center"/>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预期性</w:t>
            </w:r>
          </w:p>
        </w:tc>
      </w:tr>
      <w:tr w14:paraId="39FEE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1" w:type="dxa"/>
            <w:vMerge w:val="restart"/>
            <w:vAlign w:val="center"/>
          </w:tcPr>
          <w:p w14:paraId="103B8CD7">
            <w:pPr>
              <w:snapToGrid w:val="0"/>
              <w:spacing w:line="360" w:lineRule="auto"/>
              <w:ind w:left="0" w:leftChars="0" w:right="0" w:rightChars="0" w:firstLine="0" w:firstLineChars="0"/>
              <w:jc w:val="center"/>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资源配置</w:t>
            </w:r>
          </w:p>
        </w:tc>
        <w:tc>
          <w:tcPr>
            <w:tcW w:w="693" w:type="dxa"/>
            <w:shd w:val="clear" w:color="auto" w:fill="auto"/>
            <w:vAlign w:val="center"/>
          </w:tcPr>
          <w:p w14:paraId="41230DBA">
            <w:pPr>
              <w:snapToGrid w:val="0"/>
              <w:spacing w:line="360" w:lineRule="auto"/>
              <w:ind w:left="0" w:leftChars="0" w:right="0" w:rightChars="0" w:firstLine="0" w:firstLineChars="0"/>
              <w:jc w:val="center"/>
              <w:rPr>
                <w:rFonts w:hint="eastAsia"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sz w:val="24"/>
                <w:szCs w:val="24"/>
                <w:highlight w:val="none"/>
                <w:lang w:eastAsia="zh-CN"/>
              </w:rPr>
              <w:t>*</w:t>
            </w:r>
          </w:p>
        </w:tc>
        <w:tc>
          <w:tcPr>
            <w:tcW w:w="4578" w:type="dxa"/>
            <w:vAlign w:val="center"/>
          </w:tcPr>
          <w:p w14:paraId="49FDCFAF">
            <w:pPr>
              <w:snapToGrid w:val="0"/>
              <w:spacing w:line="360" w:lineRule="auto"/>
              <w:ind w:left="0" w:leftChars="0" w:right="0" w:rightChars="0" w:firstLine="0" w:firstLineChars="0"/>
              <w:jc w:val="left"/>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pacing w:val="-20"/>
                <w:sz w:val="24"/>
                <w:szCs w:val="24"/>
                <w:highlight w:val="none"/>
              </w:rPr>
              <w:t>每千人口医疗卫生机构床位数</w:t>
            </w:r>
            <w:r>
              <w:rPr>
                <w:rFonts w:hint="eastAsia"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张</w:t>
            </w:r>
            <w:r>
              <w:rPr>
                <w:rFonts w:hint="eastAsia" w:ascii="Times New Roman" w:hAnsi="Times New Roman" w:eastAsia="仿宋_GB2312" w:cs="Times New Roman"/>
                <w:color w:val="auto"/>
                <w:sz w:val="24"/>
                <w:szCs w:val="24"/>
                <w:highlight w:val="none"/>
              </w:rPr>
              <w:t>）</w:t>
            </w:r>
          </w:p>
        </w:tc>
        <w:tc>
          <w:tcPr>
            <w:tcW w:w="988" w:type="dxa"/>
            <w:vAlign w:val="center"/>
          </w:tcPr>
          <w:p w14:paraId="61AA4B9B">
            <w:pPr>
              <w:snapToGrid w:val="0"/>
              <w:spacing w:line="360" w:lineRule="auto"/>
              <w:ind w:left="0" w:leftChars="0" w:right="0" w:rightChars="0" w:firstLine="0" w:firstLineChars="0"/>
              <w:jc w:val="center"/>
              <w:rPr>
                <w:rFonts w:hint="default" w:ascii="Times New Roman" w:hAnsi="Times New Roman" w:eastAsia="仿宋_GB2312" w:cs="Times New Roman"/>
                <w:i w:val="0"/>
                <w:iCs w:val="0"/>
                <w:color w:val="auto"/>
                <w:sz w:val="24"/>
                <w:szCs w:val="24"/>
                <w:highlight w:val="none"/>
                <w:lang w:val="en-US" w:eastAsia="zh-CN"/>
              </w:rPr>
            </w:pPr>
            <w:r>
              <w:rPr>
                <w:rFonts w:hint="eastAsia" w:ascii="Times New Roman" w:hAnsi="Times New Roman" w:eastAsia="仿宋_GB2312" w:cs="Times New Roman"/>
                <w:i w:val="0"/>
                <w:iCs w:val="0"/>
                <w:color w:val="auto"/>
                <w:sz w:val="24"/>
                <w:szCs w:val="24"/>
                <w:highlight w:val="none"/>
                <w:lang w:val="en-US" w:eastAsia="zh-CN"/>
              </w:rPr>
              <w:t>*.*</w:t>
            </w:r>
          </w:p>
        </w:tc>
        <w:tc>
          <w:tcPr>
            <w:tcW w:w="1027" w:type="dxa"/>
            <w:vAlign w:val="center"/>
          </w:tcPr>
          <w:p w14:paraId="5749D45D">
            <w:pPr>
              <w:snapToGrid w:val="0"/>
              <w:spacing w:line="360" w:lineRule="auto"/>
              <w:ind w:left="0" w:leftChars="0" w:right="0" w:rightChars="0" w:firstLine="0" w:firstLineChars="0"/>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w:t>
            </w:r>
          </w:p>
        </w:tc>
        <w:tc>
          <w:tcPr>
            <w:tcW w:w="1219" w:type="dxa"/>
            <w:vAlign w:val="center"/>
          </w:tcPr>
          <w:p w14:paraId="10BC8199">
            <w:pPr>
              <w:snapToGrid w:val="0"/>
              <w:spacing w:line="360" w:lineRule="auto"/>
              <w:ind w:left="0" w:leftChars="0" w:right="0" w:rightChars="0" w:firstLine="0" w:firstLineChars="0"/>
              <w:jc w:val="center"/>
              <w:rPr>
                <w:rFonts w:hint="eastAsia" w:ascii="Times New Roman" w:hAnsi="Times New Roman" w:eastAsia="仿宋_GB2312" w:cs="Times New Roman"/>
                <w:color w:val="auto"/>
                <w:sz w:val="24"/>
                <w:szCs w:val="24"/>
                <w:highlight w:val="none"/>
                <w:lang w:eastAsia="zh-CN"/>
              </w:rPr>
            </w:pPr>
            <w:r>
              <w:rPr>
                <w:rFonts w:hint="eastAsia" w:ascii="Times New Roman" w:hAnsi="Times New Roman" w:eastAsia="仿宋_GB2312" w:cs="Times New Roman"/>
                <w:color w:val="auto"/>
                <w:sz w:val="24"/>
                <w:szCs w:val="24"/>
                <w:highlight w:val="none"/>
                <w:lang w:val="en-US" w:eastAsia="zh-CN"/>
              </w:rPr>
              <w:t>指导</w:t>
            </w:r>
            <w:r>
              <w:rPr>
                <w:rFonts w:hint="eastAsia" w:ascii="Times New Roman" w:hAnsi="Times New Roman" w:eastAsia="仿宋_GB2312" w:cs="Times New Roman"/>
                <w:color w:val="auto"/>
                <w:sz w:val="24"/>
                <w:szCs w:val="24"/>
                <w:highlight w:val="none"/>
              </w:rPr>
              <w:t>性</w:t>
            </w:r>
          </w:p>
        </w:tc>
      </w:tr>
      <w:tr w14:paraId="38F48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1" w:type="dxa"/>
            <w:vMerge w:val="continue"/>
            <w:vAlign w:val="center"/>
          </w:tcPr>
          <w:p w14:paraId="6031EA55">
            <w:pPr>
              <w:snapToGrid w:val="0"/>
              <w:spacing w:line="360" w:lineRule="auto"/>
              <w:ind w:left="0" w:leftChars="0" w:right="0" w:rightChars="0" w:firstLine="0" w:firstLineChars="0"/>
              <w:jc w:val="center"/>
              <w:rPr>
                <w:rFonts w:hint="eastAsia" w:ascii="Times New Roman" w:hAnsi="Times New Roman" w:eastAsia="仿宋_GB2312" w:cs="Times New Roman"/>
                <w:color w:val="auto"/>
                <w:sz w:val="24"/>
                <w:szCs w:val="24"/>
                <w:highlight w:val="none"/>
              </w:rPr>
            </w:pPr>
          </w:p>
        </w:tc>
        <w:tc>
          <w:tcPr>
            <w:tcW w:w="693" w:type="dxa"/>
            <w:shd w:val="clear" w:color="auto" w:fill="auto"/>
            <w:vAlign w:val="center"/>
          </w:tcPr>
          <w:p w14:paraId="4AED912D">
            <w:pPr>
              <w:snapToGrid w:val="0"/>
              <w:spacing w:line="360" w:lineRule="auto"/>
              <w:ind w:left="0" w:leftChars="0" w:right="0" w:rightChars="0" w:firstLine="0" w:firstLineChars="0"/>
              <w:jc w:val="center"/>
              <w:rPr>
                <w:rFonts w:hint="eastAsia"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sz w:val="24"/>
                <w:szCs w:val="24"/>
                <w:highlight w:val="none"/>
                <w:lang w:eastAsia="zh-CN"/>
              </w:rPr>
              <w:t>*</w:t>
            </w:r>
          </w:p>
        </w:tc>
        <w:tc>
          <w:tcPr>
            <w:tcW w:w="4578" w:type="dxa"/>
            <w:vAlign w:val="center"/>
          </w:tcPr>
          <w:p w14:paraId="2C4A508D">
            <w:pPr>
              <w:snapToGrid w:val="0"/>
              <w:spacing w:line="360" w:lineRule="auto"/>
              <w:ind w:left="0" w:leftChars="0" w:right="0" w:rightChars="0" w:firstLine="0" w:firstLineChars="0"/>
              <w:jc w:val="left"/>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每千人口中医类床位数（张）</w:t>
            </w:r>
          </w:p>
        </w:tc>
        <w:tc>
          <w:tcPr>
            <w:tcW w:w="988" w:type="dxa"/>
            <w:vAlign w:val="center"/>
          </w:tcPr>
          <w:p w14:paraId="46BAE3D8">
            <w:pPr>
              <w:snapToGrid w:val="0"/>
              <w:spacing w:line="360" w:lineRule="auto"/>
              <w:ind w:left="0" w:leftChars="0" w:right="0" w:rightChars="0" w:firstLine="0" w:firstLineChars="0"/>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w:t>
            </w:r>
          </w:p>
        </w:tc>
        <w:tc>
          <w:tcPr>
            <w:tcW w:w="1027" w:type="dxa"/>
            <w:vAlign w:val="center"/>
          </w:tcPr>
          <w:p w14:paraId="5C58BE67">
            <w:pPr>
              <w:snapToGrid w:val="0"/>
              <w:spacing w:line="360" w:lineRule="auto"/>
              <w:ind w:left="0" w:leftChars="0" w:right="0" w:rightChars="0" w:firstLine="0" w:firstLineChars="0"/>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w:t>
            </w:r>
          </w:p>
        </w:tc>
        <w:tc>
          <w:tcPr>
            <w:tcW w:w="1219" w:type="dxa"/>
            <w:vAlign w:val="center"/>
          </w:tcPr>
          <w:p w14:paraId="56AC42E3">
            <w:pPr>
              <w:snapToGrid w:val="0"/>
              <w:spacing w:line="360" w:lineRule="auto"/>
              <w:ind w:left="0" w:leftChars="0" w:right="0" w:rightChars="0" w:firstLine="0" w:firstLineChars="0"/>
              <w:jc w:val="center"/>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指导</w:t>
            </w:r>
            <w:r>
              <w:rPr>
                <w:rFonts w:hint="eastAsia" w:ascii="Times New Roman" w:hAnsi="Times New Roman" w:eastAsia="仿宋_GB2312" w:cs="Times New Roman"/>
                <w:color w:val="auto"/>
                <w:sz w:val="24"/>
                <w:szCs w:val="24"/>
                <w:highlight w:val="none"/>
              </w:rPr>
              <w:t>性</w:t>
            </w:r>
          </w:p>
        </w:tc>
      </w:tr>
      <w:tr w14:paraId="6DBF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401" w:type="dxa"/>
            <w:vMerge w:val="continue"/>
            <w:vAlign w:val="center"/>
          </w:tcPr>
          <w:p w14:paraId="67BD4F6C">
            <w:pPr>
              <w:snapToGrid w:val="0"/>
              <w:spacing w:line="360" w:lineRule="auto"/>
              <w:ind w:left="0" w:leftChars="0" w:right="0" w:rightChars="0" w:firstLine="0" w:firstLineChars="0"/>
              <w:jc w:val="center"/>
              <w:rPr>
                <w:rFonts w:ascii="Times New Roman" w:hAnsi="Times New Roman" w:eastAsia="仿宋_GB2312" w:cs="Times New Roman"/>
                <w:color w:val="auto"/>
                <w:sz w:val="24"/>
                <w:szCs w:val="24"/>
                <w:highlight w:val="none"/>
              </w:rPr>
            </w:pPr>
          </w:p>
        </w:tc>
        <w:tc>
          <w:tcPr>
            <w:tcW w:w="693" w:type="dxa"/>
            <w:shd w:val="clear" w:color="auto" w:fill="auto"/>
            <w:vAlign w:val="center"/>
          </w:tcPr>
          <w:p w14:paraId="12CDEE37">
            <w:pPr>
              <w:snapToGrid w:val="0"/>
              <w:spacing w:line="360" w:lineRule="auto"/>
              <w:ind w:left="0" w:leftChars="0" w:right="0" w:rightChars="0" w:firstLine="0" w:firstLineChars="0"/>
              <w:jc w:val="center"/>
              <w:rPr>
                <w:rFonts w:hint="eastAsia"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sz w:val="24"/>
                <w:szCs w:val="24"/>
                <w:highlight w:val="none"/>
                <w:lang w:eastAsia="zh-CN"/>
              </w:rPr>
              <w:t>*</w:t>
            </w:r>
          </w:p>
        </w:tc>
        <w:tc>
          <w:tcPr>
            <w:tcW w:w="4578" w:type="dxa"/>
            <w:vAlign w:val="center"/>
          </w:tcPr>
          <w:p w14:paraId="73D8C06A">
            <w:pPr>
              <w:snapToGrid w:val="0"/>
              <w:spacing w:line="360" w:lineRule="auto"/>
              <w:ind w:left="0" w:leftChars="0" w:right="0" w:rightChars="0" w:firstLine="0" w:firstLineChars="0"/>
              <w:jc w:val="left"/>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pacing w:val="-20"/>
                <w:sz w:val="24"/>
                <w:szCs w:val="24"/>
                <w:highlight w:val="none"/>
              </w:rPr>
              <w:t>每千人口执业（助理）医师数</w:t>
            </w:r>
            <w:r>
              <w:rPr>
                <w:rFonts w:hint="eastAsia"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人</w:t>
            </w:r>
            <w:r>
              <w:rPr>
                <w:rFonts w:hint="eastAsia" w:ascii="Times New Roman" w:hAnsi="Times New Roman" w:eastAsia="仿宋_GB2312" w:cs="Times New Roman"/>
                <w:color w:val="auto"/>
                <w:sz w:val="24"/>
                <w:szCs w:val="24"/>
                <w:highlight w:val="none"/>
              </w:rPr>
              <w:t>）</w:t>
            </w:r>
          </w:p>
        </w:tc>
        <w:tc>
          <w:tcPr>
            <w:tcW w:w="988" w:type="dxa"/>
            <w:vAlign w:val="center"/>
          </w:tcPr>
          <w:p w14:paraId="470E50A7">
            <w:pPr>
              <w:snapToGrid w:val="0"/>
              <w:spacing w:line="360" w:lineRule="auto"/>
              <w:ind w:left="0" w:leftChars="0" w:right="0" w:rightChars="0" w:firstLine="0" w:firstLineChars="0"/>
              <w:jc w:val="center"/>
              <w:rPr>
                <w:rFonts w:hint="default" w:ascii="Times New Roman" w:hAnsi="Times New Roman" w:eastAsia="仿宋_GB2312" w:cs="Times New Roman"/>
                <w:i w:val="0"/>
                <w:iCs w:val="0"/>
                <w:color w:val="auto"/>
                <w:sz w:val="24"/>
                <w:szCs w:val="24"/>
                <w:highlight w:val="none"/>
                <w:lang w:val="en-US" w:eastAsia="zh-CN"/>
              </w:rPr>
            </w:pPr>
            <w:r>
              <w:rPr>
                <w:rFonts w:hint="eastAsia" w:ascii="Times New Roman" w:hAnsi="Times New Roman" w:eastAsia="仿宋_GB2312" w:cs="Times New Roman"/>
                <w:i w:val="0"/>
                <w:iCs w:val="0"/>
                <w:color w:val="auto"/>
                <w:sz w:val="24"/>
                <w:szCs w:val="24"/>
                <w:highlight w:val="none"/>
                <w:lang w:val="en-US" w:eastAsia="zh-CN"/>
              </w:rPr>
              <w:t>*.*</w:t>
            </w:r>
          </w:p>
        </w:tc>
        <w:tc>
          <w:tcPr>
            <w:tcW w:w="1027" w:type="dxa"/>
            <w:vAlign w:val="center"/>
          </w:tcPr>
          <w:p w14:paraId="3AAA976B">
            <w:pPr>
              <w:snapToGrid w:val="0"/>
              <w:spacing w:line="360" w:lineRule="auto"/>
              <w:ind w:left="0" w:leftChars="0" w:right="0" w:rightChars="0" w:firstLine="0" w:firstLineChars="0"/>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w:t>
            </w:r>
          </w:p>
        </w:tc>
        <w:tc>
          <w:tcPr>
            <w:tcW w:w="1219" w:type="dxa"/>
            <w:vAlign w:val="center"/>
          </w:tcPr>
          <w:p w14:paraId="15E28F97">
            <w:pPr>
              <w:snapToGrid w:val="0"/>
              <w:spacing w:line="360" w:lineRule="auto"/>
              <w:ind w:left="0" w:leftChars="0" w:right="0" w:rightChars="0" w:firstLine="0" w:firstLineChars="0"/>
              <w:jc w:val="center"/>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预期性</w:t>
            </w:r>
          </w:p>
        </w:tc>
      </w:tr>
      <w:tr w14:paraId="3A34E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1" w:type="dxa"/>
            <w:vMerge w:val="continue"/>
            <w:vAlign w:val="center"/>
          </w:tcPr>
          <w:p w14:paraId="1B3DE0D9">
            <w:pPr>
              <w:snapToGrid w:val="0"/>
              <w:spacing w:line="360" w:lineRule="auto"/>
              <w:ind w:left="0" w:leftChars="0" w:right="0" w:rightChars="0" w:firstLine="0" w:firstLineChars="0"/>
              <w:jc w:val="center"/>
              <w:rPr>
                <w:rFonts w:ascii="Times New Roman" w:hAnsi="Times New Roman" w:eastAsia="仿宋_GB2312" w:cs="Times New Roman"/>
                <w:color w:val="auto"/>
                <w:sz w:val="24"/>
                <w:szCs w:val="24"/>
                <w:highlight w:val="none"/>
              </w:rPr>
            </w:pPr>
          </w:p>
        </w:tc>
        <w:tc>
          <w:tcPr>
            <w:tcW w:w="693" w:type="dxa"/>
            <w:shd w:val="clear" w:color="auto" w:fill="auto"/>
            <w:vAlign w:val="center"/>
          </w:tcPr>
          <w:p w14:paraId="76C57006">
            <w:pPr>
              <w:snapToGrid w:val="0"/>
              <w:spacing w:line="360" w:lineRule="auto"/>
              <w:ind w:left="0" w:leftChars="0" w:right="0" w:rightChars="0" w:firstLine="0" w:firstLineChars="0"/>
              <w:jc w:val="center"/>
              <w:rPr>
                <w:rFonts w:hint="eastAsia"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sz w:val="24"/>
                <w:szCs w:val="24"/>
                <w:highlight w:val="none"/>
                <w:lang w:eastAsia="zh-CN"/>
              </w:rPr>
              <w:t>**</w:t>
            </w:r>
          </w:p>
        </w:tc>
        <w:tc>
          <w:tcPr>
            <w:tcW w:w="4578" w:type="dxa"/>
            <w:vAlign w:val="center"/>
          </w:tcPr>
          <w:p w14:paraId="60C6670C">
            <w:pPr>
              <w:snapToGrid w:val="0"/>
              <w:spacing w:line="360" w:lineRule="auto"/>
              <w:ind w:left="0" w:leftChars="0" w:right="0" w:rightChars="0" w:firstLine="0" w:firstLineChars="0"/>
              <w:jc w:val="left"/>
              <w:rPr>
                <w:rFonts w:ascii="Times New Roman" w:hAnsi="Times New Roman" w:eastAsia="仿宋_GB2312" w:cs="Times New Roman"/>
                <w:color w:val="auto"/>
                <w:spacing w:val="-20"/>
                <w:sz w:val="24"/>
                <w:szCs w:val="24"/>
                <w:highlight w:val="none"/>
              </w:rPr>
            </w:pPr>
            <w:r>
              <w:rPr>
                <w:rFonts w:ascii="Times New Roman" w:hAnsi="Times New Roman" w:eastAsia="仿宋_GB2312" w:cs="Times New Roman"/>
                <w:color w:val="auto"/>
                <w:spacing w:val="-20"/>
                <w:sz w:val="24"/>
                <w:szCs w:val="24"/>
                <w:highlight w:val="none"/>
              </w:rPr>
              <w:t>每千人口中医类别执业（助理）医师数</w:t>
            </w:r>
            <w:r>
              <w:rPr>
                <w:rFonts w:hint="eastAsia"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人</w:t>
            </w:r>
            <w:r>
              <w:rPr>
                <w:rFonts w:hint="eastAsia" w:ascii="Times New Roman" w:hAnsi="Times New Roman" w:eastAsia="仿宋_GB2312" w:cs="Times New Roman"/>
                <w:color w:val="auto"/>
                <w:sz w:val="24"/>
                <w:szCs w:val="24"/>
                <w:highlight w:val="none"/>
              </w:rPr>
              <w:t>）</w:t>
            </w:r>
          </w:p>
        </w:tc>
        <w:tc>
          <w:tcPr>
            <w:tcW w:w="988" w:type="dxa"/>
            <w:vAlign w:val="center"/>
          </w:tcPr>
          <w:p w14:paraId="6AE9419D">
            <w:pPr>
              <w:snapToGrid w:val="0"/>
              <w:spacing w:line="360" w:lineRule="auto"/>
              <w:ind w:left="0" w:leftChars="0" w:right="0" w:rightChars="0" w:firstLine="0" w:firstLineChars="0"/>
              <w:jc w:val="center"/>
              <w:rPr>
                <w:rFonts w:hint="default" w:ascii="Times New Roman" w:hAnsi="Times New Roman" w:eastAsia="仿宋_GB2312" w:cs="Times New Roman"/>
                <w:i w:val="0"/>
                <w:iCs w:val="0"/>
                <w:color w:val="auto"/>
                <w:sz w:val="24"/>
                <w:szCs w:val="24"/>
                <w:highlight w:val="none"/>
                <w:lang w:val="en-US" w:eastAsia="zh-CN"/>
              </w:rPr>
            </w:pPr>
            <w:r>
              <w:rPr>
                <w:rFonts w:hint="eastAsia" w:ascii="Times New Roman" w:hAnsi="Times New Roman" w:eastAsia="仿宋_GB2312" w:cs="Times New Roman"/>
                <w:i w:val="0"/>
                <w:iCs w:val="0"/>
                <w:color w:val="auto"/>
                <w:sz w:val="24"/>
                <w:szCs w:val="24"/>
                <w:highlight w:val="none"/>
                <w:lang w:val="en-US" w:eastAsia="zh-CN"/>
              </w:rPr>
              <w:t>*.*</w:t>
            </w:r>
          </w:p>
        </w:tc>
        <w:tc>
          <w:tcPr>
            <w:tcW w:w="1027" w:type="dxa"/>
            <w:vAlign w:val="center"/>
          </w:tcPr>
          <w:p w14:paraId="2B3B21AC">
            <w:pPr>
              <w:snapToGrid w:val="0"/>
              <w:spacing w:line="360" w:lineRule="auto"/>
              <w:ind w:left="0" w:leftChars="0" w:right="0" w:rightChars="0" w:firstLine="0" w:firstLineChars="0"/>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w:t>
            </w:r>
          </w:p>
        </w:tc>
        <w:tc>
          <w:tcPr>
            <w:tcW w:w="1219" w:type="dxa"/>
            <w:vAlign w:val="center"/>
          </w:tcPr>
          <w:p w14:paraId="51742400">
            <w:pPr>
              <w:snapToGrid w:val="0"/>
              <w:spacing w:line="360" w:lineRule="auto"/>
              <w:ind w:left="0" w:leftChars="0" w:right="0" w:rightChars="0" w:firstLine="0" w:firstLineChars="0"/>
              <w:jc w:val="center"/>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预期性</w:t>
            </w:r>
          </w:p>
        </w:tc>
      </w:tr>
      <w:tr w14:paraId="33923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1" w:type="dxa"/>
            <w:vMerge w:val="continue"/>
            <w:vAlign w:val="center"/>
          </w:tcPr>
          <w:p w14:paraId="5EA01BD0">
            <w:pPr>
              <w:snapToGrid w:val="0"/>
              <w:spacing w:line="360" w:lineRule="auto"/>
              <w:ind w:left="0" w:leftChars="0" w:right="0" w:rightChars="0" w:firstLine="0" w:firstLineChars="0"/>
              <w:jc w:val="center"/>
              <w:rPr>
                <w:rFonts w:ascii="Times New Roman" w:hAnsi="Times New Roman" w:eastAsia="仿宋_GB2312" w:cs="Times New Roman"/>
                <w:color w:val="auto"/>
                <w:sz w:val="24"/>
                <w:szCs w:val="24"/>
                <w:highlight w:val="none"/>
              </w:rPr>
            </w:pPr>
          </w:p>
        </w:tc>
        <w:tc>
          <w:tcPr>
            <w:tcW w:w="693" w:type="dxa"/>
            <w:shd w:val="clear" w:color="auto" w:fill="auto"/>
            <w:vAlign w:val="center"/>
          </w:tcPr>
          <w:p w14:paraId="215ACDAC">
            <w:pPr>
              <w:snapToGrid w:val="0"/>
              <w:spacing w:line="360" w:lineRule="auto"/>
              <w:ind w:left="0" w:leftChars="0" w:right="0" w:rightChars="0" w:firstLine="0" w:firstLineChars="0"/>
              <w:jc w:val="center"/>
              <w:rPr>
                <w:rFonts w:hint="eastAsia"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sz w:val="24"/>
                <w:szCs w:val="24"/>
                <w:highlight w:val="none"/>
                <w:lang w:eastAsia="zh-CN"/>
              </w:rPr>
              <w:t>**</w:t>
            </w:r>
          </w:p>
        </w:tc>
        <w:tc>
          <w:tcPr>
            <w:tcW w:w="4578" w:type="dxa"/>
            <w:vAlign w:val="center"/>
          </w:tcPr>
          <w:p w14:paraId="5DE5F53B">
            <w:pPr>
              <w:snapToGrid w:val="0"/>
              <w:spacing w:line="360" w:lineRule="auto"/>
              <w:ind w:left="0" w:leftChars="0" w:right="0" w:rightChars="0" w:firstLine="0" w:firstLineChars="0"/>
              <w:jc w:val="left"/>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pacing w:val="-20"/>
                <w:sz w:val="24"/>
                <w:szCs w:val="24"/>
                <w:highlight w:val="none"/>
              </w:rPr>
              <w:t>每千人口注册护士数</w:t>
            </w:r>
            <w:r>
              <w:rPr>
                <w:rFonts w:hint="eastAsia"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人</w:t>
            </w:r>
            <w:r>
              <w:rPr>
                <w:rFonts w:hint="eastAsia" w:ascii="Times New Roman" w:hAnsi="Times New Roman" w:eastAsia="仿宋_GB2312" w:cs="Times New Roman"/>
                <w:color w:val="auto"/>
                <w:sz w:val="24"/>
                <w:szCs w:val="24"/>
                <w:highlight w:val="none"/>
              </w:rPr>
              <w:t>）</w:t>
            </w:r>
          </w:p>
        </w:tc>
        <w:tc>
          <w:tcPr>
            <w:tcW w:w="988" w:type="dxa"/>
            <w:vAlign w:val="center"/>
          </w:tcPr>
          <w:p w14:paraId="455AE2B8">
            <w:pPr>
              <w:snapToGrid w:val="0"/>
              <w:spacing w:line="360" w:lineRule="auto"/>
              <w:ind w:left="0" w:leftChars="0" w:right="0" w:rightChars="0" w:firstLine="0" w:firstLineChars="0"/>
              <w:jc w:val="center"/>
              <w:rPr>
                <w:rFonts w:hint="default" w:ascii="Times New Roman" w:hAnsi="Times New Roman" w:eastAsia="仿宋_GB2312" w:cs="Times New Roman"/>
                <w:i w:val="0"/>
                <w:iCs w:val="0"/>
                <w:color w:val="auto"/>
                <w:sz w:val="24"/>
                <w:szCs w:val="24"/>
                <w:highlight w:val="none"/>
                <w:lang w:val="en-US" w:eastAsia="zh-CN"/>
              </w:rPr>
            </w:pPr>
            <w:r>
              <w:rPr>
                <w:rFonts w:hint="eastAsia" w:ascii="Times New Roman" w:hAnsi="Times New Roman" w:eastAsia="仿宋_GB2312" w:cs="Times New Roman"/>
                <w:i w:val="0"/>
                <w:iCs w:val="0"/>
                <w:color w:val="auto"/>
                <w:sz w:val="24"/>
                <w:szCs w:val="24"/>
                <w:highlight w:val="none"/>
                <w:lang w:val="en-US" w:eastAsia="zh-CN"/>
              </w:rPr>
              <w:t>*.*</w:t>
            </w:r>
          </w:p>
        </w:tc>
        <w:tc>
          <w:tcPr>
            <w:tcW w:w="1027" w:type="dxa"/>
            <w:vAlign w:val="center"/>
          </w:tcPr>
          <w:p w14:paraId="0CC2F374">
            <w:pPr>
              <w:snapToGrid w:val="0"/>
              <w:spacing w:line="360" w:lineRule="auto"/>
              <w:ind w:left="0" w:leftChars="0" w:right="0" w:rightChars="0" w:firstLine="0" w:firstLineChars="0"/>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w:t>
            </w:r>
          </w:p>
        </w:tc>
        <w:tc>
          <w:tcPr>
            <w:tcW w:w="1219" w:type="dxa"/>
            <w:vAlign w:val="center"/>
          </w:tcPr>
          <w:p w14:paraId="180C8F66">
            <w:pPr>
              <w:snapToGrid w:val="0"/>
              <w:spacing w:line="360" w:lineRule="auto"/>
              <w:ind w:left="0" w:leftChars="0" w:right="0" w:rightChars="0" w:firstLine="0" w:firstLineChars="0"/>
              <w:jc w:val="center"/>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预期性</w:t>
            </w:r>
          </w:p>
        </w:tc>
      </w:tr>
      <w:tr w14:paraId="22F6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1" w:type="dxa"/>
            <w:vMerge w:val="continue"/>
            <w:vAlign w:val="center"/>
          </w:tcPr>
          <w:p w14:paraId="428E4A35">
            <w:pPr>
              <w:snapToGrid w:val="0"/>
              <w:spacing w:line="360" w:lineRule="auto"/>
              <w:ind w:left="0" w:leftChars="0" w:right="0" w:rightChars="0" w:firstLine="0" w:firstLineChars="0"/>
              <w:jc w:val="center"/>
              <w:rPr>
                <w:rFonts w:ascii="Times New Roman" w:hAnsi="Times New Roman" w:eastAsia="仿宋_GB2312" w:cs="Times New Roman"/>
                <w:color w:val="auto"/>
                <w:sz w:val="24"/>
                <w:szCs w:val="24"/>
                <w:highlight w:val="none"/>
              </w:rPr>
            </w:pPr>
          </w:p>
        </w:tc>
        <w:tc>
          <w:tcPr>
            <w:tcW w:w="693" w:type="dxa"/>
            <w:shd w:val="clear" w:color="auto" w:fill="auto"/>
            <w:vAlign w:val="center"/>
          </w:tcPr>
          <w:p w14:paraId="1ED38DCB">
            <w:pPr>
              <w:snapToGrid w:val="0"/>
              <w:spacing w:line="360" w:lineRule="auto"/>
              <w:ind w:left="0" w:leftChars="0" w:right="0" w:rightChars="0" w:firstLine="0" w:firstLineChars="0"/>
              <w:jc w:val="center"/>
              <w:rPr>
                <w:rFonts w:hint="eastAsia"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sz w:val="24"/>
                <w:szCs w:val="24"/>
                <w:highlight w:val="none"/>
                <w:lang w:eastAsia="zh-CN"/>
              </w:rPr>
              <w:t>**</w:t>
            </w:r>
          </w:p>
        </w:tc>
        <w:tc>
          <w:tcPr>
            <w:tcW w:w="4578" w:type="dxa"/>
            <w:vAlign w:val="center"/>
          </w:tcPr>
          <w:p w14:paraId="15F86034">
            <w:pPr>
              <w:snapToGrid w:val="0"/>
              <w:spacing w:line="360" w:lineRule="auto"/>
              <w:ind w:left="0" w:leftChars="0" w:right="0" w:rightChars="0" w:firstLine="0" w:firstLineChars="0"/>
              <w:jc w:val="left"/>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pacing w:val="-20"/>
                <w:sz w:val="24"/>
                <w:szCs w:val="24"/>
                <w:highlight w:val="none"/>
              </w:rPr>
              <w:t>每万人口全科医师数</w:t>
            </w:r>
            <w:r>
              <w:rPr>
                <w:rFonts w:hint="eastAsia" w:ascii="Times New Roman" w:hAnsi="Times New Roman" w:eastAsia="仿宋_GB2312" w:cs="Times New Roman"/>
                <w:color w:val="auto"/>
                <w:spacing w:val="-20"/>
                <w:sz w:val="24"/>
                <w:szCs w:val="24"/>
                <w:highlight w:val="none"/>
                <w:lang w:eastAsia="zh-CN"/>
              </w:rPr>
              <w:t>（</w:t>
            </w:r>
            <w:r>
              <w:rPr>
                <w:rFonts w:hint="eastAsia" w:ascii="Times New Roman" w:hAnsi="Times New Roman" w:eastAsia="仿宋_GB2312" w:cs="Times New Roman"/>
                <w:color w:val="auto"/>
                <w:spacing w:val="-20"/>
                <w:sz w:val="24"/>
                <w:szCs w:val="24"/>
                <w:highlight w:val="none"/>
                <w:lang w:val="en-US" w:eastAsia="zh-CN"/>
              </w:rPr>
              <w:t>人</w:t>
            </w:r>
            <w:r>
              <w:rPr>
                <w:rFonts w:hint="eastAsia" w:ascii="Times New Roman" w:hAnsi="Times New Roman" w:eastAsia="仿宋_GB2312" w:cs="Times New Roman"/>
                <w:color w:val="auto"/>
                <w:spacing w:val="-20"/>
                <w:sz w:val="24"/>
                <w:szCs w:val="24"/>
                <w:highlight w:val="none"/>
              </w:rPr>
              <w:t>）</w:t>
            </w:r>
          </w:p>
        </w:tc>
        <w:tc>
          <w:tcPr>
            <w:tcW w:w="988" w:type="dxa"/>
            <w:vAlign w:val="center"/>
          </w:tcPr>
          <w:p w14:paraId="3BCB7CEE">
            <w:pPr>
              <w:snapToGrid w:val="0"/>
              <w:spacing w:line="360" w:lineRule="auto"/>
              <w:ind w:left="0" w:leftChars="0" w:right="0" w:rightChars="0" w:firstLine="0" w:firstLineChars="0"/>
              <w:jc w:val="center"/>
              <w:rPr>
                <w:rFonts w:hint="default" w:ascii="Times New Roman" w:hAnsi="Times New Roman" w:eastAsia="仿宋_GB2312" w:cs="Times New Roman"/>
                <w:i w:val="0"/>
                <w:iCs w:val="0"/>
                <w:color w:val="auto"/>
                <w:sz w:val="24"/>
                <w:szCs w:val="24"/>
                <w:highlight w:val="none"/>
                <w:lang w:val="en-US" w:eastAsia="zh-CN"/>
              </w:rPr>
            </w:pPr>
            <w:r>
              <w:rPr>
                <w:rFonts w:hint="eastAsia" w:ascii="Times New Roman" w:hAnsi="Times New Roman" w:eastAsia="仿宋_GB2312" w:cs="Times New Roman"/>
                <w:i w:val="0"/>
                <w:iCs w:val="0"/>
                <w:color w:val="auto"/>
                <w:sz w:val="24"/>
                <w:szCs w:val="24"/>
                <w:highlight w:val="none"/>
                <w:lang w:val="en-US" w:eastAsia="zh-CN"/>
              </w:rPr>
              <w:t>*.*</w:t>
            </w:r>
          </w:p>
        </w:tc>
        <w:tc>
          <w:tcPr>
            <w:tcW w:w="1027" w:type="dxa"/>
            <w:vAlign w:val="center"/>
          </w:tcPr>
          <w:p w14:paraId="3EB810F3">
            <w:pPr>
              <w:snapToGrid w:val="0"/>
              <w:spacing w:line="360" w:lineRule="auto"/>
              <w:ind w:left="0" w:leftChars="0" w:right="0" w:rightChars="0" w:firstLine="0" w:firstLineChars="0"/>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w:t>
            </w:r>
          </w:p>
        </w:tc>
        <w:tc>
          <w:tcPr>
            <w:tcW w:w="1219" w:type="dxa"/>
            <w:vAlign w:val="center"/>
          </w:tcPr>
          <w:p w14:paraId="48C7E926">
            <w:pPr>
              <w:snapToGrid w:val="0"/>
              <w:spacing w:line="360" w:lineRule="auto"/>
              <w:ind w:left="0" w:leftChars="0" w:right="0" w:rightChars="0" w:firstLine="0" w:firstLineChars="0"/>
              <w:jc w:val="center"/>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约束性</w:t>
            </w:r>
          </w:p>
        </w:tc>
      </w:tr>
      <w:tr w14:paraId="1A3DF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1" w:type="dxa"/>
            <w:vMerge w:val="continue"/>
            <w:vAlign w:val="center"/>
          </w:tcPr>
          <w:p w14:paraId="2A0116C2">
            <w:pPr>
              <w:snapToGrid w:val="0"/>
              <w:spacing w:line="360" w:lineRule="auto"/>
              <w:ind w:left="0" w:leftChars="0" w:right="0" w:rightChars="0" w:firstLine="0" w:firstLineChars="0"/>
              <w:jc w:val="center"/>
              <w:rPr>
                <w:rFonts w:ascii="Times New Roman" w:hAnsi="Times New Roman" w:eastAsia="仿宋_GB2312" w:cs="Times New Roman"/>
                <w:color w:val="auto"/>
                <w:sz w:val="24"/>
                <w:szCs w:val="24"/>
                <w:highlight w:val="none"/>
              </w:rPr>
            </w:pPr>
          </w:p>
        </w:tc>
        <w:tc>
          <w:tcPr>
            <w:tcW w:w="693" w:type="dxa"/>
            <w:shd w:val="clear" w:color="auto" w:fill="auto"/>
            <w:vAlign w:val="center"/>
          </w:tcPr>
          <w:p w14:paraId="4233D0A7">
            <w:pPr>
              <w:snapToGrid w:val="0"/>
              <w:spacing w:line="360" w:lineRule="auto"/>
              <w:ind w:left="0" w:leftChars="0" w:right="0" w:rightChars="0" w:firstLine="0" w:firstLineChars="0"/>
              <w:jc w:val="center"/>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w:t>
            </w:r>
          </w:p>
        </w:tc>
        <w:tc>
          <w:tcPr>
            <w:tcW w:w="4578" w:type="dxa"/>
            <w:vAlign w:val="center"/>
          </w:tcPr>
          <w:p w14:paraId="36DBFA68">
            <w:pPr>
              <w:snapToGrid w:val="0"/>
              <w:spacing w:line="360" w:lineRule="auto"/>
              <w:ind w:left="0" w:leftChars="0" w:right="0" w:rightChars="0" w:firstLine="0" w:firstLineChars="0"/>
              <w:jc w:val="left"/>
              <w:rPr>
                <w:rFonts w:hint="default" w:ascii="Times New Roman" w:hAnsi="Times New Roman" w:eastAsia="仿宋_GB2312" w:cs="Times New Roman"/>
                <w:color w:val="auto"/>
                <w:spacing w:val="-20"/>
                <w:sz w:val="24"/>
                <w:szCs w:val="24"/>
                <w:highlight w:val="none"/>
                <w:lang w:val="en-US" w:eastAsia="zh-CN"/>
              </w:rPr>
            </w:pPr>
            <w:r>
              <w:rPr>
                <w:rFonts w:hint="eastAsia" w:ascii="Times New Roman" w:hAnsi="Times New Roman" w:eastAsia="仿宋_GB2312" w:cs="Times New Roman"/>
                <w:color w:val="auto"/>
                <w:spacing w:val="-20"/>
                <w:sz w:val="24"/>
                <w:szCs w:val="24"/>
                <w:highlight w:val="none"/>
                <w:lang w:val="en-US" w:eastAsia="zh-CN"/>
              </w:rPr>
              <w:t>每千人口基层卫生员（人）</w:t>
            </w:r>
          </w:p>
        </w:tc>
        <w:tc>
          <w:tcPr>
            <w:tcW w:w="988" w:type="dxa"/>
            <w:vAlign w:val="center"/>
          </w:tcPr>
          <w:p w14:paraId="551BA3F8">
            <w:pPr>
              <w:snapToGrid w:val="0"/>
              <w:spacing w:line="360" w:lineRule="auto"/>
              <w:ind w:left="0" w:leftChars="0" w:right="0" w:rightChars="0" w:firstLine="0" w:firstLineChars="0"/>
              <w:jc w:val="center"/>
              <w:rPr>
                <w:rFonts w:hint="default" w:ascii="Times New Roman" w:hAnsi="Times New Roman" w:eastAsia="仿宋_GB2312" w:cs="Times New Roman"/>
                <w:i w:val="0"/>
                <w:iCs w:val="0"/>
                <w:color w:val="auto"/>
                <w:sz w:val="24"/>
                <w:szCs w:val="24"/>
                <w:highlight w:val="none"/>
                <w:lang w:val="en-US" w:eastAsia="zh-CN"/>
              </w:rPr>
            </w:pPr>
            <w:r>
              <w:rPr>
                <w:rFonts w:hint="eastAsia" w:ascii="Times New Roman" w:hAnsi="Times New Roman" w:eastAsia="仿宋_GB2312" w:cs="Times New Roman"/>
                <w:i w:val="0"/>
                <w:iCs w:val="0"/>
                <w:color w:val="auto"/>
                <w:sz w:val="24"/>
                <w:szCs w:val="24"/>
                <w:highlight w:val="none"/>
                <w:lang w:val="en-US" w:eastAsia="zh-CN"/>
              </w:rPr>
              <w:t>-</w:t>
            </w:r>
          </w:p>
        </w:tc>
        <w:tc>
          <w:tcPr>
            <w:tcW w:w="1027" w:type="dxa"/>
            <w:vAlign w:val="center"/>
          </w:tcPr>
          <w:p w14:paraId="2DC94A14">
            <w:pPr>
              <w:snapToGrid w:val="0"/>
              <w:spacing w:line="360" w:lineRule="auto"/>
              <w:ind w:left="0" w:leftChars="0" w:right="0" w:rightChars="0" w:firstLine="0" w:firstLineChars="0"/>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w:t>
            </w:r>
          </w:p>
        </w:tc>
        <w:tc>
          <w:tcPr>
            <w:tcW w:w="1219" w:type="dxa"/>
            <w:vAlign w:val="center"/>
          </w:tcPr>
          <w:p w14:paraId="2FC38A1E">
            <w:pPr>
              <w:snapToGrid w:val="0"/>
              <w:spacing w:line="360" w:lineRule="auto"/>
              <w:ind w:left="0" w:leftChars="0" w:right="0" w:rightChars="0" w:firstLine="0" w:firstLineChars="0"/>
              <w:jc w:val="center"/>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预期性</w:t>
            </w:r>
          </w:p>
        </w:tc>
      </w:tr>
      <w:tr w14:paraId="4F22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1" w:type="dxa"/>
            <w:vMerge w:val="continue"/>
            <w:vAlign w:val="center"/>
          </w:tcPr>
          <w:p w14:paraId="19187644">
            <w:pPr>
              <w:snapToGrid w:val="0"/>
              <w:spacing w:line="360" w:lineRule="auto"/>
              <w:ind w:left="0" w:leftChars="0" w:right="0" w:rightChars="0" w:firstLine="0" w:firstLineChars="0"/>
              <w:jc w:val="center"/>
              <w:rPr>
                <w:rFonts w:ascii="Times New Roman" w:hAnsi="Times New Roman" w:eastAsia="仿宋_GB2312" w:cs="Times New Roman"/>
                <w:color w:val="auto"/>
                <w:sz w:val="24"/>
                <w:szCs w:val="24"/>
                <w:highlight w:val="none"/>
              </w:rPr>
            </w:pPr>
          </w:p>
        </w:tc>
        <w:tc>
          <w:tcPr>
            <w:tcW w:w="693" w:type="dxa"/>
            <w:shd w:val="clear" w:color="auto" w:fill="auto"/>
            <w:vAlign w:val="center"/>
          </w:tcPr>
          <w:p w14:paraId="6C41A1EC">
            <w:pPr>
              <w:snapToGrid w:val="0"/>
              <w:spacing w:line="360" w:lineRule="auto"/>
              <w:ind w:left="0" w:leftChars="0" w:right="0" w:rightChars="0" w:firstLine="0" w:firstLineChars="0"/>
              <w:jc w:val="center"/>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w:t>
            </w:r>
          </w:p>
        </w:tc>
        <w:tc>
          <w:tcPr>
            <w:tcW w:w="4578" w:type="dxa"/>
            <w:shd w:val="clear" w:color="auto" w:fill="auto"/>
            <w:vAlign w:val="center"/>
          </w:tcPr>
          <w:p w14:paraId="18E52CD0">
            <w:pPr>
              <w:snapToGrid w:val="0"/>
              <w:spacing w:line="360" w:lineRule="auto"/>
              <w:ind w:left="0" w:leftChars="0" w:right="0" w:rightChars="0" w:firstLine="0" w:firstLineChars="0"/>
              <w:jc w:val="left"/>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乡村医生中具备执业（助理）医师资格的人员占比（%）</w:t>
            </w:r>
          </w:p>
        </w:tc>
        <w:tc>
          <w:tcPr>
            <w:tcW w:w="988" w:type="dxa"/>
            <w:shd w:val="clear" w:color="auto" w:fill="auto"/>
            <w:vAlign w:val="center"/>
          </w:tcPr>
          <w:p w14:paraId="0926C521">
            <w:pPr>
              <w:snapToGrid w:val="0"/>
              <w:spacing w:line="360" w:lineRule="auto"/>
              <w:ind w:left="0" w:leftChars="0" w:right="0" w:rightChars="0" w:firstLine="0" w:firstLineChars="0"/>
              <w:jc w:val="center"/>
              <w:rPr>
                <w:rFonts w:hint="default" w:ascii="Times New Roman" w:hAnsi="Times New Roman" w:eastAsia="仿宋_GB2312" w:cs="Times New Roman"/>
                <w:i w:val="0"/>
                <w:iCs w:val="0"/>
                <w:color w:val="auto"/>
                <w:kern w:val="2"/>
                <w:sz w:val="24"/>
                <w:szCs w:val="24"/>
                <w:highlight w:val="none"/>
                <w:lang w:val="en-US" w:eastAsia="zh-CN" w:bidi="ar-SA"/>
              </w:rPr>
            </w:pPr>
            <w:r>
              <w:rPr>
                <w:rFonts w:hint="eastAsia" w:ascii="Times New Roman" w:hAnsi="Times New Roman" w:eastAsia="仿宋_GB2312" w:cs="Times New Roman"/>
                <w:i w:val="0"/>
                <w:iCs w:val="0"/>
                <w:color w:val="auto"/>
                <w:kern w:val="2"/>
                <w:sz w:val="24"/>
                <w:szCs w:val="24"/>
                <w:highlight w:val="none"/>
                <w:lang w:val="en-US" w:eastAsia="zh-CN" w:bidi="ar-SA"/>
              </w:rPr>
              <w:t>**.**</w:t>
            </w:r>
          </w:p>
        </w:tc>
        <w:tc>
          <w:tcPr>
            <w:tcW w:w="1027" w:type="dxa"/>
            <w:shd w:val="clear" w:color="auto" w:fill="auto"/>
            <w:vAlign w:val="center"/>
          </w:tcPr>
          <w:p w14:paraId="288679A6">
            <w:pPr>
              <w:snapToGrid w:val="0"/>
              <w:spacing w:line="360" w:lineRule="auto"/>
              <w:ind w:left="0" w:leftChars="0" w:right="0" w:rightChars="0" w:firstLine="0" w:firstLineChars="0"/>
              <w:jc w:val="center"/>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w:t>
            </w:r>
          </w:p>
        </w:tc>
        <w:tc>
          <w:tcPr>
            <w:tcW w:w="1219" w:type="dxa"/>
            <w:shd w:val="clear" w:color="auto" w:fill="auto"/>
            <w:vAlign w:val="center"/>
          </w:tcPr>
          <w:p w14:paraId="6A330B84">
            <w:pPr>
              <w:snapToGrid w:val="0"/>
              <w:spacing w:line="360" w:lineRule="auto"/>
              <w:ind w:left="0" w:leftChars="0" w:right="0" w:rightChars="0" w:firstLine="0" w:firstLineChars="0"/>
              <w:jc w:val="center"/>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预期性</w:t>
            </w:r>
          </w:p>
        </w:tc>
      </w:tr>
      <w:tr w14:paraId="7ADC4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1" w:type="dxa"/>
            <w:vMerge w:val="restart"/>
            <w:vAlign w:val="center"/>
          </w:tcPr>
          <w:p w14:paraId="301C8F80">
            <w:pPr>
              <w:snapToGrid w:val="0"/>
              <w:spacing w:line="360" w:lineRule="auto"/>
              <w:ind w:left="0" w:leftChars="0" w:right="0" w:rightChars="0" w:firstLine="0" w:firstLineChars="0"/>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健康服务</w:t>
            </w:r>
          </w:p>
        </w:tc>
        <w:tc>
          <w:tcPr>
            <w:tcW w:w="693" w:type="dxa"/>
            <w:vAlign w:val="center"/>
          </w:tcPr>
          <w:p w14:paraId="50B04A21">
            <w:pPr>
              <w:snapToGrid w:val="0"/>
              <w:spacing w:line="360" w:lineRule="auto"/>
              <w:ind w:left="0" w:leftChars="0" w:right="0" w:rightChars="0" w:firstLine="0" w:firstLineChars="0"/>
              <w:jc w:val="center"/>
              <w:rPr>
                <w:rFonts w:hint="eastAsia" w:ascii="Times New Roman" w:hAnsi="Times New Roman" w:eastAsia="仿宋_GB2312" w:cs="Times New Roman"/>
                <w:color w:val="auto"/>
                <w:sz w:val="24"/>
                <w:szCs w:val="24"/>
                <w:highlight w:val="none"/>
                <w:lang w:eastAsia="zh-CN"/>
              </w:rPr>
            </w:pPr>
            <w:r>
              <w:rPr>
                <w:rFonts w:hint="eastAsia" w:ascii="Times New Roman" w:hAnsi="Times New Roman" w:eastAsia="仿宋_GB2312" w:cs="Times New Roman"/>
                <w:color w:val="auto"/>
                <w:sz w:val="24"/>
                <w:szCs w:val="24"/>
                <w:highlight w:val="none"/>
                <w:lang w:eastAsia="zh-CN"/>
              </w:rPr>
              <w:t>*</w:t>
            </w:r>
            <w:r>
              <w:rPr>
                <w:rFonts w:hint="eastAsia" w:ascii="Times New Roman" w:hAnsi="Times New Roman" w:eastAsia="仿宋_GB2312" w:cs="Times New Roman"/>
                <w:color w:val="auto"/>
                <w:sz w:val="24"/>
                <w:szCs w:val="24"/>
                <w:highlight w:val="none"/>
                <w:lang w:val="en-US" w:eastAsia="zh-CN"/>
              </w:rPr>
              <w:t>*</w:t>
            </w:r>
          </w:p>
        </w:tc>
        <w:tc>
          <w:tcPr>
            <w:tcW w:w="4578" w:type="dxa"/>
            <w:shd w:val="clear" w:color="auto" w:fill="auto"/>
            <w:vAlign w:val="center"/>
          </w:tcPr>
          <w:p w14:paraId="182E8536">
            <w:pPr>
              <w:snapToGrid w:val="0"/>
              <w:spacing w:line="360" w:lineRule="auto"/>
              <w:ind w:left="0" w:leftChars="0" w:right="0" w:rightChars="0" w:firstLine="0" w:firstLineChars="0"/>
              <w:jc w:val="left"/>
              <w:rPr>
                <w:rFonts w:hint="default" w:ascii="Times New Roman" w:hAnsi="仿宋_GB2312" w:eastAsia="仿宋_GB2312" w:cs="仿宋_GB2312"/>
                <w:color w:val="auto"/>
                <w:spacing w:val="-20"/>
                <w:kern w:val="2"/>
                <w:sz w:val="24"/>
                <w:szCs w:val="24"/>
                <w:highlight w:val="none"/>
                <w:lang w:val="en-US" w:eastAsia="zh-CN" w:bidi="ar-SA"/>
              </w:rPr>
            </w:pPr>
            <w:r>
              <w:rPr>
                <w:rFonts w:hint="eastAsia" w:ascii="Times New Roman" w:hAnsi="仿宋_GB2312" w:eastAsia="仿宋_GB2312" w:cs="仿宋_GB2312"/>
                <w:color w:val="auto"/>
                <w:spacing w:val="-20"/>
                <w:sz w:val="24"/>
                <w:szCs w:val="24"/>
                <w:highlight w:val="none"/>
                <w:lang w:val="en-US" w:eastAsia="zh-CN"/>
              </w:rPr>
              <w:t>适龄儿童免疫规划疫苗全程接种率</w:t>
            </w:r>
            <w:r>
              <w:rPr>
                <w:rFonts w:hint="eastAsia" w:ascii="Times New Roman" w:hAnsi="Times New Roman" w:eastAsia="仿宋_GB2312" w:cs="Times New Roman"/>
                <w:color w:val="auto"/>
                <w:sz w:val="24"/>
                <w:szCs w:val="24"/>
                <w:highlight w:val="none"/>
              </w:rPr>
              <w:t>（%）</w:t>
            </w:r>
          </w:p>
        </w:tc>
        <w:tc>
          <w:tcPr>
            <w:tcW w:w="988" w:type="dxa"/>
            <w:shd w:val="clear" w:color="auto" w:fill="auto"/>
            <w:vAlign w:val="center"/>
          </w:tcPr>
          <w:p w14:paraId="77669FA9">
            <w:pPr>
              <w:snapToGrid w:val="0"/>
              <w:spacing w:line="360" w:lineRule="auto"/>
              <w:ind w:left="0" w:leftChars="0" w:right="0" w:rightChars="0" w:firstLine="0" w:firstLineChars="0"/>
              <w:jc w:val="center"/>
              <w:rPr>
                <w:rFonts w:hint="default" w:ascii="Times New Roman" w:hAnsi="Times New Roman" w:eastAsia="仿宋_GB2312" w:cs="Times New Roman"/>
                <w:i w:val="0"/>
                <w:iCs w:val="0"/>
                <w:color w:val="auto"/>
                <w:kern w:val="2"/>
                <w:sz w:val="24"/>
                <w:szCs w:val="24"/>
                <w:highlight w:val="none"/>
                <w:lang w:val="en-US" w:eastAsia="zh-CN" w:bidi="ar-SA"/>
              </w:rPr>
            </w:pPr>
            <w:r>
              <w:rPr>
                <w:rFonts w:hint="eastAsia" w:ascii="Times New Roman" w:hAnsi="Times New Roman" w:eastAsia="仿宋_GB2312" w:cs="Times New Roman"/>
                <w:i w:val="0"/>
                <w:iCs w:val="0"/>
                <w:color w:val="auto"/>
                <w:sz w:val="24"/>
                <w:szCs w:val="24"/>
                <w:highlight w:val="none"/>
                <w:lang w:val="en-US" w:eastAsia="zh-CN"/>
              </w:rPr>
              <w:t>**</w:t>
            </w:r>
          </w:p>
        </w:tc>
        <w:tc>
          <w:tcPr>
            <w:tcW w:w="1027" w:type="dxa"/>
            <w:shd w:val="clear" w:color="auto" w:fill="auto"/>
            <w:vAlign w:val="center"/>
          </w:tcPr>
          <w:p w14:paraId="139230A5">
            <w:pPr>
              <w:snapToGrid w:val="0"/>
              <w:spacing w:line="360" w:lineRule="auto"/>
              <w:ind w:left="0" w:leftChars="0" w:right="0" w:rightChars="0" w:firstLine="0" w:firstLineChars="0"/>
              <w:jc w:val="center"/>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sz w:val="24"/>
                <w:szCs w:val="24"/>
                <w:highlight w:val="none"/>
                <w:lang w:val="en-US" w:eastAsia="zh-CN"/>
              </w:rPr>
              <w:t>&gt;**</w:t>
            </w:r>
          </w:p>
        </w:tc>
        <w:tc>
          <w:tcPr>
            <w:tcW w:w="1219" w:type="dxa"/>
            <w:shd w:val="clear" w:color="auto" w:fill="auto"/>
            <w:vAlign w:val="center"/>
          </w:tcPr>
          <w:p w14:paraId="31D9E782">
            <w:pPr>
              <w:snapToGrid w:val="0"/>
              <w:spacing w:line="360" w:lineRule="auto"/>
              <w:ind w:left="0" w:leftChars="0" w:right="0" w:rightChars="0" w:firstLine="0" w:firstLineChars="0"/>
              <w:jc w:val="center"/>
              <w:rPr>
                <w:rFonts w:hint="eastAsia"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sz w:val="24"/>
                <w:szCs w:val="24"/>
                <w:highlight w:val="none"/>
              </w:rPr>
              <w:t>预期性</w:t>
            </w:r>
          </w:p>
        </w:tc>
      </w:tr>
      <w:tr w14:paraId="31EC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1" w:type="dxa"/>
            <w:vMerge w:val="continue"/>
            <w:vAlign w:val="center"/>
          </w:tcPr>
          <w:p w14:paraId="727CA8CC">
            <w:pPr>
              <w:snapToGrid w:val="0"/>
              <w:spacing w:line="360" w:lineRule="auto"/>
              <w:ind w:left="0" w:leftChars="0" w:right="0" w:rightChars="0" w:firstLine="0" w:firstLineChars="0"/>
              <w:jc w:val="center"/>
              <w:rPr>
                <w:rFonts w:ascii="Times New Roman" w:hAnsi="Times New Roman" w:eastAsia="仿宋_GB2312" w:cs="Times New Roman"/>
                <w:color w:val="auto"/>
                <w:sz w:val="24"/>
                <w:szCs w:val="24"/>
                <w:highlight w:val="none"/>
              </w:rPr>
            </w:pPr>
          </w:p>
        </w:tc>
        <w:tc>
          <w:tcPr>
            <w:tcW w:w="693" w:type="dxa"/>
            <w:shd w:val="clear" w:color="auto" w:fill="auto"/>
            <w:vAlign w:val="center"/>
          </w:tcPr>
          <w:p w14:paraId="19D4839F">
            <w:pPr>
              <w:snapToGrid w:val="0"/>
              <w:spacing w:line="360" w:lineRule="auto"/>
              <w:ind w:left="0" w:leftChars="0" w:right="0" w:rightChars="0" w:firstLine="0" w:firstLineChars="0"/>
              <w:jc w:val="center"/>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w:t>
            </w:r>
          </w:p>
        </w:tc>
        <w:tc>
          <w:tcPr>
            <w:tcW w:w="4578" w:type="dxa"/>
            <w:shd w:val="clear" w:color="auto" w:fill="auto"/>
            <w:vAlign w:val="center"/>
          </w:tcPr>
          <w:p w14:paraId="373DA851">
            <w:pPr>
              <w:snapToGrid w:val="0"/>
              <w:spacing w:line="360" w:lineRule="auto"/>
              <w:ind w:left="0" w:leftChars="0" w:right="0" w:rightChars="0" w:firstLine="0" w:firstLineChars="0"/>
              <w:jc w:val="left"/>
              <w:rPr>
                <w:rFonts w:ascii="Times New Roman" w:hAnsi="仿宋_GB2312" w:eastAsia="仿宋_GB2312" w:cs="仿宋_GB2312"/>
                <w:color w:val="auto"/>
                <w:spacing w:val="-20"/>
                <w:kern w:val="2"/>
                <w:sz w:val="24"/>
                <w:szCs w:val="24"/>
                <w:highlight w:val="none"/>
                <w:lang w:val="en-US" w:eastAsia="zh-CN" w:bidi="ar-SA"/>
              </w:rPr>
            </w:pPr>
            <w:r>
              <w:rPr>
                <w:rFonts w:hint="eastAsia" w:ascii="Times New Roman" w:hAnsi="仿宋_GB2312" w:eastAsia="仿宋_GB2312" w:cs="仿宋_GB2312"/>
                <w:color w:val="auto"/>
                <w:spacing w:val="-20"/>
                <w:sz w:val="24"/>
                <w:szCs w:val="24"/>
                <w:highlight w:val="none"/>
                <w:lang w:val="en-US" w:eastAsia="zh-CN"/>
              </w:rPr>
              <w:t>严重</w:t>
            </w:r>
            <w:r>
              <w:rPr>
                <w:rFonts w:hint="eastAsia" w:ascii="Times New Roman" w:hAnsi="仿宋_GB2312" w:eastAsia="仿宋_GB2312" w:cs="仿宋_GB2312"/>
                <w:color w:val="auto"/>
                <w:spacing w:val="-20"/>
                <w:sz w:val="24"/>
                <w:szCs w:val="24"/>
                <w:highlight w:val="none"/>
              </w:rPr>
              <w:t>精神障碍患者规范管理率（%）</w:t>
            </w:r>
          </w:p>
        </w:tc>
        <w:tc>
          <w:tcPr>
            <w:tcW w:w="988" w:type="dxa"/>
            <w:shd w:val="clear" w:color="auto" w:fill="auto"/>
            <w:vAlign w:val="center"/>
          </w:tcPr>
          <w:p w14:paraId="13881DC9">
            <w:pPr>
              <w:snapToGrid w:val="0"/>
              <w:spacing w:line="360" w:lineRule="auto"/>
              <w:ind w:left="0" w:leftChars="0" w:right="0" w:rightChars="0" w:firstLine="0" w:firstLineChars="0"/>
              <w:jc w:val="center"/>
              <w:rPr>
                <w:rFonts w:hint="default" w:ascii="Times New Roman" w:hAnsi="Times New Roman" w:eastAsia="仿宋_GB2312" w:cs="Times New Roman"/>
                <w:i w:val="0"/>
                <w:iCs w:val="0"/>
                <w:color w:val="auto"/>
                <w:kern w:val="2"/>
                <w:sz w:val="24"/>
                <w:szCs w:val="24"/>
                <w:highlight w:val="none"/>
                <w:lang w:val="en-US" w:eastAsia="zh-CN" w:bidi="ar-SA"/>
              </w:rPr>
            </w:pPr>
            <w:r>
              <w:rPr>
                <w:rFonts w:hint="eastAsia" w:ascii="Times New Roman" w:hAnsi="Times New Roman" w:eastAsia="仿宋_GB2312" w:cs="Times New Roman"/>
                <w:i w:val="0"/>
                <w:iCs w:val="0"/>
                <w:color w:val="auto"/>
                <w:sz w:val="24"/>
                <w:szCs w:val="24"/>
                <w:highlight w:val="none"/>
                <w:lang w:val="en-US" w:eastAsia="zh-CN"/>
              </w:rPr>
              <w:t>**</w:t>
            </w:r>
          </w:p>
        </w:tc>
        <w:tc>
          <w:tcPr>
            <w:tcW w:w="1027" w:type="dxa"/>
            <w:shd w:val="clear" w:color="auto" w:fill="auto"/>
            <w:vAlign w:val="center"/>
          </w:tcPr>
          <w:p w14:paraId="5E93ACAD">
            <w:pPr>
              <w:snapToGrid w:val="0"/>
              <w:spacing w:line="360" w:lineRule="auto"/>
              <w:ind w:left="0" w:leftChars="0" w:right="0" w:rightChars="0" w:firstLine="0" w:firstLineChars="0"/>
              <w:jc w:val="center"/>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sz w:val="24"/>
                <w:szCs w:val="24"/>
                <w:highlight w:val="none"/>
                <w:lang w:val="en-US" w:eastAsia="zh-CN"/>
              </w:rPr>
              <w:t>≥**</w:t>
            </w:r>
          </w:p>
        </w:tc>
        <w:tc>
          <w:tcPr>
            <w:tcW w:w="1219" w:type="dxa"/>
            <w:shd w:val="clear" w:color="auto" w:fill="auto"/>
            <w:vAlign w:val="center"/>
          </w:tcPr>
          <w:p w14:paraId="0925AA95">
            <w:pPr>
              <w:snapToGrid w:val="0"/>
              <w:spacing w:line="360" w:lineRule="auto"/>
              <w:ind w:left="0" w:leftChars="0" w:right="0" w:rightChars="0" w:firstLine="0" w:firstLineChars="0"/>
              <w:jc w:val="center"/>
              <w:rPr>
                <w:rFonts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sz w:val="24"/>
                <w:szCs w:val="24"/>
                <w:highlight w:val="none"/>
              </w:rPr>
              <w:t>预期性</w:t>
            </w:r>
          </w:p>
        </w:tc>
      </w:tr>
      <w:tr w14:paraId="7D62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1" w:type="dxa"/>
            <w:vMerge w:val="continue"/>
            <w:vAlign w:val="center"/>
          </w:tcPr>
          <w:p w14:paraId="18F8FE52">
            <w:pPr>
              <w:snapToGrid w:val="0"/>
              <w:spacing w:line="360" w:lineRule="auto"/>
              <w:ind w:left="0" w:leftChars="0" w:right="0" w:rightChars="0" w:firstLine="0" w:firstLineChars="0"/>
              <w:jc w:val="center"/>
              <w:rPr>
                <w:rFonts w:ascii="Times New Roman" w:hAnsi="Times New Roman" w:eastAsia="仿宋_GB2312" w:cs="Times New Roman"/>
                <w:color w:val="auto"/>
                <w:sz w:val="24"/>
                <w:szCs w:val="24"/>
                <w:highlight w:val="none"/>
              </w:rPr>
            </w:pPr>
          </w:p>
        </w:tc>
        <w:tc>
          <w:tcPr>
            <w:tcW w:w="693" w:type="dxa"/>
            <w:shd w:val="clear" w:color="auto" w:fill="auto"/>
            <w:vAlign w:val="center"/>
          </w:tcPr>
          <w:p w14:paraId="561FC18D">
            <w:pPr>
              <w:snapToGrid w:val="0"/>
              <w:spacing w:line="360" w:lineRule="auto"/>
              <w:ind w:left="0" w:leftChars="0" w:right="0" w:rightChars="0" w:firstLine="0" w:firstLineChars="0"/>
              <w:jc w:val="center"/>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w:t>
            </w:r>
          </w:p>
        </w:tc>
        <w:tc>
          <w:tcPr>
            <w:tcW w:w="4578" w:type="dxa"/>
            <w:shd w:val="clear" w:color="auto" w:fill="auto"/>
            <w:vAlign w:val="center"/>
          </w:tcPr>
          <w:p w14:paraId="4EF11193">
            <w:pPr>
              <w:snapToGrid w:val="0"/>
              <w:spacing w:line="360" w:lineRule="auto"/>
              <w:ind w:left="0" w:leftChars="0" w:right="0" w:rightChars="0" w:firstLine="0" w:firstLineChars="0"/>
              <w:jc w:val="left"/>
              <w:rPr>
                <w:rFonts w:hint="eastAsia" w:ascii="Times New Roman" w:hAnsi="仿宋_GB2312" w:eastAsia="仿宋_GB2312" w:cs="仿宋_GB2312"/>
                <w:color w:val="auto"/>
                <w:spacing w:val="-20"/>
                <w:kern w:val="2"/>
                <w:sz w:val="24"/>
                <w:szCs w:val="24"/>
                <w:highlight w:val="none"/>
                <w:lang w:val="en-US" w:eastAsia="zh-CN" w:bidi="ar-SA"/>
              </w:rPr>
            </w:pPr>
            <w:r>
              <w:rPr>
                <w:rFonts w:hint="eastAsia" w:ascii="Times New Roman" w:hAnsi="仿宋_GB2312" w:eastAsia="仿宋_GB2312" w:cs="仿宋_GB2312"/>
                <w:color w:val="auto"/>
                <w:spacing w:val="-20"/>
                <w:sz w:val="24"/>
                <w:szCs w:val="24"/>
                <w:highlight w:val="none"/>
                <w:lang w:eastAsia="zh-CN"/>
              </w:rPr>
              <w:t>*</w:t>
            </w:r>
            <w:r>
              <w:rPr>
                <w:rFonts w:hint="eastAsia" w:ascii="Times New Roman" w:hAnsi="仿宋_GB2312" w:eastAsia="仿宋_GB2312" w:cs="仿宋_GB2312"/>
                <w:color w:val="auto"/>
                <w:spacing w:val="-20"/>
                <w:sz w:val="24"/>
                <w:szCs w:val="24"/>
                <w:highlight w:val="none"/>
              </w:rPr>
              <w:t>岁以下婴幼儿</w:t>
            </w:r>
            <w:r>
              <w:rPr>
                <w:rFonts w:hint="eastAsia" w:ascii="Times New Roman" w:hAnsi="仿宋_GB2312" w:eastAsia="仿宋_GB2312" w:cs="仿宋_GB2312"/>
                <w:color w:val="auto"/>
                <w:spacing w:val="-20"/>
                <w:sz w:val="24"/>
                <w:szCs w:val="24"/>
                <w:highlight w:val="none"/>
                <w:lang w:val="en-US" w:eastAsia="zh-CN"/>
              </w:rPr>
              <w:t>入托率提高</w:t>
            </w:r>
            <w:r>
              <w:rPr>
                <w:rFonts w:hint="eastAsia" w:ascii="Times New Roman" w:hAnsi="仿宋_GB2312" w:eastAsia="仿宋_GB2312" w:cs="仿宋_GB2312"/>
                <w:color w:val="auto"/>
                <w:spacing w:val="-20"/>
                <w:sz w:val="24"/>
                <w:szCs w:val="24"/>
                <w:highlight w:val="none"/>
              </w:rPr>
              <w:t>（</w:t>
            </w:r>
            <w:r>
              <w:rPr>
                <w:rFonts w:hint="eastAsia" w:ascii="Times New Roman" w:hAnsi="仿宋_GB2312" w:eastAsia="仿宋_GB2312" w:cs="仿宋_GB2312"/>
                <w:color w:val="auto"/>
                <w:spacing w:val="-20"/>
                <w:sz w:val="24"/>
                <w:szCs w:val="24"/>
                <w:highlight w:val="none"/>
                <w:lang w:val="en-US" w:eastAsia="zh-CN"/>
              </w:rPr>
              <w:t>%</w:t>
            </w:r>
            <w:r>
              <w:rPr>
                <w:rFonts w:hint="eastAsia" w:ascii="Times New Roman" w:hAnsi="仿宋_GB2312" w:eastAsia="仿宋_GB2312" w:cs="仿宋_GB2312"/>
                <w:color w:val="auto"/>
                <w:spacing w:val="-20"/>
                <w:sz w:val="24"/>
                <w:szCs w:val="24"/>
                <w:highlight w:val="none"/>
              </w:rPr>
              <w:t>）</w:t>
            </w:r>
          </w:p>
        </w:tc>
        <w:tc>
          <w:tcPr>
            <w:tcW w:w="988" w:type="dxa"/>
            <w:shd w:val="clear" w:color="auto" w:fill="auto"/>
            <w:vAlign w:val="center"/>
          </w:tcPr>
          <w:p w14:paraId="5426548C">
            <w:pPr>
              <w:snapToGrid w:val="0"/>
              <w:spacing w:line="360" w:lineRule="auto"/>
              <w:ind w:left="0" w:leftChars="0" w:right="0" w:rightChars="0" w:firstLine="0" w:firstLineChars="0"/>
              <w:jc w:val="center"/>
              <w:rPr>
                <w:rFonts w:hint="default" w:ascii="Times New Roman" w:hAnsi="Times New Roman" w:eastAsia="仿宋_GB2312" w:cs="Times New Roman"/>
                <w:i w:val="0"/>
                <w:iCs w:val="0"/>
                <w:color w:val="auto"/>
                <w:kern w:val="2"/>
                <w:sz w:val="24"/>
                <w:szCs w:val="24"/>
                <w:highlight w:val="none"/>
                <w:lang w:val="en-US" w:eastAsia="zh-CN" w:bidi="ar-SA"/>
              </w:rPr>
            </w:pPr>
            <w:r>
              <w:rPr>
                <w:rFonts w:hint="eastAsia" w:ascii="Times New Roman" w:hAnsi="Times New Roman" w:eastAsia="仿宋_GB2312" w:cs="Times New Roman"/>
                <w:color w:val="auto"/>
                <w:sz w:val="24"/>
                <w:szCs w:val="24"/>
                <w:highlight w:val="none"/>
                <w:lang w:val="en-US" w:eastAsia="zh-CN"/>
              </w:rPr>
              <w:t>-</w:t>
            </w:r>
          </w:p>
        </w:tc>
        <w:tc>
          <w:tcPr>
            <w:tcW w:w="1027" w:type="dxa"/>
            <w:shd w:val="clear" w:color="auto" w:fill="auto"/>
            <w:vAlign w:val="center"/>
          </w:tcPr>
          <w:p w14:paraId="548531D8">
            <w:pPr>
              <w:snapToGrid w:val="0"/>
              <w:spacing w:line="360" w:lineRule="auto"/>
              <w:ind w:left="0" w:leftChars="0" w:right="0" w:rightChars="0" w:firstLine="0" w:firstLineChars="0"/>
              <w:jc w:val="center"/>
              <w:rPr>
                <w:rFonts w:hint="default" w:ascii="Times New Roman" w:hAnsi="Times New Roman" w:eastAsia="仿宋_GB2312" w:cs="Times New Roman"/>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w:t>
            </w:r>
          </w:p>
        </w:tc>
        <w:tc>
          <w:tcPr>
            <w:tcW w:w="1219" w:type="dxa"/>
            <w:shd w:val="clear" w:color="auto" w:fill="auto"/>
            <w:vAlign w:val="center"/>
          </w:tcPr>
          <w:p w14:paraId="4615D070">
            <w:pPr>
              <w:snapToGrid w:val="0"/>
              <w:spacing w:line="360" w:lineRule="auto"/>
              <w:ind w:left="0" w:leftChars="0" w:right="0" w:rightChars="0" w:firstLine="0" w:firstLineChars="0"/>
              <w:jc w:val="center"/>
              <w:rPr>
                <w:rFonts w:hint="eastAsia"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sz w:val="24"/>
                <w:szCs w:val="24"/>
                <w:highlight w:val="none"/>
              </w:rPr>
              <w:t>预期性</w:t>
            </w:r>
          </w:p>
        </w:tc>
      </w:tr>
      <w:tr w14:paraId="35C28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1" w:type="dxa"/>
            <w:vMerge w:val="restart"/>
            <w:vAlign w:val="center"/>
          </w:tcPr>
          <w:p w14:paraId="6EAF6116">
            <w:pPr>
              <w:tabs>
                <w:tab w:val="left" w:pos="475"/>
              </w:tabs>
              <w:snapToGrid w:val="0"/>
              <w:spacing w:line="360" w:lineRule="auto"/>
              <w:ind w:left="0" w:leftChars="0" w:right="0" w:rightChars="0" w:firstLine="0" w:firstLineChars="0"/>
              <w:jc w:val="center"/>
              <w:rPr>
                <w:rFonts w:hint="eastAsia" w:ascii="Times New Roman" w:hAnsi="Times New Roman" w:eastAsia="仿宋_GB2312" w:cs="Times New Roman"/>
                <w:color w:val="auto"/>
                <w:sz w:val="24"/>
                <w:szCs w:val="24"/>
                <w:highlight w:val="none"/>
                <w:lang w:eastAsia="zh-CN"/>
              </w:rPr>
            </w:pPr>
            <w:r>
              <w:rPr>
                <w:rFonts w:hint="eastAsia" w:ascii="Times New Roman" w:hAnsi="Times New Roman" w:eastAsia="仿宋_GB2312" w:cs="Times New Roman"/>
                <w:color w:val="auto"/>
                <w:sz w:val="24"/>
                <w:szCs w:val="24"/>
                <w:highlight w:val="none"/>
                <w:lang w:eastAsia="zh-CN"/>
              </w:rPr>
              <w:t>医疗</w:t>
            </w:r>
            <w:r>
              <w:rPr>
                <w:rFonts w:hint="eastAsia" w:ascii="Times New Roman" w:hAnsi="Times New Roman" w:eastAsia="仿宋_GB2312" w:cs="Times New Roman"/>
                <w:color w:val="auto"/>
                <w:sz w:val="24"/>
                <w:szCs w:val="24"/>
                <w:highlight w:val="none"/>
                <w:lang w:val="en-US" w:eastAsia="zh-CN"/>
              </w:rPr>
              <w:t>保障</w:t>
            </w:r>
          </w:p>
        </w:tc>
        <w:tc>
          <w:tcPr>
            <w:tcW w:w="693" w:type="dxa"/>
            <w:shd w:val="clear" w:color="auto" w:fill="auto"/>
            <w:vAlign w:val="center"/>
          </w:tcPr>
          <w:p w14:paraId="043E5946">
            <w:pPr>
              <w:snapToGrid w:val="0"/>
              <w:spacing w:line="360" w:lineRule="auto"/>
              <w:ind w:left="0" w:leftChars="0" w:right="0" w:rightChars="0" w:firstLine="0" w:firstLineChars="0"/>
              <w:jc w:val="center"/>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w:t>
            </w:r>
          </w:p>
        </w:tc>
        <w:tc>
          <w:tcPr>
            <w:tcW w:w="4578" w:type="dxa"/>
            <w:vAlign w:val="center"/>
          </w:tcPr>
          <w:p w14:paraId="65F50992">
            <w:pPr>
              <w:snapToGrid w:val="0"/>
              <w:spacing w:line="360" w:lineRule="auto"/>
              <w:ind w:left="0" w:leftChars="0" w:right="0" w:rightChars="0" w:firstLine="0" w:firstLineChars="0"/>
              <w:jc w:val="left"/>
              <w:rPr>
                <w:rFonts w:hint="default" w:ascii="Times New Roman" w:hAnsi="仿宋_GB2312" w:eastAsia="仿宋_GB2312" w:cs="仿宋_GB2312"/>
                <w:color w:val="auto"/>
                <w:spacing w:val="-20"/>
                <w:sz w:val="24"/>
                <w:szCs w:val="24"/>
                <w:highlight w:val="none"/>
                <w:lang w:val="en-US" w:eastAsia="zh-CN"/>
              </w:rPr>
            </w:pPr>
            <w:r>
              <w:rPr>
                <w:rFonts w:hint="eastAsia" w:ascii="Times New Roman" w:hAnsi="仿宋_GB2312" w:eastAsia="仿宋_GB2312" w:cs="仿宋_GB2312"/>
                <w:color w:val="auto"/>
                <w:spacing w:val="-20"/>
                <w:sz w:val="24"/>
                <w:szCs w:val="24"/>
                <w:highlight w:val="none"/>
                <w:lang w:val="en-US" w:eastAsia="zh-CN"/>
              </w:rPr>
              <w:t>职工基本医保目录内住院费用基金支付比例（%）</w:t>
            </w:r>
          </w:p>
        </w:tc>
        <w:tc>
          <w:tcPr>
            <w:tcW w:w="988" w:type="dxa"/>
            <w:vAlign w:val="center"/>
          </w:tcPr>
          <w:p w14:paraId="4B9D0F6A">
            <w:pPr>
              <w:snapToGrid w:val="0"/>
              <w:spacing w:line="360" w:lineRule="auto"/>
              <w:ind w:left="0" w:leftChars="0" w:right="0" w:rightChars="0" w:firstLine="0" w:firstLineChars="0"/>
              <w:jc w:val="center"/>
              <w:rPr>
                <w:rFonts w:hint="default" w:ascii="Times New Roman" w:hAnsi="Times New Roman" w:eastAsia="仿宋_GB2312" w:cs="Times New Roman"/>
                <w:i w:val="0"/>
                <w:iCs w:val="0"/>
                <w:color w:val="auto"/>
                <w:sz w:val="24"/>
                <w:szCs w:val="24"/>
                <w:highlight w:val="none"/>
                <w:lang w:val="en-US" w:eastAsia="zh-CN"/>
              </w:rPr>
            </w:pPr>
            <w:r>
              <w:rPr>
                <w:rFonts w:hint="eastAsia" w:ascii="Times New Roman" w:hAnsi="Times New Roman" w:eastAsia="仿宋_GB2312" w:cs="Times New Roman"/>
                <w:i w:val="0"/>
                <w:iCs w:val="0"/>
                <w:color w:val="auto"/>
                <w:sz w:val="24"/>
                <w:szCs w:val="24"/>
                <w:highlight w:val="none"/>
                <w:lang w:val="en-US" w:eastAsia="zh-CN"/>
              </w:rPr>
              <w:t>**</w:t>
            </w:r>
            <w:r>
              <w:rPr>
                <w:rFonts w:hint="default" w:ascii="Times New Roman" w:hAnsi="Times New Roman" w:eastAsia="仿宋_GB2312" w:cs="Times New Roman"/>
                <w:i w:val="0"/>
                <w:iCs w:val="0"/>
                <w:color w:val="auto"/>
                <w:sz w:val="24"/>
                <w:szCs w:val="24"/>
                <w:highlight w:val="none"/>
                <w:lang w:val="en-US" w:eastAsia="zh-CN"/>
              </w:rPr>
              <w:t>.</w:t>
            </w:r>
            <w:r>
              <w:rPr>
                <w:rFonts w:hint="eastAsia" w:ascii="Times New Roman" w:hAnsi="Times New Roman" w:eastAsia="仿宋_GB2312" w:cs="Times New Roman"/>
                <w:i w:val="0"/>
                <w:iCs w:val="0"/>
                <w:color w:val="auto"/>
                <w:sz w:val="24"/>
                <w:szCs w:val="24"/>
                <w:highlight w:val="none"/>
                <w:lang w:val="en-US" w:eastAsia="zh-CN"/>
              </w:rPr>
              <w:t>**</w:t>
            </w:r>
            <w:r>
              <w:rPr>
                <w:rFonts w:hint="default" w:ascii="Times New Roman" w:hAnsi="Times New Roman" w:eastAsia="仿宋_GB2312" w:cs="Times New Roman"/>
                <w:i w:val="0"/>
                <w:iCs w:val="0"/>
                <w:color w:val="auto"/>
                <w:sz w:val="24"/>
                <w:szCs w:val="24"/>
                <w:highlight w:val="none"/>
                <w:lang w:val="en-US" w:eastAsia="zh-CN"/>
              </w:rPr>
              <w:t>%</w:t>
            </w:r>
          </w:p>
        </w:tc>
        <w:tc>
          <w:tcPr>
            <w:tcW w:w="1027" w:type="dxa"/>
            <w:vAlign w:val="center"/>
          </w:tcPr>
          <w:p w14:paraId="43770965">
            <w:pPr>
              <w:snapToGrid w:val="0"/>
              <w:spacing w:line="360" w:lineRule="auto"/>
              <w:ind w:left="0" w:leftChars="0" w:right="0" w:rightChars="0" w:firstLine="0" w:firstLineChars="0"/>
              <w:jc w:val="center"/>
              <w:rPr>
                <w:rFonts w:hint="default"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保持稳定</w:t>
            </w:r>
          </w:p>
        </w:tc>
        <w:tc>
          <w:tcPr>
            <w:tcW w:w="1219" w:type="dxa"/>
            <w:vAlign w:val="center"/>
          </w:tcPr>
          <w:p w14:paraId="537C00F4">
            <w:pPr>
              <w:snapToGrid w:val="0"/>
              <w:spacing w:line="360" w:lineRule="auto"/>
              <w:ind w:left="0" w:leftChars="0" w:right="0" w:rightChars="0" w:firstLine="0" w:firstLineChars="0"/>
              <w:jc w:val="center"/>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预期性</w:t>
            </w:r>
          </w:p>
        </w:tc>
      </w:tr>
      <w:tr w14:paraId="26EE7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1" w:type="dxa"/>
            <w:vMerge w:val="continue"/>
            <w:vAlign w:val="center"/>
          </w:tcPr>
          <w:p w14:paraId="50B795BB">
            <w:pPr>
              <w:tabs>
                <w:tab w:val="left" w:pos="475"/>
              </w:tabs>
              <w:snapToGrid w:val="0"/>
              <w:spacing w:line="360" w:lineRule="auto"/>
              <w:ind w:left="0" w:leftChars="0" w:right="0" w:rightChars="0" w:firstLine="0" w:firstLineChars="0"/>
              <w:jc w:val="center"/>
              <w:rPr>
                <w:rFonts w:hint="eastAsia" w:ascii="Times New Roman" w:hAnsi="Times New Roman" w:eastAsia="仿宋_GB2312" w:cs="Times New Roman"/>
                <w:color w:val="auto"/>
                <w:sz w:val="24"/>
                <w:szCs w:val="24"/>
                <w:highlight w:val="none"/>
                <w:lang w:eastAsia="zh-CN"/>
              </w:rPr>
            </w:pPr>
          </w:p>
        </w:tc>
        <w:tc>
          <w:tcPr>
            <w:tcW w:w="693" w:type="dxa"/>
            <w:shd w:val="clear" w:color="auto" w:fill="auto"/>
            <w:vAlign w:val="center"/>
          </w:tcPr>
          <w:p w14:paraId="2ABC7D8F">
            <w:pPr>
              <w:snapToGrid w:val="0"/>
              <w:spacing w:line="360" w:lineRule="auto"/>
              <w:ind w:left="0" w:leftChars="0" w:right="0" w:rightChars="0" w:firstLine="0" w:firstLineChars="0"/>
              <w:jc w:val="center"/>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w:t>
            </w:r>
          </w:p>
        </w:tc>
        <w:tc>
          <w:tcPr>
            <w:tcW w:w="4578" w:type="dxa"/>
            <w:vAlign w:val="center"/>
          </w:tcPr>
          <w:p w14:paraId="045DA49E">
            <w:pPr>
              <w:snapToGrid w:val="0"/>
              <w:spacing w:line="360" w:lineRule="auto"/>
              <w:ind w:left="0" w:leftChars="0" w:right="0" w:rightChars="0" w:firstLine="0" w:firstLineChars="0"/>
              <w:jc w:val="left"/>
              <w:rPr>
                <w:rFonts w:hint="default" w:ascii="Times New Roman" w:hAnsi="仿宋_GB2312" w:eastAsia="仿宋_GB2312" w:cs="仿宋_GB2312"/>
                <w:color w:val="auto"/>
                <w:spacing w:val="-20"/>
                <w:sz w:val="24"/>
                <w:szCs w:val="24"/>
                <w:highlight w:val="none"/>
                <w:lang w:val="en-US" w:eastAsia="zh-CN"/>
              </w:rPr>
            </w:pPr>
            <w:r>
              <w:rPr>
                <w:rFonts w:hint="eastAsia" w:ascii="Times New Roman" w:hAnsi="仿宋_GB2312" w:eastAsia="仿宋_GB2312" w:cs="仿宋_GB2312"/>
                <w:color w:val="auto"/>
                <w:spacing w:val="-20"/>
                <w:sz w:val="24"/>
                <w:szCs w:val="24"/>
                <w:highlight w:val="none"/>
                <w:lang w:val="en-US" w:eastAsia="zh-CN"/>
              </w:rPr>
              <w:t>城乡居民医保目录内住院费用基金支付比例（%）</w:t>
            </w:r>
          </w:p>
        </w:tc>
        <w:tc>
          <w:tcPr>
            <w:tcW w:w="988" w:type="dxa"/>
            <w:vAlign w:val="center"/>
          </w:tcPr>
          <w:p w14:paraId="5246DFDC">
            <w:pPr>
              <w:snapToGrid w:val="0"/>
              <w:spacing w:line="360" w:lineRule="auto"/>
              <w:ind w:left="0" w:leftChars="0" w:right="0" w:rightChars="0" w:firstLine="0" w:firstLineChars="0"/>
              <w:jc w:val="center"/>
              <w:rPr>
                <w:rFonts w:hint="default" w:ascii="Times New Roman" w:hAnsi="Times New Roman" w:eastAsia="仿宋_GB2312" w:cs="Times New Roman"/>
                <w:i w:val="0"/>
                <w:iCs w:val="0"/>
                <w:color w:val="auto"/>
                <w:sz w:val="24"/>
                <w:szCs w:val="24"/>
                <w:highlight w:val="none"/>
                <w:lang w:val="en-US" w:eastAsia="zh-CN"/>
              </w:rPr>
            </w:pPr>
            <w:r>
              <w:rPr>
                <w:rFonts w:hint="eastAsia" w:ascii="Times New Roman" w:hAnsi="Times New Roman" w:eastAsia="仿宋_GB2312" w:cs="Times New Roman"/>
                <w:i w:val="0"/>
                <w:iCs w:val="0"/>
                <w:color w:val="auto"/>
                <w:sz w:val="24"/>
                <w:szCs w:val="24"/>
                <w:highlight w:val="none"/>
                <w:lang w:val="en-US" w:eastAsia="zh-CN"/>
              </w:rPr>
              <w:t>**</w:t>
            </w:r>
            <w:r>
              <w:rPr>
                <w:rFonts w:hint="default" w:ascii="Times New Roman" w:hAnsi="Times New Roman" w:eastAsia="仿宋_GB2312" w:cs="Times New Roman"/>
                <w:i w:val="0"/>
                <w:iCs w:val="0"/>
                <w:color w:val="auto"/>
                <w:sz w:val="24"/>
                <w:szCs w:val="24"/>
                <w:highlight w:val="none"/>
                <w:lang w:val="en-US" w:eastAsia="zh-CN"/>
              </w:rPr>
              <w:t>.</w:t>
            </w:r>
            <w:r>
              <w:rPr>
                <w:rFonts w:hint="eastAsia" w:ascii="Times New Roman" w:hAnsi="Times New Roman" w:eastAsia="仿宋_GB2312" w:cs="Times New Roman"/>
                <w:i w:val="0"/>
                <w:iCs w:val="0"/>
                <w:color w:val="auto"/>
                <w:sz w:val="24"/>
                <w:szCs w:val="24"/>
                <w:highlight w:val="none"/>
                <w:lang w:val="en-US" w:eastAsia="zh-CN"/>
              </w:rPr>
              <w:t>**</w:t>
            </w:r>
            <w:r>
              <w:rPr>
                <w:rFonts w:hint="default" w:ascii="Times New Roman" w:hAnsi="Times New Roman" w:eastAsia="仿宋_GB2312" w:cs="Times New Roman"/>
                <w:i w:val="0"/>
                <w:iCs w:val="0"/>
                <w:color w:val="auto"/>
                <w:sz w:val="24"/>
                <w:szCs w:val="24"/>
                <w:highlight w:val="none"/>
                <w:lang w:val="en-US" w:eastAsia="zh-CN"/>
              </w:rPr>
              <w:t>%</w:t>
            </w:r>
          </w:p>
        </w:tc>
        <w:tc>
          <w:tcPr>
            <w:tcW w:w="1027" w:type="dxa"/>
            <w:vAlign w:val="center"/>
          </w:tcPr>
          <w:p w14:paraId="3051FF71">
            <w:pPr>
              <w:snapToGrid w:val="0"/>
              <w:spacing w:line="360" w:lineRule="auto"/>
              <w:ind w:left="0" w:leftChars="0" w:right="0" w:rightChars="0" w:firstLine="0" w:firstLineChars="0"/>
              <w:jc w:val="center"/>
              <w:rPr>
                <w:rFonts w:hint="default"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保持稳定</w:t>
            </w:r>
          </w:p>
        </w:tc>
        <w:tc>
          <w:tcPr>
            <w:tcW w:w="1219" w:type="dxa"/>
            <w:shd w:val="clear" w:color="auto" w:fill="auto"/>
            <w:vAlign w:val="center"/>
          </w:tcPr>
          <w:p w14:paraId="0C40C853">
            <w:pPr>
              <w:snapToGrid w:val="0"/>
              <w:spacing w:line="360" w:lineRule="auto"/>
              <w:ind w:left="0" w:leftChars="0" w:right="0" w:rightChars="0" w:firstLine="0" w:firstLineChars="0"/>
              <w:jc w:val="center"/>
              <w:rPr>
                <w:rFonts w:hint="eastAsia"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sz w:val="24"/>
                <w:szCs w:val="24"/>
                <w:highlight w:val="none"/>
              </w:rPr>
              <w:t>预期性</w:t>
            </w:r>
          </w:p>
        </w:tc>
      </w:tr>
      <w:tr w14:paraId="443CB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1" w:type="dxa"/>
            <w:vAlign w:val="center"/>
          </w:tcPr>
          <w:p w14:paraId="69607FB8">
            <w:pPr>
              <w:snapToGrid w:val="0"/>
              <w:spacing w:line="360" w:lineRule="auto"/>
              <w:ind w:left="0" w:leftChars="0" w:right="0" w:rightChars="0" w:firstLine="0" w:firstLineChars="0"/>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医疗服务</w:t>
            </w:r>
          </w:p>
        </w:tc>
        <w:tc>
          <w:tcPr>
            <w:tcW w:w="693" w:type="dxa"/>
            <w:shd w:val="clear" w:color="auto" w:fill="auto"/>
            <w:vAlign w:val="center"/>
          </w:tcPr>
          <w:p w14:paraId="65BAE8B3">
            <w:pPr>
              <w:snapToGrid w:val="0"/>
              <w:spacing w:line="360" w:lineRule="auto"/>
              <w:ind w:left="0" w:leftChars="0" w:right="0" w:rightChars="0" w:firstLine="0" w:firstLineChars="0"/>
              <w:jc w:val="center"/>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w:t>
            </w:r>
          </w:p>
        </w:tc>
        <w:tc>
          <w:tcPr>
            <w:tcW w:w="4578" w:type="dxa"/>
            <w:shd w:val="clear" w:color="auto" w:fill="auto"/>
            <w:vAlign w:val="center"/>
          </w:tcPr>
          <w:p w14:paraId="213EDB59">
            <w:pPr>
              <w:keepNext w:val="0"/>
              <w:keepLines w:val="0"/>
              <w:widowControl/>
              <w:suppressLineNumbers w:val="0"/>
              <w:snapToGrid w:val="0"/>
              <w:spacing w:line="360" w:lineRule="auto"/>
              <w:ind w:left="0" w:leftChars="0" w:right="0" w:rightChars="0" w:firstLine="0" w:firstLineChars="0"/>
              <w:jc w:val="left"/>
              <w:textAlignment w:val="top"/>
              <w:rPr>
                <w:rFonts w:hint="default" w:ascii="Times New Roman" w:hAnsi="仿宋_GB2312" w:eastAsia="仿宋_GB2312" w:cs="仿宋_GB2312"/>
                <w:color w:val="auto"/>
                <w:spacing w:val="-20"/>
                <w:kern w:val="2"/>
                <w:sz w:val="24"/>
                <w:szCs w:val="24"/>
                <w:highlight w:val="none"/>
                <w:lang w:val="en-US" w:eastAsia="zh-CN" w:bidi="ar-SA"/>
              </w:rPr>
            </w:pPr>
            <w:r>
              <w:rPr>
                <w:rFonts w:hint="eastAsia" w:ascii="Times New Roman" w:hAnsi="仿宋_GB2312" w:eastAsia="仿宋_GB2312" w:cs="仿宋_GB2312"/>
                <w:color w:val="auto"/>
                <w:spacing w:val="-20"/>
                <w:sz w:val="24"/>
                <w:szCs w:val="24"/>
                <w:highlight w:val="none"/>
                <w:lang w:val="en-US" w:eastAsia="zh-CN"/>
              </w:rPr>
              <w:t>基层医疗卫生机构诊疗量占比</w:t>
            </w:r>
            <w:r>
              <w:rPr>
                <w:rFonts w:hint="eastAsia" w:ascii="Times New Roman" w:hAnsi="Times New Roman" w:eastAsia="仿宋_GB2312" w:cs="Times New Roman"/>
                <w:color w:val="auto"/>
                <w:sz w:val="24"/>
                <w:szCs w:val="24"/>
                <w:highlight w:val="none"/>
              </w:rPr>
              <w:t>（%）</w:t>
            </w:r>
          </w:p>
        </w:tc>
        <w:tc>
          <w:tcPr>
            <w:tcW w:w="988" w:type="dxa"/>
            <w:shd w:val="clear" w:color="auto" w:fill="auto"/>
            <w:vAlign w:val="center"/>
          </w:tcPr>
          <w:p w14:paraId="4D4EC7FA">
            <w:pPr>
              <w:snapToGrid w:val="0"/>
              <w:spacing w:line="360" w:lineRule="auto"/>
              <w:ind w:left="0" w:leftChars="0" w:right="0" w:rightChars="0" w:firstLine="0" w:firstLineChars="0"/>
              <w:jc w:val="center"/>
              <w:rPr>
                <w:rFonts w:hint="default" w:ascii="Times New Roman" w:hAnsi="Times New Roman" w:eastAsia="仿宋_GB2312" w:cs="Times New Roman"/>
                <w:i w:val="0"/>
                <w:iCs w:val="0"/>
                <w:color w:val="auto"/>
                <w:kern w:val="2"/>
                <w:sz w:val="24"/>
                <w:szCs w:val="24"/>
                <w:highlight w:val="none"/>
                <w:lang w:val="en-US" w:eastAsia="zh-CN" w:bidi="ar-SA"/>
              </w:rPr>
            </w:pPr>
            <w:r>
              <w:rPr>
                <w:rFonts w:hint="eastAsia" w:ascii="Times New Roman" w:hAnsi="Times New Roman" w:eastAsia="仿宋_GB2312" w:cs="Times New Roman"/>
                <w:i w:val="0"/>
                <w:iCs w:val="0"/>
                <w:color w:val="auto"/>
                <w:sz w:val="24"/>
                <w:szCs w:val="24"/>
                <w:highlight w:val="none"/>
                <w:lang w:val="en-US" w:eastAsia="zh-CN"/>
              </w:rPr>
              <w:t>**.**</w:t>
            </w:r>
          </w:p>
        </w:tc>
        <w:tc>
          <w:tcPr>
            <w:tcW w:w="1027" w:type="dxa"/>
            <w:shd w:val="clear" w:color="auto" w:fill="auto"/>
            <w:vAlign w:val="center"/>
          </w:tcPr>
          <w:p w14:paraId="071D4B52">
            <w:pPr>
              <w:snapToGrid w:val="0"/>
              <w:spacing w:line="360" w:lineRule="auto"/>
              <w:ind w:left="0" w:leftChars="0" w:right="0" w:rightChars="0" w:firstLine="0" w:firstLineChars="0"/>
              <w:jc w:val="center"/>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sz w:val="24"/>
                <w:szCs w:val="24"/>
                <w:highlight w:val="none"/>
                <w:lang w:val="en-US" w:eastAsia="zh-CN"/>
              </w:rPr>
              <w:t>≥**</w:t>
            </w:r>
          </w:p>
        </w:tc>
        <w:tc>
          <w:tcPr>
            <w:tcW w:w="1219" w:type="dxa"/>
            <w:shd w:val="clear" w:color="auto" w:fill="auto"/>
            <w:vAlign w:val="center"/>
          </w:tcPr>
          <w:p w14:paraId="6BE10318">
            <w:pPr>
              <w:snapToGrid w:val="0"/>
              <w:spacing w:line="360" w:lineRule="auto"/>
              <w:ind w:left="0" w:leftChars="0" w:right="0" w:rightChars="0" w:firstLine="0" w:firstLineChars="0"/>
              <w:jc w:val="center"/>
              <w:rPr>
                <w:rFonts w:hint="eastAsia"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sz w:val="24"/>
                <w:szCs w:val="24"/>
                <w:highlight w:val="none"/>
              </w:rPr>
              <w:t>预期性</w:t>
            </w:r>
          </w:p>
        </w:tc>
      </w:tr>
      <w:bookmarkEnd w:id="10"/>
    </w:tbl>
    <w:p w14:paraId="6A20BAD9">
      <w:pPr>
        <w:numPr>
          <w:ilvl w:val="0"/>
          <w:numId w:val="0"/>
        </w:numPr>
        <w:pBdr>
          <w:bottom w:val="single" w:color="FFFFFF" w:sz="4" w:space="12"/>
        </w:pBdr>
        <w:autoSpaceDE w:val="0"/>
        <w:autoSpaceDN w:val="0"/>
        <w:snapToGrid w:val="0"/>
        <w:spacing w:line="240" w:lineRule="auto"/>
        <w:ind w:firstLine="480" w:firstLineChars="200"/>
        <w:contextualSpacing/>
        <w:rPr>
          <w:rFonts w:hint="default" w:ascii="Times New Roman" w:hAnsi="Times New Roman" w:eastAsia="仿宋_GB2312" w:cs="Times New Roman"/>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w:t>
      </w:r>
      <w:r>
        <w:rPr>
          <w:rFonts w:hint="eastAsia" w:ascii="Times New Roman" w:hAnsi="Times New Roman" w:eastAsia="仿宋_GB2312" w:cs="Times New Roman"/>
          <w:b/>
          <w:bCs/>
          <w:color w:val="auto"/>
          <w:sz w:val="24"/>
          <w:szCs w:val="24"/>
          <w:highlight w:val="none"/>
          <w:lang w:val="en-US" w:eastAsia="zh-CN"/>
        </w:rPr>
        <w:t>：括号内为*年累计数。</w:t>
      </w:r>
    </w:p>
    <w:p w14:paraId="36A6D4D3">
      <w:pPr>
        <w:pStyle w:val="7"/>
        <w:spacing w:line="240" w:lineRule="auto"/>
        <w:ind w:firstLine="480" w:firstLineChars="200"/>
        <w:rPr>
          <w:rFonts w:hint="default" w:ascii="Times New Roman" w:hAnsi="Times New Roman" w:eastAsia="仿宋_GB2312" w:cs="Times New Roman"/>
          <w:b w:val="0"/>
          <w:bCs w:val="0"/>
          <w:color w:val="auto"/>
          <w:kern w:val="2"/>
          <w:sz w:val="24"/>
          <w:szCs w:val="24"/>
          <w:highlight w:val="none"/>
          <w:lang w:val="en-US" w:eastAsia="zh-CN" w:bidi="ar-SA"/>
        </w:rPr>
      </w:pPr>
    </w:p>
    <w:p w14:paraId="07E043EA">
      <w:pPr>
        <w:rPr>
          <w:rFonts w:hint="default"/>
          <w:color w:val="auto"/>
          <w:sz w:val="24"/>
          <w:szCs w:val="24"/>
          <w:highlight w:val="none"/>
          <w:lang w:val="en-US" w:eastAsia="zh-CN"/>
        </w:rPr>
      </w:pPr>
      <w:r>
        <w:rPr>
          <w:rFonts w:hint="default"/>
          <w:color w:val="auto"/>
          <w:sz w:val="24"/>
          <w:szCs w:val="24"/>
          <w:highlight w:val="none"/>
          <w:lang w:val="en-US" w:eastAsia="zh-CN"/>
        </w:rPr>
        <w:br w:type="page"/>
      </w:r>
    </w:p>
    <w:p w14:paraId="14239B55">
      <w:pPr>
        <w:spacing w:line="360" w:lineRule="auto"/>
        <w:ind w:left="0" w:leftChars="0" w:firstLine="0" w:firstLineChars="0"/>
        <w:jc w:val="center"/>
        <w:outlineLvl w:val="0"/>
        <w:rPr>
          <w:rFonts w:hint="eastAsia" w:ascii="黑体" w:hAnsi="黑体" w:eastAsia="黑体" w:cs="黑体"/>
          <w:b/>
          <w:color w:val="auto"/>
          <w:spacing w:val="6"/>
          <w:kern w:val="44"/>
          <w:sz w:val="32"/>
          <w:szCs w:val="60"/>
          <w:highlight w:val="none"/>
        </w:rPr>
      </w:pPr>
      <w:bookmarkStart w:id="11" w:name="_Toc14092"/>
      <w:r>
        <w:rPr>
          <w:rFonts w:hint="eastAsia" w:ascii="黑体" w:hAnsi="黑体" w:eastAsia="黑体" w:cs="黑体"/>
          <w:b/>
          <w:color w:val="auto"/>
          <w:spacing w:val="6"/>
          <w:kern w:val="44"/>
          <w:sz w:val="32"/>
          <w:szCs w:val="60"/>
          <w:highlight w:val="none"/>
        </w:rPr>
        <w:t>第三章  重点任务</w:t>
      </w:r>
      <w:bookmarkEnd w:id="11"/>
    </w:p>
    <w:p w14:paraId="389279EE">
      <w:pPr>
        <w:numPr>
          <w:ilvl w:val="0"/>
          <w:numId w:val="3"/>
        </w:numPr>
        <w:spacing w:beforeLines="100" w:afterLines="100" w:line="360" w:lineRule="auto"/>
        <w:jc w:val="center"/>
        <w:outlineLvl w:val="1"/>
        <w:rPr>
          <w:rFonts w:hint="default" w:ascii="黑体" w:hAnsi="黑体" w:eastAsia="黑体" w:cs="黑体"/>
          <w:b/>
          <w:color w:val="auto"/>
          <w:spacing w:val="6"/>
          <w:kern w:val="44"/>
          <w:sz w:val="32"/>
          <w:szCs w:val="60"/>
          <w:highlight w:val="none"/>
          <w:lang w:val="en-US" w:eastAsia="zh-CN"/>
        </w:rPr>
      </w:pPr>
      <w:bookmarkStart w:id="12" w:name="_Toc6303"/>
      <w:r>
        <w:rPr>
          <w:rFonts w:hint="eastAsia" w:ascii="黑体" w:hAnsi="黑体" w:eastAsia="黑体" w:cs="黑体"/>
          <w:b/>
          <w:color w:val="auto"/>
          <w:spacing w:val="6"/>
          <w:kern w:val="44"/>
          <w:sz w:val="32"/>
          <w:szCs w:val="60"/>
          <w:highlight w:val="none"/>
        </w:rPr>
        <w:t>全面推进健康师市建设</w:t>
      </w:r>
      <w:bookmarkEnd w:id="12"/>
    </w:p>
    <w:p w14:paraId="2346188F">
      <w:pPr>
        <w:pBdr>
          <w:bottom w:val="single" w:color="FFFFFF" w:sz="4" w:space="12"/>
        </w:pBdr>
        <w:autoSpaceDE w:val="0"/>
        <w:autoSpaceDN w:val="0"/>
        <w:snapToGrid w:val="0"/>
        <w:spacing w:line="360" w:lineRule="auto"/>
        <w:ind w:firstLine="643" w:firstLineChars="200"/>
        <w:contextualSpacing/>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完善健康师市建设工作机制。</w:t>
      </w:r>
      <w:r>
        <w:rPr>
          <w:rFonts w:hint="eastAsia" w:ascii="Times New Roman" w:hAnsi="Times New Roman" w:eastAsia="仿宋_GB2312" w:cs="Times New Roman"/>
          <w:b w:val="0"/>
          <w:bCs w:val="0"/>
          <w:color w:val="auto"/>
          <w:sz w:val="32"/>
          <w:szCs w:val="32"/>
          <w:highlight w:val="none"/>
          <w:lang w:val="en-US" w:eastAsia="zh-CN"/>
        </w:rPr>
        <w:t>立足卫生健康部门专业支撑与协调职能，主动融入政府宏观决策，推动构建“政府主导、多部门协同、全社会参与”的健康促进格局，夯实健康融入所有政策的实施基础。一是推动健康影响评估纳入重大行政决策程序。积极推动在制定涉及城乡规划、产业发展、社会保障、教育就业等可能影响公共卫生及居民健康的重大政策文件前，开展健康影响评估工作。二是完善师市、团场健康促进机制和流程，每个团场至少配备*名健康促进专业人员，提升健康促进专业指导与技术支撑能力。三是同步建立健康建设指标监测体系，每年开展指标监测与专项考核，确保建设成效。</w:t>
      </w:r>
    </w:p>
    <w:p w14:paraId="150DA785">
      <w:pPr>
        <w:pBdr>
          <w:bottom w:val="single" w:color="FFFFFF" w:sz="4" w:space="12"/>
        </w:pBdr>
        <w:autoSpaceDE w:val="0"/>
        <w:autoSpaceDN w:val="0"/>
        <w:snapToGrid w:val="0"/>
        <w:spacing w:line="360" w:lineRule="auto"/>
        <w:ind w:firstLine="643" w:firstLineChars="200"/>
        <w:contextualSpacing/>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开展全民健康素养提升专项行动。</w:t>
      </w:r>
      <w:r>
        <w:rPr>
          <w:rFonts w:hint="eastAsia" w:ascii="Times New Roman" w:hAnsi="Times New Roman" w:eastAsia="仿宋_GB2312" w:cs="Times New Roman"/>
          <w:b w:val="0"/>
          <w:bCs w:val="0"/>
          <w:color w:val="auto"/>
          <w:sz w:val="32"/>
          <w:szCs w:val="32"/>
          <w:highlight w:val="none"/>
          <w:lang w:val="en-US" w:eastAsia="zh-CN"/>
        </w:rPr>
        <w:t>围绕合理膳食、适量运动、戒烟限酒、心理平衡等核心主题，开展“健康进万家”常态化宣传教育活动。创新健康传播方式，打造师市健康新媒体矩阵，开发短视频、图文、直播等多元化健康科普产品。针对老年人、儿童、孕产妇、慢性病患者等重点人群，制定精准健康指导方案，开展个性化健康干预服务。推进健康素养监测评价常态化，每两年开展一次师市居民健康素养监测，动态掌握居民健康素养水平变化，确保****年居民健康素养水平达到**%。推广普及全民健身运动，在第五师医院设立运动医学门诊，为群众提供运动处方、健康评估、慢性病运动干预等专业服务。引导市民养成科学运动习惯，提高经常参加体育锻炼人数比例。</w:t>
      </w:r>
    </w:p>
    <w:p w14:paraId="2721736A">
      <w:pPr>
        <w:pBdr>
          <w:bottom w:val="single" w:color="FFFFFF" w:sz="4" w:space="12"/>
        </w:pBdr>
        <w:autoSpaceDE w:val="0"/>
        <w:autoSpaceDN w:val="0"/>
        <w:snapToGrid w:val="0"/>
        <w:spacing w:line="360" w:lineRule="auto"/>
        <w:ind w:firstLine="643" w:firstLineChars="200"/>
        <w:contextualSpacing/>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推进支持性环境建设。</w:t>
      </w:r>
      <w:r>
        <w:rPr>
          <w:rFonts w:hint="eastAsia" w:ascii="Times New Roman" w:hAnsi="Times New Roman" w:eastAsia="仿宋_GB2312" w:cs="Times New Roman"/>
          <w:b w:val="0"/>
          <w:bCs w:val="0"/>
          <w:color w:val="auto"/>
          <w:sz w:val="32"/>
          <w:szCs w:val="32"/>
          <w:highlight w:val="none"/>
          <w:lang w:val="en-US" w:eastAsia="zh-CN"/>
        </w:rPr>
        <w:t>持续改善师市公共卫生环境，健全长效管理机制，联合农业农村、生态环境、住建、水利等部门，深入开展城乡环境卫生综合整治。深入开展爱国卫生运动，重点督促落实生活饮用水卫生监测与评估、污水达标处理、生活垃圾无害化处置、病媒生物防治、食品安全风险监测等工作。确保城乡饮用水卫生监测合格率稳定在**%以上，病媒生物密度控制在国家标准C级及以上水平，食品安全风险监测覆盖率达到***%。持续推进“健康细胞”梯次创建与健康支持性环境建设，制定健康团场（社区）、健康家庭、健康单位等创建标准与评估细则，牵头组织开展创建培训与督导验收，将健康支持性环境建设的成果最终落实到居民身边的社区和家庭。</w:t>
      </w:r>
    </w:p>
    <w:p w14:paraId="2C7B4743">
      <w:pPr>
        <w:pBdr>
          <w:bottom w:val="single" w:color="FFFFFF" w:sz="4" w:space="12"/>
        </w:pBdr>
        <w:autoSpaceDE w:val="0"/>
        <w:autoSpaceDN w:val="0"/>
        <w:snapToGrid w:val="0"/>
        <w:spacing w:line="360" w:lineRule="auto"/>
        <w:ind w:firstLine="643" w:firstLineChars="200"/>
        <w:contextualSpacing/>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强化健康文化培育。</w:t>
      </w:r>
      <w:r>
        <w:rPr>
          <w:rFonts w:hint="eastAsia" w:ascii="Times New Roman" w:hAnsi="Times New Roman" w:eastAsia="仿宋_GB2312" w:cs="Times New Roman"/>
          <w:b w:val="0"/>
          <w:bCs w:val="0"/>
          <w:color w:val="auto"/>
          <w:sz w:val="32"/>
          <w:szCs w:val="32"/>
          <w:highlight w:val="none"/>
          <w:lang w:val="en-US" w:eastAsia="zh-CN"/>
        </w:rPr>
        <w:t>立足师市地域特色，挖掘军垦文化、民族医药、生态资源中的健康元素，打造健康文化品牌，培育“人人追求健康、人人崇尚健康”的社会价值观。在学校、机关、社区设立健康文化角，展示健康榜样事迹、健康家风故事。倡导控烟限酒文明新风，将不吸烟、不敬烟、不劝烟，适量饮酒、不酗酒纳入居民公约、村规民约。到****年，**岁以上人群吸烟率控制在**%以下。</w:t>
      </w:r>
    </w:p>
    <w:tbl>
      <w:tblPr>
        <w:tblStyle w:val="14"/>
        <w:tblpPr w:leftFromText="180" w:rightFromText="180" w:vertAnchor="text" w:horzAnchor="page" w:tblpX="1793" w:tblpY="290"/>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EB63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522" w:type="dxa"/>
            <w:vAlign w:val="center"/>
          </w:tcPr>
          <w:p w14:paraId="41518CE3">
            <w:pPr>
              <w:adjustRightInd w:val="0"/>
              <w:snapToGrid w:val="0"/>
              <w:spacing w:line="580" w:lineRule="exact"/>
              <w:jc w:val="center"/>
              <w:rPr>
                <w:rFonts w:hint="default" w:eastAsia="黑体"/>
                <w:color w:val="auto"/>
                <w:szCs w:val="32"/>
                <w:highlight w:val="none"/>
                <w:lang w:val="en-US" w:eastAsia="zh-CN"/>
              </w:rPr>
            </w:pPr>
            <w:r>
              <w:rPr>
                <w:rFonts w:eastAsia="黑体"/>
                <w:bCs/>
                <w:color w:val="auto"/>
                <w:sz w:val="32"/>
                <w:szCs w:val="48"/>
                <w:highlight w:val="none"/>
              </w:rPr>
              <w:t>专栏</w:t>
            </w:r>
            <w:r>
              <w:rPr>
                <w:rFonts w:hint="eastAsia" w:eastAsia="黑体"/>
                <w:bCs/>
                <w:color w:val="auto"/>
                <w:sz w:val="32"/>
                <w:szCs w:val="48"/>
                <w:highlight w:val="none"/>
                <w:lang w:eastAsia="zh-CN"/>
              </w:rPr>
              <w:t>*</w:t>
            </w:r>
            <w:r>
              <w:rPr>
                <w:rFonts w:eastAsia="黑体"/>
                <w:bCs/>
                <w:color w:val="auto"/>
                <w:sz w:val="32"/>
                <w:szCs w:val="48"/>
                <w:highlight w:val="none"/>
              </w:rPr>
              <w:t xml:space="preserve">  </w:t>
            </w:r>
            <w:r>
              <w:rPr>
                <w:rFonts w:hint="eastAsia" w:eastAsia="黑体"/>
                <w:bCs/>
                <w:color w:val="auto"/>
                <w:sz w:val="32"/>
                <w:szCs w:val="48"/>
                <w:highlight w:val="none"/>
              </w:rPr>
              <w:t>深入推进健康师市建设</w:t>
            </w:r>
            <w:r>
              <w:rPr>
                <w:rFonts w:hint="eastAsia" w:eastAsia="黑体"/>
                <w:bCs/>
                <w:color w:val="auto"/>
                <w:sz w:val="32"/>
                <w:szCs w:val="48"/>
                <w:highlight w:val="none"/>
                <w:lang w:val="en-US" w:eastAsia="zh-CN"/>
              </w:rPr>
              <w:t>工程</w:t>
            </w:r>
          </w:p>
        </w:tc>
      </w:tr>
      <w:tr w14:paraId="52C28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vAlign w:val="center"/>
          </w:tcPr>
          <w:p w14:paraId="60431EB9">
            <w:pPr>
              <w:pStyle w:val="7"/>
              <w:numPr>
                <w:ilvl w:val="0"/>
                <w:numId w:val="4"/>
              </w:numPr>
              <w:spacing w:line="360" w:lineRule="auto"/>
              <w:ind w:left="0" w:leftChars="0" w:firstLine="0" w:firstLineChars="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rPr>
              <w:t>实施</w:t>
            </w:r>
            <w:r>
              <w:rPr>
                <w:rFonts w:hint="eastAsia" w:ascii="Times New Roman" w:hAnsi="Times New Roman" w:eastAsia="仿宋_GB2312" w:cs="Times New Roman"/>
                <w:color w:val="auto"/>
                <w:sz w:val="32"/>
                <w:szCs w:val="32"/>
                <w:highlight w:val="none"/>
                <w:lang w:val="en-US" w:eastAsia="zh-CN"/>
              </w:rPr>
              <w:t>全民</w:t>
            </w:r>
            <w:r>
              <w:rPr>
                <w:rFonts w:hint="eastAsia" w:ascii="Times New Roman" w:hAnsi="Times New Roman" w:eastAsia="仿宋_GB2312" w:cs="Times New Roman"/>
                <w:color w:val="auto"/>
                <w:sz w:val="32"/>
                <w:szCs w:val="32"/>
                <w:highlight w:val="none"/>
              </w:rPr>
              <w:t>健康素养提升专项行动</w:t>
            </w:r>
            <w:r>
              <w:rPr>
                <w:rFonts w:hint="eastAsia" w:ascii="Times New Roman" w:hAnsi="Times New Roman" w:eastAsia="仿宋_GB2312" w:cs="Times New Roman"/>
                <w:color w:val="auto"/>
                <w:sz w:val="32"/>
                <w:szCs w:val="32"/>
                <w:highlight w:val="none"/>
                <w:lang w:eastAsia="zh-CN"/>
              </w:rPr>
              <w:t>。</w:t>
            </w:r>
          </w:p>
          <w:p w14:paraId="069C99E9">
            <w:pPr>
              <w:rPr>
                <w:rFonts w:hint="default"/>
                <w:color w:val="auto"/>
                <w:highlight w:val="none"/>
                <w:lang w:val="en-US" w:eastAsia="zh-CN"/>
              </w:rPr>
            </w:pPr>
            <w:r>
              <w:rPr>
                <w:rFonts w:hint="eastAsia" w:ascii="Times New Roman" w:hAnsi="Times New Roman" w:eastAsia="仿宋_GB2312" w:cs="Times New Roman"/>
                <w:color w:val="auto"/>
                <w:sz w:val="32"/>
                <w:szCs w:val="32"/>
                <w:highlight w:val="none"/>
                <w:lang w:val="en-US" w:eastAsia="zh-CN"/>
              </w:rPr>
              <w:t>*. 实施健康师市行动，强化控烟与限酒，推广运动处方和体重管理。</w:t>
            </w:r>
          </w:p>
        </w:tc>
      </w:tr>
    </w:tbl>
    <w:p w14:paraId="008A5F36">
      <w:pPr>
        <w:numPr>
          <w:ilvl w:val="0"/>
          <w:numId w:val="3"/>
        </w:numPr>
        <w:spacing w:beforeLines="100" w:afterLines="100" w:line="360" w:lineRule="auto"/>
        <w:jc w:val="center"/>
        <w:outlineLvl w:val="1"/>
        <w:rPr>
          <w:rFonts w:hint="eastAsia" w:ascii="黑体" w:hAnsi="黑体" w:eastAsia="黑体" w:cs="黑体"/>
          <w:b/>
          <w:color w:val="auto"/>
          <w:spacing w:val="6"/>
          <w:kern w:val="44"/>
          <w:sz w:val="32"/>
          <w:szCs w:val="60"/>
          <w:highlight w:val="none"/>
          <w:lang w:val="en-US" w:eastAsia="zh-CN"/>
        </w:rPr>
      </w:pPr>
      <w:bookmarkStart w:id="13" w:name="_Toc25824"/>
      <w:r>
        <w:rPr>
          <w:rFonts w:hint="eastAsia" w:ascii="黑体" w:hAnsi="黑体" w:eastAsia="黑体" w:cs="黑体"/>
          <w:b/>
          <w:color w:val="auto"/>
          <w:spacing w:val="6"/>
          <w:kern w:val="44"/>
          <w:sz w:val="32"/>
          <w:szCs w:val="60"/>
          <w:highlight w:val="none"/>
        </w:rPr>
        <w:t>提升区域医疗服务水平</w:t>
      </w:r>
      <w:bookmarkEnd w:id="13"/>
    </w:p>
    <w:p w14:paraId="176ACC83">
      <w:pPr>
        <w:pBdr>
          <w:bottom w:val="single" w:color="FFFFFF" w:sz="4" w:space="12"/>
        </w:pBdr>
        <w:shd w:val="clear"/>
        <w:autoSpaceDE w:val="0"/>
        <w:autoSpaceDN w:val="0"/>
        <w:snapToGrid w:val="0"/>
        <w:spacing w:line="360" w:lineRule="auto"/>
        <w:ind w:firstLine="643" w:firstLineChars="200"/>
        <w:contextualSpacing/>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优质医疗资源配置与布局。</w:t>
      </w:r>
      <w:r>
        <w:rPr>
          <w:rFonts w:hint="eastAsia" w:ascii="Times New Roman" w:hAnsi="Times New Roman" w:eastAsia="仿宋_GB2312" w:cs="Times New Roman"/>
          <w:b w:val="0"/>
          <w:bCs w:val="0"/>
          <w:color w:val="auto"/>
          <w:sz w:val="32"/>
          <w:szCs w:val="32"/>
          <w:highlight w:val="none"/>
          <w:lang w:val="en-US" w:eastAsia="zh-CN"/>
        </w:rPr>
        <w:t>以师域医共体为核心载体，构建“第五师医院牵头、第五师中医医院特色支撑、团场医院/社区卫生服务中心为支点、社区卫生服务站和连队卫生室为网底”的“*+*+*+**+N”梯次医疗服务网络。持续推进紧密型师域医共体建设，强化第五师医院统筹管理职能，带动第五师中医医院特色发展，加快推进师市医共体心电、影像、检验、病历和消毒五大医疗资源共享中心建设。根据团场医院类型，动态调整基层医院的人员编制、经费、项目资金投入。推进团场医院梯次化发展，将团场医院分三类建设。在做好基本公共卫生服务、基本医疗的基础上，一类团场逐步向师域医疗次中心发展，加强疑难重症住院诊疗能力；二类团场重点强化门诊和慢性病管理服务能力与服务质量，如家庭签约医生、健康管理中心建设；三类团场在保证日常疾病诊疗、基本公卫服务基础上，积极整合转型，做强中医药服务，开展医养结合服务。其中，建设八十三团医院为二级甲等综合医院，八十三团第二医院按照二级精神病专科医院运行。八十九团医院向社区卫生服务中心转型，下辖新华社区、黄河社区、工业社区和双河城区社区卫生服务站，完善设备配置与人员配备。在双河市科学规划、分批新建*-*个社区卫生服务站。**个连队卫生室依据常住人口情况与居住模式，合理选取固定、定时巡回诊疗或两者相结合的服务模式提供“六位一体”基本服务。持续开展“优质服务基层行”行动，到****年，团场医院和社区卫生服务中心达到服务能力标准的比例保持在**%以上，**%的团场医院达到二级综合医院服务水平，达到服务能力推荐标准的机构至少建成专病特色科室*个。加快医疗卫生基础设施提升与医疗设备更新，实施师级医院服务能力提升及团场医院标准化建设项目。****年师域内就诊率力争达到**%以上。</w:t>
      </w:r>
    </w:p>
    <w:p w14:paraId="378EF422">
      <w:pPr>
        <w:pBdr>
          <w:bottom w:val="single" w:color="FFFFFF" w:sz="4" w:space="12"/>
        </w:pBdr>
        <w:shd w:val="clear"/>
        <w:autoSpaceDE w:val="0"/>
        <w:autoSpaceDN w:val="0"/>
        <w:snapToGrid w:val="0"/>
        <w:spacing w:line="360" w:lineRule="auto"/>
        <w:ind w:firstLine="643" w:firstLineChars="200"/>
        <w:contextualSpacing/>
        <w:rPr>
          <w:color w:val="auto"/>
          <w:highlight w:val="none"/>
        </w:rPr>
      </w:pPr>
      <w:r>
        <w:rPr>
          <w:rFonts w:hint="eastAsia" w:ascii="Times New Roman" w:hAnsi="Times New Roman" w:eastAsia="仿宋_GB2312" w:cs="Times New Roman"/>
          <w:b/>
          <w:bCs/>
          <w:color w:val="auto"/>
          <w:sz w:val="32"/>
          <w:szCs w:val="32"/>
          <w:highlight w:val="none"/>
          <w:lang w:val="en-US" w:eastAsia="zh-CN"/>
        </w:rPr>
        <w:t>提升医疗机构核心救治能力。</w:t>
      </w:r>
      <w:r>
        <w:rPr>
          <w:rFonts w:hint="eastAsia" w:ascii="Times New Roman" w:hAnsi="Times New Roman" w:eastAsia="仿宋_GB2312" w:cs="Times New Roman"/>
          <w:b w:val="0"/>
          <w:bCs w:val="0"/>
          <w:color w:val="auto"/>
          <w:sz w:val="32"/>
          <w:szCs w:val="32"/>
          <w:highlight w:val="none"/>
          <w:lang w:val="en-US" w:eastAsia="zh-CN"/>
        </w:rPr>
        <w:t>一是巩固提升胸痛、卒中、创伤、危重孕产妇、危重新生儿“五大中心”建设成效，提升重症救治和复杂疾病诊疗能力，重点打造心血管、妇产、肿瘤、消化内、骨科、神经内、普外等特色专科高地。到****年，培育国家级重点专科*个，建成兵团级重点专科*-*个，师市级重点专科*-*个。二是提升急诊急救能力。统筹推进师市院前急救网络建设，构建“***急救指挥中心-第五师急救站-团场急救点”三级体系，实现师域内院前急救网络的标准建设和联动运行，提升区域内协同效率。到****年，力争实现全域居民**分钟内获得基本急救响应服务，全面提升区域急救体系的可及性与应急韧性。三是</w:t>
      </w:r>
      <w:r>
        <w:rPr>
          <w:rFonts w:hint="eastAsia" w:ascii="Times New Roman" w:hAnsi="Times New Roman" w:eastAsia="仿宋_GB2312" w:cs="Times New Roman"/>
          <w:b w:val="0"/>
          <w:bCs w:val="0"/>
          <w:color w:val="auto"/>
          <w:sz w:val="32"/>
          <w:szCs w:val="32"/>
          <w:highlight w:val="none"/>
        </w:rPr>
        <w:t>推动区域</w:t>
      </w:r>
      <w:r>
        <w:rPr>
          <w:rFonts w:hint="eastAsia" w:ascii="Times New Roman" w:hAnsi="Times New Roman" w:eastAsia="仿宋_GB2312" w:cs="Times New Roman"/>
          <w:b w:val="0"/>
          <w:bCs w:val="0"/>
          <w:color w:val="auto"/>
          <w:sz w:val="32"/>
          <w:szCs w:val="32"/>
          <w:highlight w:val="none"/>
          <w:lang w:val="en-US" w:eastAsia="zh-CN"/>
        </w:rPr>
        <w:t>肿瘤</w:t>
      </w:r>
      <w:r>
        <w:rPr>
          <w:rFonts w:hint="eastAsia" w:ascii="Times New Roman" w:hAnsi="Times New Roman" w:eastAsia="仿宋_GB2312" w:cs="Times New Roman"/>
          <w:b w:val="0"/>
          <w:bCs w:val="0"/>
          <w:color w:val="auto"/>
          <w:sz w:val="32"/>
          <w:szCs w:val="32"/>
          <w:highlight w:val="none"/>
        </w:rPr>
        <w:t>放射治疗中心建设</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color w:val="auto"/>
          <w:kern w:val="2"/>
          <w:sz w:val="32"/>
          <w:szCs w:val="32"/>
          <w:highlight w:val="none"/>
          <w:lang w:val="en-US" w:eastAsia="zh-CN" w:bidi="ar-SA"/>
        </w:rPr>
        <w:t>深化兵地协作，推进兵地影像、病理、放疗计划等资源共享，促进跨机构协作与双向转诊，提升放疗服务可及性与效率。打造辐射兵地、服务周边的区域肿瘤诊疗高地，提升医院综合服务能力与区域品牌辐射力。</w:t>
      </w:r>
    </w:p>
    <w:p w14:paraId="7845F46A">
      <w:pPr>
        <w:pBdr>
          <w:bottom w:val="single" w:color="FFFFFF" w:sz="4" w:space="12"/>
        </w:pBdr>
        <w:shd w:val="clear"/>
        <w:autoSpaceDE w:val="0"/>
        <w:autoSpaceDN w:val="0"/>
        <w:snapToGrid w:val="0"/>
        <w:spacing w:line="360" w:lineRule="auto"/>
        <w:ind w:firstLine="643" w:firstLineChars="200"/>
        <w:contextualSpacing/>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bCs/>
          <w:color w:val="auto"/>
          <w:sz w:val="32"/>
          <w:szCs w:val="32"/>
          <w:highlight w:val="none"/>
          <w:lang w:val="en-US" w:eastAsia="zh-CN"/>
        </w:rPr>
        <w:t>夯实基层医疗服务网底。</w:t>
      </w:r>
      <w:r>
        <w:rPr>
          <w:rFonts w:hint="eastAsia" w:ascii="Times New Roman" w:hAnsi="Times New Roman" w:eastAsia="仿宋_GB2312" w:cs="Times New Roman"/>
          <w:b w:val="0"/>
          <w:bCs w:val="0"/>
          <w:color w:val="auto"/>
          <w:sz w:val="32"/>
          <w:szCs w:val="32"/>
          <w:highlight w:val="none"/>
          <w:lang w:val="en-US" w:eastAsia="zh-CN"/>
        </w:rPr>
        <w:t>一是推动优质医疗资源下沉。推动牵头医院管理、技术、服务、人员“四下沉”，重点提升团场医院对常见病、多发病、慢性病的诊疗能力及全科医疗服务水平。到****年，基层医疗卫生机构诊疗量占比提升至**%，实现“小病不出团、常见病不出师”。二是稳定基层人才队伍。</w:t>
      </w:r>
      <w:r>
        <w:rPr>
          <w:rFonts w:hint="eastAsia" w:ascii="Times New Roman" w:hAnsi="Times New Roman" w:eastAsia="仿宋_GB2312" w:cs="Times New Roman"/>
          <w:b w:val="0"/>
          <w:bCs w:val="0"/>
          <w:color w:val="auto"/>
          <w:kern w:val="2"/>
          <w:sz w:val="32"/>
          <w:szCs w:val="32"/>
          <w:highlight w:val="none"/>
          <w:lang w:val="en-US" w:eastAsia="zh-CN" w:bidi="ar-SA"/>
        </w:rPr>
        <w:t>逐步缩小团场医院与牵头医院同职称人员的收入差距。用好定向培养免费医学生、基层卫生骨干人才培养等政策。三是做优家庭医生签约服务，组建“牵头医院专家+团场医生+公卫医师”联合签约团队。优化基础包、个性包分级服务模式，提升服务效率与服务质量。</w:t>
      </w:r>
      <w:r>
        <w:rPr>
          <w:rFonts w:hint="eastAsia" w:ascii="Times New Roman" w:hAnsi="Times New Roman" w:eastAsia="仿宋_GB2312" w:cs="Times New Roman"/>
          <w:b w:val="0"/>
          <w:bCs w:val="0"/>
          <w:color w:val="auto"/>
          <w:sz w:val="32"/>
          <w:szCs w:val="32"/>
          <w:highlight w:val="none"/>
          <w:lang w:val="en-US" w:eastAsia="zh-CN"/>
        </w:rPr>
        <w:t>到</w:t>
      </w:r>
      <w:r>
        <w:rPr>
          <w:rFonts w:hint="eastAsia" w:ascii="Times New Roman" w:hAnsi="Times New Roman" w:eastAsia="仿宋_GB2312" w:cs="Times New Roman"/>
          <w:b w:val="0"/>
          <w:bCs w:val="0"/>
          <w:color w:val="auto"/>
          <w:kern w:val="2"/>
          <w:sz w:val="32"/>
          <w:szCs w:val="32"/>
          <w:highlight w:val="none"/>
          <w:lang w:val="en-US" w:eastAsia="zh-CN" w:bidi="ar-SA"/>
        </w:rPr>
        <w:t>****年，**岁及以上老年人、慢性病患者等重点人群签约覆盖率达**%以上。</w:t>
      </w:r>
    </w:p>
    <w:p w14:paraId="1061BBCF">
      <w:pPr>
        <w:pBdr>
          <w:bottom w:val="single" w:color="FFFFFF" w:sz="4" w:space="12"/>
        </w:pBdr>
        <w:shd w:val="clear"/>
        <w:autoSpaceDE w:val="0"/>
        <w:autoSpaceDN w:val="0"/>
        <w:snapToGrid w:val="0"/>
        <w:spacing w:line="360" w:lineRule="auto"/>
        <w:ind w:firstLine="643" w:firstLineChars="200"/>
        <w:contextualSpacing/>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bCs/>
          <w:color w:val="auto"/>
          <w:sz w:val="32"/>
          <w:szCs w:val="32"/>
          <w:highlight w:val="none"/>
        </w:rPr>
        <w:t>深化</w:t>
      </w:r>
      <w:r>
        <w:rPr>
          <w:rFonts w:hint="eastAsia" w:ascii="Times New Roman" w:hAnsi="Times New Roman" w:eastAsia="仿宋_GB2312" w:cs="Times New Roman"/>
          <w:b/>
          <w:bCs/>
          <w:color w:val="auto"/>
          <w:sz w:val="32"/>
          <w:szCs w:val="32"/>
          <w:highlight w:val="none"/>
          <w:lang w:eastAsia="zh-CN"/>
        </w:rPr>
        <w:t>“</w:t>
      </w:r>
      <w:r>
        <w:rPr>
          <w:rFonts w:hint="eastAsia" w:ascii="Times New Roman" w:hAnsi="Times New Roman" w:eastAsia="仿宋_GB2312" w:cs="Times New Roman"/>
          <w:b/>
          <w:bCs/>
          <w:color w:val="auto"/>
          <w:sz w:val="32"/>
          <w:szCs w:val="32"/>
          <w:highlight w:val="none"/>
          <w:lang w:val="en-US" w:eastAsia="zh-CN"/>
        </w:rPr>
        <w:t>三医</w:t>
      </w:r>
      <w:r>
        <w:rPr>
          <w:rFonts w:hint="default" w:ascii="Times New Roman" w:hAnsi="Times New Roman" w:eastAsia="仿宋_GB2312" w:cs="Times New Roman"/>
          <w:b/>
          <w:bCs/>
          <w:color w:val="auto"/>
          <w:sz w:val="32"/>
          <w:szCs w:val="32"/>
          <w:highlight w:val="none"/>
          <w:lang w:val="en-US" w:eastAsia="zh-CN"/>
        </w:rPr>
        <w:t>”</w:t>
      </w:r>
      <w:r>
        <w:rPr>
          <w:rFonts w:hint="eastAsia" w:ascii="Times New Roman" w:hAnsi="Times New Roman" w:eastAsia="仿宋_GB2312" w:cs="Times New Roman"/>
          <w:b/>
          <w:bCs/>
          <w:color w:val="auto"/>
          <w:sz w:val="32"/>
          <w:szCs w:val="32"/>
          <w:highlight w:val="none"/>
        </w:rPr>
        <w:t>协同改革。</w:t>
      </w:r>
      <w:r>
        <w:rPr>
          <w:rFonts w:hint="eastAsia" w:ascii="Times New Roman" w:hAnsi="Times New Roman" w:eastAsia="仿宋_GB2312" w:cs="Times New Roman"/>
          <w:b/>
          <w:bCs/>
          <w:color w:val="auto"/>
          <w:kern w:val="2"/>
          <w:sz w:val="32"/>
          <w:szCs w:val="32"/>
          <w:highlight w:val="none"/>
          <w:lang w:val="en-US" w:eastAsia="zh-CN" w:bidi="ar-SA"/>
        </w:rPr>
        <w:t>一是</w:t>
      </w:r>
      <w:r>
        <w:rPr>
          <w:rFonts w:hint="eastAsia" w:ascii="Times New Roman" w:hAnsi="Times New Roman" w:eastAsia="仿宋_GB2312" w:cs="Times New Roman"/>
          <w:b/>
          <w:bCs/>
          <w:color w:val="auto"/>
          <w:sz w:val="32"/>
          <w:szCs w:val="32"/>
          <w:highlight w:val="none"/>
          <w:lang w:val="en-US" w:eastAsia="zh-CN"/>
        </w:rPr>
        <w:t>健全</w:t>
      </w:r>
      <w:r>
        <w:rPr>
          <w:rFonts w:hint="eastAsia" w:ascii="Times New Roman" w:hAnsi="Times New Roman" w:eastAsia="仿宋_GB2312" w:cs="Times New Roman"/>
          <w:b/>
          <w:bCs/>
          <w:color w:val="auto"/>
          <w:sz w:val="32"/>
          <w:szCs w:val="32"/>
          <w:highlight w:val="none"/>
        </w:rPr>
        <w:t>药品供应保障制度，</w:t>
      </w:r>
      <w:r>
        <w:rPr>
          <w:rFonts w:hint="eastAsia" w:ascii="Times New Roman" w:hAnsi="Times New Roman" w:eastAsia="仿宋_GB2312" w:cs="Times New Roman"/>
          <w:color w:val="auto"/>
          <w:sz w:val="32"/>
          <w:szCs w:val="32"/>
          <w:highlight w:val="none"/>
        </w:rPr>
        <w:t>巩固药品和高值医用耗材集中带量采购及零差率销售改革成果，健全短缺药品监测预警和应急保障机制，确保基层常用药、急救药不断供。加强临床药师配备，完善药事管理和用药评价机制，定期组织医疗专家开展处方点评与合理用药督导，规范医务人员处方行为。</w:t>
      </w:r>
      <w:r>
        <w:rPr>
          <w:rFonts w:hint="eastAsia" w:ascii="Times New Roman" w:hAnsi="Times New Roman" w:eastAsia="仿宋_GB2312" w:cs="Times New Roman"/>
          <w:b/>
          <w:bCs/>
          <w:color w:val="auto"/>
          <w:kern w:val="2"/>
          <w:sz w:val="32"/>
          <w:szCs w:val="32"/>
          <w:highlight w:val="none"/>
          <w:lang w:val="en-US" w:eastAsia="zh-CN" w:bidi="ar-SA"/>
        </w:rPr>
        <w:t>二是协同推进医保支付方式改革。</w:t>
      </w:r>
      <w:r>
        <w:rPr>
          <w:rFonts w:hint="eastAsia" w:ascii="Times New Roman" w:hAnsi="Times New Roman" w:eastAsia="仿宋_GB2312" w:cs="Times New Roman"/>
          <w:b w:val="0"/>
          <w:bCs w:val="0"/>
          <w:color w:val="auto"/>
          <w:kern w:val="2"/>
          <w:sz w:val="32"/>
          <w:szCs w:val="32"/>
          <w:highlight w:val="none"/>
          <w:lang w:val="en-US" w:eastAsia="zh-CN" w:bidi="ar-SA"/>
        </w:rPr>
        <w:t>配合医保部门全面推行DRG/DIP付费，提高病案首页质量和临床路径规范化水平，二级以上公立医院临床路径入径率保持在**%以上，平均住院日缩短至*.*天以内。协助做好医保支付与家庭医生签约服务的衔接，探索将符合条件的健康体检、康复服务等纳入医保支付范围试点。三是提升医保基金使用效能。配合医保部门加强基金监管，规范医疗服务行为。推行以健康结果为导向的服务模式，完善绩效评价标准，推动医保支付向疾病预防、慢性病控制等优质服务激励机制。</w:t>
      </w:r>
    </w:p>
    <w:p w14:paraId="54707F1A">
      <w:pPr>
        <w:pBdr>
          <w:bottom w:val="single" w:color="FFFFFF" w:sz="4" w:space="12"/>
        </w:pBdr>
        <w:shd w:val="clear"/>
        <w:autoSpaceDE w:val="0"/>
        <w:autoSpaceDN w:val="0"/>
        <w:snapToGrid w:val="0"/>
        <w:spacing w:line="360" w:lineRule="auto"/>
        <w:ind w:firstLine="643" w:firstLineChars="200"/>
        <w:contextualSpacing/>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b/>
          <w:bCs/>
          <w:color w:val="auto"/>
          <w:sz w:val="32"/>
          <w:szCs w:val="32"/>
          <w:highlight w:val="none"/>
        </w:rPr>
        <w:t>强化医疗</w:t>
      </w:r>
      <w:r>
        <w:rPr>
          <w:rFonts w:hint="eastAsia" w:ascii="Times New Roman" w:hAnsi="Times New Roman" w:eastAsia="仿宋_GB2312" w:cs="Times New Roman"/>
          <w:b/>
          <w:bCs/>
          <w:color w:val="auto"/>
          <w:sz w:val="32"/>
          <w:szCs w:val="32"/>
          <w:highlight w:val="none"/>
          <w:lang w:val="en-US" w:eastAsia="zh-CN"/>
        </w:rPr>
        <w:t>卫生</w:t>
      </w:r>
      <w:r>
        <w:rPr>
          <w:rFonts w:hint="eastAsia" w:ascii="Times New Roman" w:hAnsi="Times New Roman" w:eastAsia="仿宋_GB2312" w:cs="Times New Roman"/>
          <w:b/>
          <w:bCs/>
          <w:color w:val="auto"/>
          <w:sz w:val="32"/>
          <w:szCs w:val="32"/>
          <w:highlight w:val="none"/>
        </w:rPr>
        <w:t>综合监管。</w:t>
      </w:r>
      <w:r>
        <w:rPr>
          <w:rFonts w:hint="eastAsia" w:ascii="Times New Roman" w:hAnsi="Times New Roman" w:eastAsia="仿宋_GB2312" w:cs="Times New Roman"/>
          <w:color w:val="auto"/>
          <w:sz w:val="32"/>
          <w:szCs w:val="32"/>
          <w:highlight w:val="none"/>
        </w:rPr>
        <w:t>完善医疗卫生行业监管体系，形成协同高效的综合监管格局。推行“双随机、一公开”等监管机制，加强对医疗机构、医务人员、医疗服务、药品耗材等全要素监管。严格医疗质量安全管理，落实核心制度与临床路径管理，强化护理服务质量控制，保障患者安全。健全公立医院绩效考核机制，将质量安全、服务效率、群众满意度纳入考核</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建立医疗机构信息公开和信用评价制度，定期向社会公布医院服务质量和满意度情况，接受职工群众监督。严厉打击欺诈骗保、非法行医、非法医疗广告等违法行为，维护良好的医疗服务秩序和患者合法权益。深化行风建设，严肃查处违法违规行为</w:t>
      </w:r>
      <w:r>
        <w:rPr>
          <w:rFonts w:hint="eastAsia" w:ascii="Times New Roman" w:hAnsi="Times New Roman" w:eastAsia="仿宋_GB2312" w:cs="Times New Roman"/>
          <w:color w:val="auto"/>
          <w:sz w:val="32"/>
          <w:szCs w:val="32"/>
          <w:highlight w:val="none"/>
          <w:lang w:eastAsia="zh-CN"/>
        </w:rPr>
        <w:t>。</w:t>
      </w:r>
    </w:p>
    <w:tbl>
      <w:tblPr>
        <w:tblStyle w:val="14"/>
        <w:tblpPr w:leftFromText="180" w:rightFromText="180" w:vertAnchor="text" w:horzAnchor="page" w:tblpX="1793" w:tblpY="290"/>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4F5B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522" w:type="dxa"/>
            <w:vAlign w:val="center"/>
          </w:tcPr>
          <w:p w14:paraId="1C9EA408">
            <w:pPr>
              <w:adjustRightInd w:val="0"/>
              <w:snapToGrid w:val="0"/>
              <w:spacing w:line="580" w:lineRule="exact"/>
              <w:jc w:val="center"/>
              <w:rPr>
                <w:rFonts w:hint="eastAsia" w:eastAsia="黑体"/>
                <w:color w:val="auto"/>
                <w:szCs w:val="32"/>
                <w:highlight w:val="none"/>
                <w:lang w:eastAsia="zh-CN"/>
              </w:rPr>
            </w:pPr>
            <w:r>
              <w:rPr>
                <w:rFonts w:eastAsia="黑体"/>
                <w:bCs/>
                <w:color w:val="auto"/>
                <w:sz w:val="32"/>
                <w:szCs w:val="48"/>
                <w:highlight w:val="none"/>
              </w:rPr>
              <w:t>专栏</w:t>
            </w:r>
            <w:r>
              <w:rPr>
                <w:rFonts w:hint="eastAsia" w:eastAsia="黑体"/>
                <w:bCs/>
                <w:color w:val="auto"/>
                <w:sz w:val="32"/>
                <w:szCs w:val="48"/>
                <w:highlight w:val="none"/>
                <w:lang w:eastAsia="zh-CN"/>
              </w:rPr>
              <w:t>*</w:t>
            </w:r>
            <w:r>
              <w:rPr>
                <w:rFonts w:eastAsia="黑体"/>
                <w:bCs/>
                <w:color w:val="auto"/>
                <w:sz w:val="32"/>
                <w:szCs w:val="48"/>
                <w:highlight w:val="none"/>
              </w:rPr>
              <w:t xml:space="preserve">  </w:t>
            </w:r>
            <w:r>
              <w:rPr>
                <w:rFonts w:hint="eastAsia" w:eastAsia="黑体"/>
                <w:bCs/>
                <w:color w:val="auto"/>
                <w:sz w:val="32"/>
                <w:szCs w:val="48"/>
                <w:highlight w:val="none"/>
              </w:rPr>
              <w:t>区域医疗服务</w:t>
            </w:r>
            <w:r>
              <w:rPr>
                <w:rFonts w:hint="eastAsia" w:eastAsia="黑体"/>
                <w:bCs/>
                <w:color w:val="auto"/>
                <w:sz w:val="32"/>
                <w:szCs w:val="48"/>
                <w:highlight w:val="none"/>
                <w:lang w:val="en-US" w:eastAsia="zh-CN"/>
              </w:rPr>
              <w:t>能力提升工程</w:t>
            </w:r>
          </w:p>
        </w:tc>
      </w:tr>
      <w:tr w14:paraId="7A9E1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522" w:type="dxa"/>
            <w:vAlign w:val="center"/>
          </w:tcPr>
          <w:p w14:paraId="372F6E69">
            <w:pPr>
              <w:pStyle w:val="7"/>
              <w:numPr>
                <w:ilvl w:val="0"/>
                <w:numId w:val="5"/>
              </w:numPr>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夯实“*+*+*+**+N”医疗卫生服务体系。</w:t>
            </w:r>
          </w:p>
          <w:p w14:paraId="1321898D">
            <w:pPr>
              <w:pStyle w:val="7"/>
              <w:numPr>
                <w:ilvl w:val="0"/>
                <w:numId w:val="5"/>
              </w:numPr>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推动**团医院二级甲等医院创建。</w:t>
            </w:r>
          </w:p>
          <w:p w14:paraId="42C0E519">
            <w:pPr>
              <w:pStyle w:val="7"/>
              <w:numPr>
                <w:ilvl w:val="0"/>
                <w:numId w:val="5"/>
              </w:numPr>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支持第五师医院门诊综合楼建设。</w:t>
            </w:r>
          </w:p>
          <w:p w14:paraId="2F8BE186">
            <w:pPr>
              <w:pStyle w:val="7"/>
              <w:numPr>
                <w:ilvl w:val="0"/>
                <w:numId w:val="5"/>
              </w:numPr>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实施师市医疗卫生强基工程，进行医共体“五大共享中心”建设，推进医疗机构病房改造、设备以旧换新和管网升级改造。</w:t>
            </w:r>
          </w:p>
          <w:p w14:paraId="49A1EA88">
            <w:pPr>
              <w:pStyle w:val="7"/>
              <w:numPr>
                <w:ilvl w:val="0"/>
                <w:numId w:val="5"/>
              </w:numPr>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推进团场医院梯次化发展，连队卫生室分类管理。</w:t>
            </w:r>
          </w:p>
          <w:p w14:paraId="4D520D6D">
            <w:pPr>
              <w:pStyle w:val="7"/>
              <w:numPr>
                <w:ilvl w:val="0"/>
                <w:numId w:val="5"/>
              </w:numPr>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推进社区卫生服务中心、社区卫生服务站标准化建设。</w:t>
            </w:r>
          </w:p>
          <w:p w14:paraId="1CC799F0">
            <w:pPr>
              <w:pStyle w:val="7"/>
              <w:numPr>
                <w:ilvl w:val="0"/>
                <w:numId w:val="5"/>
              </w:numPr>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培育国家级重点专科*个，建成省级重点专科*-*个，师市级重点专科*-*个。</w:t>
            </w:r>
          </w:p>
          <w:p w14:paraId="32CE6631">
            <w:pPr>
              <w:pStyle w:val="7"/>
              <w:numPr>
                <w:ilvl w:val="0"/>
                <w:numId w:val="5"/>
              </w:numPr>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统筹推进师市院前急救网络建设。</w:t>
            </w:r>
          </w:p>
          <w:p w14:paraId="35A11A3D">
            <w:pPr>
              <w:pStyle w:val="7"/>
              <w:numPr>
                <w:ilvl w:val="0"/>
                <w:numId w:val="5"/>
              </w:numPr>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推动博州五师地区肿瘤放射治疗中心建设。</w:t>
            </w:r>
          </w:p>
        </w:tc>
      </w:tr>
    </w:tbl>
    <w:p w14:paraId="525C03CF">
      <w:pPr>
        <w:numPr>
          <w:ilvl w:val="0"/>
          <w:numId w:val="3"/>
        </w:numPr>
        <w:spacing w:beforeLines="100" w:afterLines="100" w:line="360" w:lineRule="auto"/>
        <w:jc w:val="center"/>
        <w:outlineLvl w:val="1"/>
        <w:rPr>
          <w:rFonts w:hint="eastAsia" w:ascii="黑体" w:hAnsi="黑体" w:eastAsia="黑体" w:cs="黑体"/>
          <w:b/>
          <w:color w:val="auto"/>
          <w:spacing w:val="6"/>
          <w:kern w:val="44"/>
          <w:sz w:val="32"/>
          <w:szCs w:val="60"/>
          <w:highlight w:val="none"/>
        </w:rPr>
      </w:pPr>
      <w:bookmarkStart w:id="14" w:name="_Toc29530"/>
      <w:r>
        <w:rPr>
          <w:rFonts w:hint="eastAsia" w:ascii="黑体" w:hAnsi="黑体" w:eastAsia="黑体" w:cs="黑体"/>
          <w:b/>
          <w:color w:val="auto"/>
          <w:spacing w:val="6"/>
          <w:kern w:val="44"/>
          <w:sz w:val="32"/>
          <w:szCs w:val="60"/>
          <w:highlight w:val="none"/>
        </w:rPr>
        <w:t>增强公共卫生服务能力</w:t>
      </w:r>
      <w:bookmarkEnd w:id="14"/>
    </w:p>
    <w:p w14:paraId="77A51EB5">
      <w:pPr>
        <w:pBdr>
          <w:bottom w:val="single" w:color="FFFFFF" w:sz="4" w:space="12"/>
        </w:pBdr>
        <w:autoSpaceDE w:val="0"/>
        <w:autoSpaceDN w:val="0"/>
        <w:snapToGrid w:val="0"/>
        <w:spacing w:line="360" w:lineRule="auto"/>
        <w:ind w:firstLine="643" w:firstLineChars="200"/>
        <w:contextualSpacing/>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持续优化疾病预防控制体系。</w:t>
      </w:r>
      <w:r>
        <w:rPr>
          <w:rFonts w:hint="eastAsia" w:ascii="Times New Roman" w:hAnsi="Times New Roman" w:eastAsia="仿宋_GB2312" w:cs="Times New Roman"/>
          <w:b w:val="0"/>
          <w:bCs w:val="0"/>
          <w:color w:val="auto"/>
          <w:sz w:val="32"/>
          <w:szCs w:val="32"/>
          <w:highlight w:val="none"/>
          <w:lang w:val="en-US" w:eastAsia="zh-CN"/>
        </w:rPr>
        <w:t>一是做强做实师市疾控网络，积极参与北疆区域疾控联合体建设。到****年底，师市疾控中心全面达到地市级疾控中心建设规模和功能标准；到****年底，沙山子分中心、友谊分中心和博河分中心均达到县级疾控中心建设规模和功能标准。二是开展“国门疾控中心”建设，提升边境、口岸传染病防控和公共卫生应急能力。三是落实各级疾控及专业机构职能。师市疾控中心重点强化疫情处置应对、实验室检测、公共卫生信息监测与大数据分析、应用性研究和对外交流；各分中心重点强化疫情监测预警与处置、重点传染病防控、健康教育和卫生健康行政执法。第五师医院负责师市医共体传染病防治、职业病诊疗、严重精神障碍诊疗、妇幼健康等管理工作。**团第二医院承担师市精神卫生中心管理工作。各团场医院承担传染病的预防、治疗、报告，以及严障患者管理等相关业务工作。</w:t>
      </w:r>
    </w:p>
    <w:p w14:paraId="06330DEC">
      <w:pPr>
        <w:pBdr>
          <w:bottom w:val="single" w:color="FFFFFF" w:sz="4" w:space="12"/>
        </w:pBdr>
        <w:autoSpaceDE w:val="0"/>
        <w:autoSpaceDN w:val="0"/>
        <w:snapToGrid w:val="0"/>
        <w:spacing w:line="360" w:lineRule="auto"/>
        <w:ind w:firstLine="643" w:firstLineChars="200"/>
        <w:contextualSpacing/>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提升重大传染病精准防控能力。</w:t>
      </w:r>
      <w:r>
        <w:rPr>
          <w:rFonts w:hint="eastAsia" w:ascii="Times New Roman" w:hAnsi="Times New Roman" w:eastAsia="仿宋_GB2312" w:cs="Times New Roman"/>
          <w:b w:val="0"/>
          <w:bCs w:val="0"/>
          <w:color w:val="auto"/>
          <w:sz w:val="32"/>
          <w:szCs w:val="32"/>
          <w:highlight w:val="none"/>
          <w:lang w:val="en-US" w:eastAsia="zh-CN"/>
        </w:rPr>
        <w:t>一是加强重大传染病精准防控，落实艾滋病、结核病、病毒性肝炎等重点传染病早发现、早治疗、规范管理措施，持续做好流感、感染性腹泻等常见传染病防控，重点做好狂犬病、疟疾、布鲁氏菌病等自然疫源性疾病综合防控，保持艾滋病抗病毒治疗覆盖率**%以上，结核病规范管理率提升至**%。健全以风险评估为先导的精准防控机制，分类实施重点传染病“多病共防”，紧盯重点场所、重点人群与关键时间节点，强化跨部门协同联动，提升防控整体效能。在高水平对外开放背景下，完善输入性传染病防控策略，筑牢口岸疫情防控屏障。</w:t>
      </w:r>
      <w:r>
        <w:rPr>
          <w:rFonts w:hint="eastAsia" w:ascii="Times New Roman" w:hAnsi="Times New Roman" w:eastAsia="仿宋_GB2312" w:cs="Times New Roman"/>
          <w:b w:val="0"/>
          <w:bCs w:val="0"/>
          <w:color w:val="auto"/>
          <w:kern w:val="2"/>
          <w:sz w:val="32"/>
          <w:szCs w:val="32"/>
          <w:highlight w:val="none"/>
          <w:lang w:val="en-US" w:eastAsia="zh-CN" w:bidi="ar-SA"/>
        </w:rPr>
        <w:t>二是健全预防接种服务体系。动态优化国家免疫规划疫苗种类，做好适龄人群HPV疫苗等纳入国家免疫规划后的接种服务，巩固人群免疫屏障。</w:t>
      </w:r>
    </w:p>
    <w:p w14:paraId="7BD31E6A">
      <w:pPr>
        <w:pBdr>
          <w:bottom w:val="single" w:color="FFFFFF" w:sz="4" w:space="12"/>
        </w:pBdr>
        <w:autoSpaceDE w:val="0"/>
        <w:autoSpaceDN w:val="0"/>
        <w:snapToGrid w:val="0"/>
        <w:spacing w:line="360" w:lineRule="auto"/>
        <w:ind w:firstLine="643" w:firstLineChars="200"/>
        <w:contextualSpacing/>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加快公共卫生数字化转型。</w:t>
      </w:r>
      <w:r>
        <w:rPr>
          <w:rFonts w:hint="eastAsia" w:ascii="Times New Roman" w:hAnsi="Times New Roman" w:eastAsia="仿宋_GB2312" w:cs="Times New Roman"/>
          <w:b w:val="0"/>
          <w:bCs w:val="0"/>
          <w:color w:val="auto"/>
          <w:sz w:val="32"/>
          <w:szCs w:val="32"/>
          <w:highlight w:val="none"/>
          <w:lang w:val="en-US" w:eastAsia="zh-CN"/>
        </w:rPr>
        <w:t>加快推进国家级全民健康信息平台的整合贯通，打破部门间、机构间数据壁垒。提升国家传染病智能监测预警前置软件数据采集质量，持续完善自动抓取规则，确保法定传染病信息实时、准确上传。推进前置软件与医疗机构电子病历、检验等系统全面对接，逐步拓展症候群监测功能。完善医疗机构、学校、托幼机构、重点企业等多渠道监测哨点布局。提升风险动态评估与实时预警能力。到****年，法定传染病报告率大于**%，甲、乙类法定报告传染病发病率不高于近五年平均水平。统一区域居民电子健康档案数据标准，推动电子健康档案在医疗机构与公共卫生机构间调阅共享。</w:t>
      </w:r>
      <w:r>
        <w:rPr>
          <w:rFonts w:hint="eastAsia" w:ascii="Times New Roman" w:hAnsi="Times New Roman" w:eastAsia="仿宋_GB2312" w:cs="Times New Roman"/>
          <w:b w:val="0"/>
          <w:bCs w:val="0"/>
          <w:color w:val="auto"/>
          <w:kern w:val="2"/>
          <w:sz w:val="32"/>
          <w:szCs w:val="32"/>
          <w:highlight w:val="none"/>
          <w:lang w:val="en-US" w:eastAsia="zh-CN" w:bidi="ar-SA"/>
        </w:rPr>
        <w:t>全面推进团场医院数字化预防接种门诊，实现全流程智能化管理。</w:t>
      </w:r>
    </w:p>
    <w:p w14:paraId="762FC267">
      <w:pPr>
        <w:pBdr>
          <w:bottom w:val="single" w:color="FFFFFF" w:sz="4" w:space="12"/>
        </w:pBdr>
        <w:autoSpaceDE w:val="0"/>
        <w:autoSpaceDN w:val="0"/>
        <w:snapToGrid w:val="0"/>
        <w:spacing w:line="360" w:lineRule="auto"/>
        <w:ind w:firstLine="643" w:firstLineChars="200"/>
        <w:contextualSpacing/>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bCs/>
          <w:color w:val="auto"/>
          <w:sz w:val="32"/>
          <w:szCs w:val="32"/>
          <w:highlight w:val="none"/>
          <w:lang w:val="en-US" w:eastAsia="zh-CN"/>
        </w:rPr>
        <w:t>筑牢公共卫生服务网底。</w:t>
      </w:r>
      <w:r>
        <w:rPr>
          <w:rFonts w:hint="eastAsia" w:ascii="Times New Roman" w:hAnsi="Times New Roman" w:eastAsia="仿宋_GB2312" w:cs="Times New Roman"/>
          <w:b w:val="0"/>
          <w:bCs w:val="0"/>
          <w:color w:val="auto"/>
          <w:sz w:val="32"/>
          <w:szCs w:val="32"/>
          <w:highlight w:val="none"/>
          <w:lang w:val="en-US" w:eastAsia="zh-CN"/>
        </w:rPr>
        <w:t>一是实施强基工程与核心能力提升行动，按照国家疾病预防控制中心建设标准，补齐检验检测设备短板，确保师市疾控中心通过检验检测机构资质认定（CMA），力争到****年师市疾控中心实验室检测能力达标率提升至**%。二是强化公共卫生干预与监督执法效能。健全公共卫生领域法律法规执行体系，加强专业化监督执法队伍建设，</w:t>
      </w:r>
      <w:r>
        <w:rPr>
          <w:rFonts w:hint="eastAsia" w:ascii="Times New Roman" w:hAnsi="Times New Roman" w:eastAsia="仿宋_GB2312" w:cs="Times New Roman"/>
          <w:b w:val="0"/>
          <w:bCs w:val="0"/>
          <w:color w:val="auto"/>
          <w:kern w:val="2"/>
          <w:sz w:val="32"/>
          <w:szCs w:val="32"/>
          <w:highlight w:val="none"/>
          <w:lang w:val="en-US" w:eastAsia="zh-CN" w:bidi="ar-SA"/>
        </w:rPr>
        <w:t>强化人员队伍精准补充，为师市疾控中心及各分中心配齐配强监督执法力量。</w:t>
      </w:r>
      <w:r>
        <w:rPr>
          <w:rFonts w:hint="eastAsia" w:ascii="Times New Roman" w:hAnsi="Times New Roman" w:eastAsia="仿宋_GB2312" w:cs="Times New Roman"/>
          <w:b w:val="0"/>
          <w:bCs w:val="0"/>
          <w:color w:val="auto"/>
          <w:sz w:val="32"/>
          <w:szCs w:val="32"/>
          <w:highlight w:val="none"/>
          <w:lang w:val="en-US" w:eastAsia="zh-CN"/>
        </w:rPr>
        <w:t>提升公共场所卫生、饮用水安全、学校卫生、职业卫生等领域常态化监管能力，</w:t>
      </w:r>
      <w:r>
        <w:rPr>
          <w:rFonts w:hint="eastAsia" w:ascii="Times New Roman" w:hAnsi="Times New Roman" w:eastAsia="仿宋_GB2312" w:cs="Times New Roman"/>
          <w:b w:val="0"/>
          <w:bCs w:val="0"/>
          <w:color w:val="auto"/>
          <w:kern w:val="2"/>
          <w:sz w:val="32"/>
          <w:szCs w:val="32"/>
          <w:highlight w:val="none"/>
          <w:lang w:val="en-US" w:eastAsia="zh-CN" w:bidi="ar-SA"/>
        </w:rPr>
        <w:t>每年实现重点场所监督检查覆盖率***%</w:t>
      </w:r>
      <w:r>
        <w:rPr>
          <w:rFonts w:hint="eastAsia" w:ascii="Times New Roman" w:hAnsi="Times New Roman" w:eastAsia="仿宋_GB2312" w:cs="Times New Roman"/>
          <w:b w:val="0"/>
          <w:bCs w:val="0"/>
          <w:color w:val="auto"/>
          <w:sz w:val="32"/>
          <w:szCs w:val="32"/>
          <w:highlight w:val="none"/>
          <w:lang w:val="en-US" w:eastAsia="zh-CN"/>
        </w:rPr>
        <w:t>。三是强化基层防治队伍建设。充分依托现有资源和人员力量，规范基层传染病应急小分队和流行病学调查队伍建设。加强基层从业人员管理，加快推进公共卫生医师规范化培训</w:t>
      </w:r>
      <w:r>
        <w:rPr>
          <w:rFonts w:hint="eastAsia" w:ascii="Times New Roman" w:hAnsi="Times New Roman" w:eastAsia="仿宋_GB2312" w:cs="Times New Roman"/>
          <w:b w:val="0"/>
          <w:bCs w:val="0"/>
          <w:color w:val="auto"/>
          <w:kern w:val="2"/>
          <w:sz w:val="32"/>
          <w:szCs w:val="32"/>
          <w:highlight w:val="none"/>
          <w:lang w:val="en-US" w:eastAsia="zh-CN" w:bidi="ar-SA"/>
        </w:rPr>
        <w:t>，切实夯实基层公共卫生服务根基。四是健全医疗机构疾控监督员制度。依据国家《医疗机构疾控监督员工作指引（试行）》要求，明确监督员职能定位，建立工作长效机制，推动疾控监督向临床一线延伸。</w:t>
      </w:r>
      <w:r>
        <w:rPr>
          <w:rFonts w:hint="eastAsia" w:ascii="Times New Roman" w:hAnsi="Times New Roman" w:eastAsia="仿宋_GB2312" w:cs="Times New Roman"/>
          <w:b w:val="0"/>
          <w:bCs w:val="0"/>
          <w:color w:val="auto"/>
          <w:sz w:val="32"/>
          <w:szCs w:val="32"/>
          <w:highlight w:val="none"/>
          <w:lang w:val="en-US" w:eastAsia="zh-CN"/>
        </w:rPr>
        <w:t>五是</w:t>
      </w:r>
      <w:r>
        <w:rPr>
          <w:rFonts w:hint="eastAsia" w:ascii="Times New Roman" w:hAnsi="Times New Roman" w:eastAsia="仿宋_GB2312" w:cs="Times New Roman"/>
          <w:b w:val="0"/>
          <w:bCs w:val="0"/>
          <w:color w:val="auto"/>
          <w:kern w:val="2"/>
          <w:sz w:val="32"/>
          <w:szCs w:val="32"/>
          <w:highlight w:val="none"/>
          <w:lang w:val="en-US" w:eastAsia="zh-CN" w:bidi="ar-SA"/>
        </w:rPr>
        <w:t>创新基层网格化公共卫生服务模式，依托社区网格划分健康服务责任区，由分中心疾控监督员对团场医院、社区卫生服务站的家庭医生团队开展业务指导和技能培训，实现“一格一团队、一人一档”。到****年，网格内居民健康服务响应时间控制在**小时内，基本公共卫生服务项目合格率提升至**%。</w:t>
      </w:r>
    </w:p>
    <w:p w14:paraId="7A90E7A8">
      <w:pPr>
        <w:pBdr>
          <w:bottom w:val="single" w:color="FFFFFF" w:sz="4" w:space="12"/>
        </w:pBdr>
        <w:autoSpaceDE w:val="0"/>
        <w:autoSpaceDN w:val="0"/>
        <w:snapToGrid w:val="0"/>
        <w:spacing w:line="360" w:lineRule="auto"/>
        <w:ind w:firstLine="643" w:firstLineChars="200"/>
        <w:contextualSpacing/>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bCs/>
          <w:color w:val="auto"/>
          <w:sz w:val="32"/>
          <w:szCs w:val="32"/>
          <w:highlight w:val="none"/>
          <w:lang w:val="en-US" w:eastAsia="zh-CN"/>
        </w:rPr>
        <w:t>优化重点人群公共卫生服务。</w:t>
      </w:r>
      <w:r>
        <w:rPr>
          <w:rFonts w:hint="eastAsia" w:ascii="Times New Roman" w:hAnsi="Times New Roman" w:eastAsia="仿宋_GB2312" w:cs="Times New Roman"/>
          <w:b w:val="0"/>
          <w:bCs w:val="0"/>
          <w:color w:val="auto"/>
          <w:sz w:val="32"/>
          <w:szCs w:val="32"/>
          <w:highlight w:val="none"/>
          <w:lang w:val="en-US" w:eastAsia="zh-CN"/>
        </w:rPr>
        <w:t>一是</w:t>
      </w:r>
      <w:r>
        <w:rPr>
          <w:rFonts w:hint="eastAsia" w:ascii="Times New Roman" w:hAnsi="Times New Roman" w:eastAsia="仿宋_GB2312" w:cs="Times New Roman"/>
          <w:b w:val="0"/>
          <w:bCs w:val="0"/>
          <w:color w:val="auto"/>
          <w:kern w:val="2"/>
          <w:sz w:val="32"/>
          <w:szCs w:val="32"/>
          <w:highlight w:val="none"/>
          <w:lang w:val="en-US" w:eastAsia="zh-CN" w:bidi="ar-SA"/>
        </w:rPr>
        <w:t>规范开展**岁及以上老年人年度健康体检、健康评估和慢性病筛查干预。二是完善以第五师医院为核心、团场医院联动的危重孕产妇和新生儿救治网络，巩固孕产妇系统管理、*-*岁儿童健康管理成效，保持孕产妇系统管理率稳定在**%以上，产前筛查率提升至**%。三是持续强化儿童青少年近视、肥胖等重点健康问题监测与干预。四是以**团第二医院为区域精神卫生诊疗核心，健全精神卫生服务网络，加强*****心理援助热线常态化运行与危机干预机制，推动精神卫生中心与热线、社区服务有机衔接，保持严重精神障碍规范管理率**%以上。四是推进职业健康保护行动，由师市疾控中心牵头、分中心属地排查，加强电联产、非金属矿物制品业等重点行业职业病危害监测，推行“一企一档”数字化管理，定期开展工作场所职业病危害因素监测和劳动者职业健康体检，从源头减少职业病发生。到****年，工业企业定期检测率、职业健康检查率、防护设施“三同时”实施率均达到**%以上。</w:t>
      </w:r>
    </w:p>
    <w:p w14:paraId="320556B2">
      <w:pPr>
        <w:pBdr>
          <w:bottom w:val="single" w:color="FFFFFF" w:sz="4" w:space="12"/>
        </w:pBdr>
        <w:autoSpaceDE w:val="0"/>
        <w:autoSpaceDN w:val="0"/>
        <w:snapToGrid w:val="0"/>
        <w:spacing w:line="360" w:lineRule="auto"/>
        <w:ind w:firstLine="643" w:firstLineChars="200"/>
        <w:contextualSpacing/>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bCs/>
          <w:color w:val="auto"/>
          <w:sz w:val="32"/>
          <w:szCs w:val="32"/>
          <w:highlight w:val="none"/>
          <w:lang w:val="en-US" w:eastAsia="zh-CN"/>
        </w:rPr>
        <w:t>完善疾控机构激励保障机制。</w:t>
      </w:r>
      <w:r>
        <w:rPr>
          <w:rFonts w:hint="eastAsia" w:ascii="Times New Roman" w:hAnsi="Times New Roman" w:eastAsia="仿宋_GB2312" w:cs="Times New Roman"/>
          <w:b w:val="0"/>
          <w:bCs w:val="0"/>
          <w:color w:val="auto"/>
          <w:sz w:val="32"/>
          <w:szCs w:val="32"/>
          <w:highlight w:val="none"/>
          <w:lang w:val="en-US" w:eastAsia="zh-CN"/>
        </w:rPr>
        <w:t>一是推动落实师市疾控中心“一类保障、二类管理”政策，鼓励师市疾控中心在完成公益性任务前提下，面向社会提供检验检测等公共卫生技术服务，所得收入按财政规定自主分配。二是完善绩效工资分配制度，探索建立体现岗位职责和业绩贡献的薪酬体系，增强疾控机构内生动力的可持续发展能力。</w:t>
      </w:r>
    </w:p>
    <w:tbl>
      <w:tblPr>
        <w:tblStyle w:val="14"/>
        <w:tblpPr w:leftFromText="180" w:rightFromText="180" w:vertAnchor="text" w:horzAnchor="page" w:tblpX="1793" w:tblpY="290"/>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7358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8522" w:type="dxa"/>
            <w:vAlign w:val="center"/>
          </w:tcPr>
          <w:p w14:paraId="3F2432EB">
            <w:pPr>
              <w:adjustRightInd w:val="0"/>
              <w:snapToGrid w:val="0"/>
              <w:spacing w:line="580" w:lineRule="exact"/>
              <w:jc w:val="center"/>
              <w:rPr>
                <w:rFonts w:eastAsia="黑体"/>
                <w:color w:val="auto"/>
                <w:szCs w:val="32"/>
                <w:highlight w:val="none"/>
              </w:rPr>
            </w:pPr>
            <w:r>
              <w:rPr>
                <w:rFonts w:eastAsia="黑体"/>
                <w:bCs/>
                <w:color w:val="auto"/>
                <w:sz w:val="32"/>
                <w:szCs w:val="48"/>
                <w:highlight w:val="none"/>
              </w:rPr>
              <w:t>专栏</w:t>
            </w:r>
            <w:r>
              <w:rPr>
                <w:rFonts w:hint="eastAsia" w:eastAsia="黑体"/>
                <w:bCs/>
                <w:color w:val="auto"/>
                <w:sz w:val="32"/>
                <w:szCs w:val="48"/>
                <w:highlight w:val="none"/>
                <w:lang w:eastAsia="zh-CN"/>
              </w:rPr>
              <w:t>*</w:t>
            </w:r>
            <w:r>
              <w:rPr>
                <w:rFonts w:eastAsia="黑体"/>
                <w:bCs/>
                <w:color w:val="auto"/>
                <w:sz w:val="32"/>
                <w:szCs w:val="48"/>
                <w:highlight w:val="none"/>
              </w:rPr>
              <w:t xml:space="preserve">  </w:t>
            </w:r>
            <w:r>
              <w:rPr>
                <w:rFonts w:hint="eastAsia" w:eastAsia="黑体"/>
                <w:bCs/>
                <w:color w:val="auto"/>
                <w:sz w:val="32"/>
                <w:szCs w:val="48"/>
                <w:highlight w:val="none"/>
              </w:rPr>
              <w:t>公共卫生服务能力提升</w:t>
            </w:r>
            <w:r>
              <w:rPr>
                <w:rFonts w:hint="eastAsia" w:eastAsia="黑体"/>
                <w:bCs/>
                <w:color w:val="auto"/>
                <w:sz w:val="32"/>
                <w:szCs w:val="48"/>
                <w:highlight w:val="none"/>
                <w:lang w:val="en-US" w:eastAsia="zh-CN"/>
              </w:rPr>
              <w:t>工程</w:t>
            </w:r>
          </w:p>
        </w:tc>
      </w:tr>
      <w:tr w14:paraId="1C73E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vAlign w:val="center"/>
          </w:tcPr>
          <w:p w14:paraId="4DE991FD">
            <w:pPr>
              <w:pStyle w:val="7"/>
              <w:numPr>
                <w:ilvl w:val="0"/>
                <w:numId w:val="6"/>
              </w:numPr>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b w:val="0"/>
                <w:bCs w:val="0"/>
                <w:color w:val="auto"/>
                <w:sz w:val="32"/>
                <w:szCs w:val="32"/>
                <w:highlight w:val="none"/>
                <w:lang w:val="en-US" w:eastAsia="zh-CN"/>
              </w:rPr>
              <w:t>完善师市疾控网络，积极参与北疆区域疾控联合体建设。</w:t>
            </w:r>
          </w:p>
          <w:p w14:paraId="40CD1A87">
            <w:pPr>
              <w:pStyle w:val="7"/>
              <w:numPr>
                <w:ilvl w:val="0"/>
                <w:numId w:val="6"/>
              </w:numPr>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开展“国门疾控中心”建设，提升边境、口岸传染病防控和公共卫生应急能力。</w:t>
            </w:r>
          </w:p>
          <w:p w14:paraId="75E2491B">
            <w:pPr>
              <w:pStyle w:val="7"/>
              <w:numPr>
                <w:ilvl w:val="0"/>
                <w:numId w:val="6"/>
              </w:numPr>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推动</w:t>
            </w:r>
            <w:r>
              <w:rPr>
                <w:rFonts w:hint="eastAsia" w:ascii="Times New Roman" w:hAnsi="Times New Roman" w:eastAsia="仿宋_GB2312" w:cs="Times New Roman"/>
                <w:color w:val="auto"/>
                <w:sz w:val="32"/>
                <w:szCs w:val="32"/>
                <w:highlight w:val="none"/>
              </w:rPr>
              <w:t>师市疾控中心达到地市级</w:t>
            </w:r>
            <w:r>
              <w:rPr>
                <w:rFonts w:hint="eastAsia" w:ascii="Times New Roman" w:hAnsi="Times New Roman" w:eastAsia="仿宋_GB2312" w:cs="Times New Roman"/>
                <w:color w:val="auto"/>
                <w:sz w:val="32"/>
                <w:szCs w:val="32"/>
                <w:highlight w:val="none"/>
                <w:lang w:val="en-US" w:eastAsia="zh-CN"/>
              </w:rPr>
              <w:t>标准</w:t>
            </w:r>
            <w:r>
              <w:rPr>
                <w:rFonts w:hint="eastAsia" w:ascii="Times New Roman" w:hAnsi="Times New Roman" w:eastAsia="仿宋_GB2312" w:cs="Times New Roman"/>
                <w:color w:val="auto"/>
                <w:sz w:val="32"/>
                <w:szCs w:val="32"/>
                <w:highlight w:val="none"/>
              </w:rPr>
              <w:t>、各分中心达到县级标准</w:t>
            </w:r>
            <w:r>
              <w:rPr>
                <w:rFonts w:hint="eastAsia" w:ascii="Times New Roman" w:hAnsi="Times New Roman" w:eastAsia="仿宋_GB2312" w:cs="Times New Roman"/>
                <w:color w:val="auto"/>
                <w:sz w:val="32"/>
                <w:szCs w:val="32"/>
                <w:highlight w:val="none"/>
                <w:lang w:val="en-US" w:eastAsia="zh-CN"/>
              </w:rPr>
              <w:t>建设</w:t>
            </w:r>
            <w:r>
              <w:rPr>
                <w:rFonts w:hint="eastAsia" w:ascii="Times New Roman" w:hAnsi="Times New Roman" w:eastAsia="仿宋_GB2312" w:cs="Times New Roman"/>
                <w:color w:val="auto"/>
                <w:sz w:val="32"/>
                <w:szCs w:val="32"/>
                <w:highlight w:val="none"/>
                <w:lang w:eastAsia="zh-CN"/>
              </w:rPr>
              <w:t>。</w:t>
            </w:r>
          </w:p>
          <w:p w14:paraId="0E11F82E">
            <w:pPr>
              <w:pStyle w:val="7"/>
              <w:numPr>
                <w:ilvl w:val="0"/>
                <w:numId w:val="6"/>
              </w:numPr>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支持师市</w:t>
            </w:r>
            <w:r>
              <w:rPr>
                <w:rFonts w:hint="eastAsia" w:ascii="Times New Roman" w:hAnsi="Times New Roman" w:eastAsia="仿宋_GB2312" w:cs="Times New Roman"/>
                <w:color w:val="auto"/>
                <w:sz w:val="32"/>
                <w:szCs w:val="32"/>
                <w:highlight w:val="none"/>
              </w:rPr>
              <w:t>疾控中心实验室检测能力提升</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进行检验检测机构资质认定（CMA）</w:t>
            </w:r>
            <w:r>
              <w:rPr>
                <w:rFonts w:hint="eastAsia" w:ascii="Times New Roman" w:hAnsi="Times New Roman" w:eastAsia="仿宋_GB2312" w:cs="Times New Roman"/>
                <w:color w:val="auto"/>
                <w:sz w:val="32"/>
                <w:szCs w:val="32"/>
                <w:highlight w:val="none"/>
                <w:lang w:eastAsia="zh-CN"/>
              </w:rPr>
              <w:t>。</w:t>
            </w:r>
          </w:p>
          <w:p w14:paraId="6EE014D7">
            <w:pPr>
              <w:pStyle w:val="7"/>
              <w:numPr>
                <w:ilvl w:val="0"/>
                <w:numId w:val="6"/>
              </w:numPr>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优化传染病精准化防控策略</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探索传染病早期预警模型。</w:t>
            </w:r>
          </w:p>
          <w:p w14:paraId="0E4F9CFE">
            <w:pPr>
              <w:pStyle w:val="7"/>
              <w:numPr>
                <w:ilvl w:val="0"/>
                <w:numId w:val="6"/>
              </w:numPr>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健全慢性病早筛早诊早治早康复的服务体系</w:t>
            </w:r>
            <w:r>
              <w:rPr>
                <w:rFonts w:hint="eastAsia" w:ascii="Times New Roman" w:hAnsi="Times New Roman" w:eastAsia="仿宋_GB2312" w:cs="Times New Roman"/>
                <w:color w:val="auto"/>
                <w:sz w:val="32"/>
                <w:szCs w:val="32"/>
                <w:highlight w:val="none"/>
                <w:lang w:val="en-US" w:eastAsia="zh-CN"/>
              </w:rPr>
              <w:t>。</w:t>
            </w:r>
          </w:p>
          <w:p w14:paraId="7F1F26C8">
            <w:pPr>
              <w:numPr>
                <w:ilvl w:val="0"/>
                <w:numId w:val="6"/>
              </w:numPr>
              <w:ind w:left="0" w:leftChars="0" w:firstLine="0" w:firstLineChars="0"/>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sz w:val="32"/>
                <w:szCs w:val="32"/>
                <w:highlight w:val="none"/>
                <w:lang w:val="en-US" w:eastAsia="zh-CN"/>
              </w:rPr>
              <w:t>深化体重管理、多病共管等专项行动。</w:t>
            </w:r>
          </w:p>
          <w:p w14:paraId="746F6D7D">
            <w:pPr>
              <w:numPr>
                <w:ilvl w:val="0"/>
                <w:numId w:val="6"/>
              </w:numPr>
              <w:ind w:left="0" w:leftChars="0" w:firstLine="0" w:firstLineChars="0"/>
              <w:rPr>
                <w:rFonts w:hint="eastAsia" w:eastAsia="仿宋_GB2312"/>
                <w:color w:val="auto"/>
                <w:highlight w:val="none"/>
                <w:lang w:eastAsia="zh-CN"/>
              </w:rPr>
            </w:pPr>
            <w:r>
              <w:rPr>
                <w:rFonts w:hint="eastAsia" w:ascii="Times New Roman" w:hAnsi="Times New Roman" w:eastAsia="仿宋_GB2312" w:cs="Times New Roman"/>
                <w:b w:val="0"/>
                <w:bCs w:val="0"/>
                <w:color w:val="auto"/>
                <w:kern w:val="2"/>
                <w:sz w:val="32"/>
                <w:szCs w:val="32"/>
                <w:highlight w:val="none"/>
                <w:lang w:val="en-US" w:eastAsia="zh-CN" w:bidi="ar-SA"/>
              </w:rPr>
              <w:t>全面推广团场医院数字化预防接种门诊。</w:t>
            </w:r>
          </w:p>
          <w:p w14:paraId="741CBD68">
            <w:pPr>
              <w:numPr>
                <w:ilvl w:val="0"/>
                <w:numId w:val="6"/>
              </w:numPr>
              <w:ind w:left="0" w:leftChars="0" w:firstLine="0" w:firstLineChars="0"/>
              <w:rPr>
                <w:rFonts w:hint="eastAsia" w:eastAsia="仿宋_GB2312"/>
                <w:color w:val="auto"/>
                <w:highlight w:val="none"/>
                <w:lang w:eastAsia="zh-CN"/>
              </w:rPr>
            </w:pPr>
            <w:r>
              <w:rPr>
                <w:rFonts w:hint="eastAsia" w:ascii="Times New Roman" w:hAnsi="Times New Roman" w:eastAsia="仿宋_GB2312" w:cs="Times New Roman"/>
                <w:b w:val="0"/>
                <w:bCs w:val="0"/>
                <w:color w:val="auto"/>
                <w:kern w:val="2"/>
                <w:sz w:val="32"/>
                <w:szCs w:val="32"/>
                <w:highlight w:val="none"/>
                <w:lang w:val="en-US" w:eastAsia="zh-CN" w:bidi="ar-SA"/>
              </w:rPr>
              <w:t>创新基层网格化公共卫生服务模式</w:t>
            </w:r>
            <w:r>
              <w:rPr>
                <w:rFonts w:hint="eastAsia" w:ascii="Times New Roman" w:hAnsi="Times New Roman" w:eastAsia="仿宋_GB2312" w:cs="Times New Roman"/>
                <w:color w:val="auto"/>
                <w:sz w:val="32"/>
                <w:szCs w:val="32"/>
                <w:highlight w:val="none"/>
                <w:lang w:eastAsia="zh-CN"/>
              </w:rPr>
              <w:t>。</w:t>
            </w:r>
          </w:p>
        </w:tc>
      </w:tr>
    </w:tbl>
    <w:p w14:paraId="00ADE471">
      <w:pPr>
        <w:numPr>
          <w:ilvl w:val="0"/>
          <w:numId w:val="3"/>
        </w:numPr>
        <w:spacing w:beforeLines="100" w:afterLines="100" w:line="360" w:lineRule="auto"/>
        <w:jc w:val="center"/>
        <w:outlineLvl w:val="1"/>
        <w:rPr>
          <w:rFonts w:hint="eastAsia" w:ascii="黑体" w:hAnsi="黑体" w:eastAsia="黑体" w:cs="黑体"/>
          <w:b/>
          <w:color w:val="auto"/>
          <w:spacing w:val="6"/>
          <w:kern w:val="44"/>
          <w:sz w:val="32"/>
          <w:szCs w:val="60"/>
          <w:highlight w:val="none"/>
        </w:rPr>
      </w:pPr>
      <w:bookmarkStart w:id="15" w:name="_Toc23464"/>
      <w:r>
        <w:rPr>
          <w:rFonts w:hint="eastAsia" w:ascii="黑体" w:hAnsi="黑体" w:eastAsia="黑体" w:cs="黑体"/>
          <w:b/>
          <w:color w:val="auto"/>
          <w:spacing w:val="6"/>
          <w:kern w:val="44"/>
          <w:sz w:val="32"/>
          <w:szCs w:val="60"/>
          <w:highlight w:val="none"/>
        </w:rPr>
        <w:t>推动中医药传承创新发展</w:t>
      </w:r>
      <w:bookmarkEnd w:id="15"/>
    </w:p>
    <w:p w14:paraId="647768C3">
      <w:pPr>
        <w:numPr>
          <w:ilvl w:val="0"/>
          <w:numId w:val="0"/>
        </w:numPr>
        <w:ind w:firstLine="643"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kern w:val="2"/>
          <w:sz w:val="32"/>
          <w:szCs w:val="32"/>
          <w:highlight w:val="none"/>
          <w:lang w:val="en-US" w:eastAsia="zh-CN" w:bidi="ar-SA"/>
        </w:rPr>
        <w:t>健全中医药服务体系。</w:t>
      </w:r>
      <w:r>
        <w:rPr>
          <w:rFonts w:hint="eastAsia" w:ascii="Times New Roman" w:hAnsi="Times New Roman" w:eastAsia="仿宋_GB2312" w:cs="Times New Roman"/>
          <w:b w:val="0"/>
          <w:bCs w:val="0"/>
          <w:color w:val="auto"/>
          <w:kern w:val="2"/>
          <w:sz w:val="32"/>
          <w:szCs w:val="32"/>
          <w:highlight w:val="none"/>
          <w:lang w:val="en-US" w:eastAsia="zh-CN" w:bidi="ar-SA"/>
        </w:rPr>
        <w:t>一是</w:t>
      </w:r>
      <w:r>
        <w:rPr>
          <w:rFonts w:hint="eastAsia" w:ascii="Times New Roman" w:hAnsi="Times New Roman" w:eastAsia="仿宋_GB2312" w:cs="Times New Roman"/>
          <w:color w:val="auto"/>
          <w:kern w:val="2"/>
          <w:sz w:val="32"/>
          <w:szCs w:val="32"/>
          <w:highlight w:val="none"/>
          <w:lang w:val="en-US" w:eastAsia="zh-CN" w:bidi="ar-SA"/>
        </w:rPr>
        <w:t>支持</w:t>
      </w:r>
      <w:r>
        <w:rPr>
          <w:rFonts w:hint="eastAsia" w:ascii="Times New Roman" w:hAnsi="Times New Roman" w:eastAsia="仿宋_GB2312" w:cs="Times New Roman"/>
          <w:color w:val="auto"/>
          <w:sz w:val="32"/>
          <w:szCs w:val="32"/>
          <w:highlight w:val="none"/>
          <w:lang w:val="en-US" w:eastAsia="zh-CN"/>
        </w:rPr>
        <w:t>第五师中医医院建设提档升级</w:t>
      </w:r>
      <w:r>
        <w:rPr>
          <w:rFonts w:hint="eastAsia" w:ascii="Times New Roman" w:hAnsi="Times New Roman" w:eastAsia="仿宋_GB2312" w:cs="Times New Roman"/>
          <w:b w:val="0"/>
          <w:bCs w:val="0"/>
          <w:color w:val="auto"/>
          <w:kern w:val="2"/>
          <w:sz w:val="32"/>
          <w:szCs w:val="32"/>
          <w:highlight w:val="none"/>
          <w:lang w:val="en-US" w:eastAsia="zh-CN" w:bidi="ar-SA"/>
        </w:rPr>
        <w:t>，加快基础设施、学科建设、人才队伍、服务能力全面</w:t>
      </w:r>
      <w:bookmarkStart w:id="16" w:name="OLE_LINK4"/>
      <w:r>
        <w:rPr>
          <w:rFonts w:hint="eastAsia" w:ascii="Times New Roman" w:hAnsi="Times New Roman" w:eastAsia="仿宋_GB2312" w:cs="Times New Roman"/>
          <w:b w:val="0"/>
          <w:bCs w:val="0"/>
          <w:color w:val="auto"/>
          <w:kern w:val="2"/>
          <w:sz w:val="32"/>
          <w:szCs w:val="32"/>
          <w:highlight w:val="none"/>
          <w:lang w:val="en-US" w:eastAsia="zh-CN" w:bidi="ar-SA"/>
        </w:rPr>
        <w:t>提升</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b w:val="0"/>
          <w:bCs w:val="0"/>
          <w:color w:val="auto"/>
          <w:kern w:val="2"/>
          <w:sz w:val="32"/>
          <w:szCs w:val="32"/>
          <w:highlight w:val="none"/>
          <w:lang w:val="en-US" w:eastAsia="zh-CN" w:bidi="ar-SA"/>
        </w:rPr>
        <w:t>强化以中医药为主体的办院模式和服务功能，持续提升中医药人员占比、中药饮片使用率、中医非药物疗法使用率。支持第五师医院中医科服务能力提升，重点提升门诊、会诊及中西医协同服务能力，与第五师中医医院形成功能互补。二是巩固基层中医药服务网底。实施医疗卫生“强基工程”中医药行动，推进中医馆内涵提升和中医阁标准化建设，实现连队卫生室中医阁建设覆盖率达到**%以上。到****年，</w:t>
      </w:r>
      <w:r>
        <w:rPr>
          <w:rFonts w:hint="eastAsia" w:ascii="Times New Roman" w:hAnsi="Times New Roman" w:eastAsia="仿宋_GB2312" w:cs="Times New Roman"/>
          <w:color w:val="auto"/>
          <w:sz w:val="32"/>
          <w:szCs w:val="32"/>
          <w:highlight w:val="none"/>
        </w:rPr>
        <w:t>力争实现全部团场医院和社区卫生服务中心能够规范开展</w:t>
      </w:r>
      <w:r>
        <w:rPr>
          <w:rFonts w:hint="eastAsia" w:ascii="Times New Roman" w:hAnsi="Times New Roman" w:eastAsia="仿宋_GB2312" w:cs="Times New Roman"/>
          <w:color w:val="auto"/>
          <w:sz w:val="32"/>
          <w:szCs w:val="32"/>
          <w:highlight w:val="none"/>
          <w:lang w:val="en-US" w:eastAsia="zh-CN"/>
        </w:rPr>
        <w:t>*类</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项以上中医药适宜技术；</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%的社区卫生服务站和</w:t>
      </w:r>
      <w:r>
        <w:rPr>
          <w:rFonts w:hint="eastAsia" w:ascii="Times New Roman" w:hAnsi="Times New Roman" w:eastAsia="仿宋_GB2312" w:cs="Times New Roman"/>
          <w:color w:val="auto"/>
          <w:sz w:val="32"/>
          <w:szCs w:val="32"/>
          <w:highlight w:val="none"/>
          <w:lang w:eastAsia="zh-CN"/>
        </w:rPr>
        <w:t>固定运行的</w:t>
      </w:r>
      <w:r>
        <w:rPr>
          <w:rFonts w:hint="eastAsia" w:ascii="Times New Roman" w:hAnsi="Times New Roman" w:eastAsia="仿宋_GB2312" w:cs="Times New Roman"/>
          <w:color w:val="auto"/>
          <w:sz w:val="32"/>
          <w:szCs w:val="32"/>
          <w:highlight w:val="none"/>
          <w:lang w:val="en-US" w:eastAsia="zh-CN"/>
        </w:rPr>
        <w:t>连</w:t>
      </w:r>
      <w:r>
        <w:rPr>
          <w:rFonts w:hint="eastAsia" w:ascii="Times New Roman" w:hAnsi="Times New Roman" w:eastAsia="仿宋_GB2312" w:cs="Times New Roman"/>
          <w:color w:val="auto"/>
          <w:sz w:val="32"/>
          <w:szCs w:val="32"/>
          <w:highlight w:val="none"/>
        </w:rPr>
        <w:t>队卫生室能够规范开展</w:t>
      </w:r>
      <w:r>
        <w:rPr>
          <w:rFonts w:hint="eastAsia" w:ascii="Times New Roman" w:hAnsi="Times New Roman" w:eastAsia="仿宋_GB2312" w:cs="Times New Roman"/>
          <w:color w:val="auto"/>
          <w:sz w:val="32"/>
          <w:szCs w:val="32"/>
          <w:highlight w:val="none"/>
          <w:lang w:val="en-US" w:eastAsia="zh-CN"/>
        </w:rPr>
        <w:t>*类</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项以上中医药适宜技术。到</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年，师市中医诊疗</w:t>
      </w:r>
      <w:r>
        <w:rPr>
          <w:rFonts w:hint="eastAsia" w:ascii="Times New Roman" w:hAnsi="Times New Roman" w:eastAsia="仿宋_GB2312" w:cs="Times New Roman"/>
          <w:color w:val="auto"/>
          <w:sz w:val="32"/>
          <w:szCs w:val="32"/>
          <w:highlight w:val="none"/>
          <w:lang w:val="en-US" w:eastAsia="zh-CN"/>
        </w:rPr>
        <w:t>人次占总诊疗人次比重达到**%</w:t>
      </w:r>
      <w:r>
        <w:rPr>
          <w:rFonts w:hint="eastAsia" w:ascii="Times New Roman" w:hAnsi="Times New Roman" w:eastAsia="仿宋_GB2312" w:cs="Times New Roman"/>
          <w:color w:val="auto"/>
          <w:sz w:val="32"/>
          <w:szCs w:val="32"/>
          <w:highlight w:val="none"/>
        </w:rPr>
        <w:t>。</w:t>
      </w:r>
    </w:p>
    <w:p w14:paraId="63EB5647">
      <w:pPr>
        <w:pBdr>
          <w:bottom w:val="single" w:color="FFFFFF" w:sz="4" w:space="12"/>
        </w:pBdr>
        <w:autoSpaceDE w:val="0"/>
        <w:autoSpaceDN w:val="0"/>
        <w:snapToGrid w:val="0"/>
        <w:spacing w:line="360" w:lineRule="auto"/>
        <w:ind w:firstLine="643" w:firstLineChars="200"/>
        <w:contextualSpacing/>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加强中医优势专科建设。</w:t>
      </w:r>
      <w:r>
        <w:rPr>
          <w:rFonts w:hint="eastAsia" w:ascii="Times New Roman" w:hAnsi="Times New Roman" w:eastAsia="仿宋_GB2312" w:cs="Times New Roman"/>
          <w:b w:val="0"/>
          <w:bCs w:val="0"/>
          <w:color w:val="auto"/>
          <w:kern w:val="2"/>
          <w:sz w:val="32"/>
          <w:szCs w:val="32"/>
          <w:highlight w:val="none"/>
          <w:lang w:val="en-US" w:eastAsia="zh-CN" w:bidi="ar-SA"/>
        </w:rPr>
        <w:t>一是扎实推进第五师中医医院“两专科一中心”建设，重点打造第五师中医医院针推康复科和脾胃科，在人才配备、设备配置、技术提升等方面集中投入，力争创建为兵团级重点专科，建设中医药适宜技术推广中心，承担兵、师基层中医药适宜技术培训、推广和质量控制职能。二是完善综合医院中医药服务功能。推进第五师医院中西医旗舰科室建设，围绕心脑血管疾病、肿瘤、妇科等方向，遴选基础较好的科室开展中西医协作诊疗，形成一批中西医结合诊疗方案。三是推动第五师中医医院规范设立治未病科室。开展中医体质辨识、健康状态评估、亚健康干预和慢性病中医调理等服务。在基层医疗卫生机构推广中医药治未病技术，提升基层治未病服务可及性。四是针对第五师中医医院儿科、妇科、老年病科等群众需求大但基础薄弱的学科，加大人才引进和培养力度，尽快补齐服务能力短板。五是支持**团、**团和**团等有条件的团场医院申报中医特色专病科室建设，逐步完善各专科中医诊疗方案和临床路径。六是创新中医服务模式，推广艾灸、推拿、拔罐、刮痧等特色护理技术，制定专科中医护理方案，加强护理人员辨证施护能力培训。推进中医药与医养结合、家庭医生签约服务深度融合，丰富健康管理内容。</w:t>
      </w:r>
    </w:p>
    <w:p w14:paraId="7D82B5B2">
      <w:pPr>
        <w:pBdr>
          <w:bottom w:val="single" w:color="FFFFFF" w:sz="4" w:space="12"/>
        </w:pBdr>
        <w:autoSpaceDE w:val="0"/>
        <w:autoSpaceDN w:val="0"/>
        <w:snapToGrid w:val="0"/>
        <w:spacing w:line="360" w:lineRule="auto"/>
        <w:ind w:firstLine="643" w:firstLineChars="200"/>
        <w:contextualSpacing/>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推进中医药特色人才培育。</w:t>
      </w:r>
      <w:bookmarkEnd w:id="16"/>
      <w:r>
        <w:rPr>
          <w:rFonts w:hint="eastAsia" w:ascii="Times New Roman" w:hAnsi="Times New Roman" w:eastAsia="仿宋_GB2312" w:cs="Times New Roman"/>
          <w:b w:val="0"/>
          <w:bCs w:val="0"/>
          <w:color w:val="auto"/>
          <w:kern w:val="2"/>
          <w:sz w:val="32"/>
          <w:szCs w:val="32"/>
          <w:highlight w:val="none"/>
          <w:lang w:val="en-US" w:eastAsia="zh-CN" w:bidi="ar-SA"/>
        </w:rPr>
        <w:t>加大中医药骨干人才引进和培养力度，依托国家中医药特色人才培养工程及对口援疆资源，实施基层名中医培养计划。依托中医药适宜技术推广中心面向基层医务人员大力推广适宜技术，鼓励临床医师“西学中”，培养一批掌握中医药基本理论与技能的中西医结合人才。做实师承教育，完善名老中医药专家传承工作室建设，健全“一对一”师带徒制度，到****年培育*-*名中医药学科带头人。</w:t>
      </w:r>
    </w:p>
    <w:p w14:paraId="12D543C2">
      <w:pPr>
        <w:pBdr>
          <w:bottom w:val="single" w:color="FFFFFF" w:sz="4" w:space="12"/>
        </w:pBdr>
        <w:autoSpaceDE w:val="0"/>
        <w:autoSpaceDN w:val="0"/>
        <w:snapToGrid w:val="0"/>
        <w:spacing w:line="360" w:lineRule="auto"/>
        <w:ind w:firstLine="643" w:firstLineChars="200"/>
        <w:contextualSpacing/>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加快中医药信息化建设。</w:t>
      </w:r>
      <w:r>
        <w:rPr>
          <w:rFonts w:hint="eastAsia" w:ascii="Times New Roman" w:hAnsi="Times New Roman" w:eastAsia="仿宋_GB2312" w:cs="Times New Roman"/>
          <w:b w:val="0"/>
          <w:bCs w:val="0"/>
          <w:color w:val="auto"/>
          <w:kern w:val="2"/>
          <w:sz w:val="32"/>
          <w:szCs w:val="32"/>
          <w:highlight w:val="none"/>
          <w:lang w:val="en-US" w:eastAsia="zh-CN" w:bidi="ar-SA"/>
        </w:rPr>
        <w:t>一是加快推进第五师中医医院电子病历系统建设，到****年，力争达到*级以上应用水平。推进智慧中药房建设，实现中药饮片统一采购、审方、调剂、煎煮、配送全流程信息化管理。二是推动人工智能辅助中医诊疗。探索引入中医人工智能辅助诊疗系统，在智能辨证、方剂推荐、经典医案检索等方面为临床提供辅助支撑。三是拓展“互联网+中医药”服务，推动在医共体内中医电子病历、电子健康档案的互联互通。探索开展中医远程会诊和远程教学，利用信息化手段推动优质中医资源下沉基层。</w:t>
      </w:r>
    </w:p>
    <w:p w14:paraId="199D2962">
      <w:pPr>
        <w:pBdr>
          <w:bottom w:val="single" w:color="FFFFFF" w:sz="4" w:space="12"/>
        </w:pBdr>
        <w:autoSpaceDE w:val="0"/>
        <w:autoSpaceDN w:val="0"/>
        <w:snapToGrid w:val="0"/>
        <w:spacing w:line="360" w:lineRule="auto"/>
        <w:ind w:firstLine="643" w:firstLineChars="200"/>
        <w:contextualSpacing/>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弘扬中医药文化与科普宣传。</w:t>
      </w:r>
      <w:r>
        <w:rPr>
          <w:rFonts w:hint="eastAsia" w:ascii="Times New Roman" w:hAnsi="Times New Roman" w:eastAsia="仿宋_GB2312" w:cs="Times New Roman"/>
          <w:b w:val="0"/>
          <w:bCs w:val="0"/>
          <w:color w:val="auto"/>
          <w:kern w:val="2"/>
          <w:sz w:val="32"/>
          <w:szCs w:val="32"/>
          <w:highlight w:val="none"/>
          <w:lang w:val="en-US" w:eastAsia="zh-CN" w:bidi="ar-SA"/>
        </w:rPr>
        <w:t>一是保护挖掘民间特色诊疗技术和方药。依托第五师中医医院建设中医药文化宣传教育基地，展示中医药和民族医药历史文化与独特价值。二是围绕亚健康人群和慢性病患者，推广体质辨识、食疗药膳、穴位保健等简便验廉的治未病方法，将中医药健康养生理念融入健康师市建设和爱国卫生运动。三是支持有条件的医疗机构探索开展或参与中医药特色康养旅游和保健服务。常态化举办年度师市中医药技能大赛，营造浓厚的中医药文化氛围。四是创新宣传形式，通过广播电视、新媒体、健康讲座以及中医夜市、中医宣传角等载体，开展中医药文化科普，推动其融入学校、社区和家庭健康管理。</w:t>
      </w:r>
    </w:p>
    <w:tbl>
      <w:tblPr>
        <w:tblStyle w:val="14"/>
        <w:tblpPr w:leftFromText="180" w:rightFromText="180" w:vertAnchor="text" w:horzAnchor="page" w:tblpX="1793" w:tblpY="290"/>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35F7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522" w:type="dxa"/>
            <w:vAlign w:val="center"/>
          </w:tcPr>
          <w:p w14:paraId="5499F712">
            <w:pPr>
              <w:adjustRightInd w:val="0"/>
              <w:snapToGrid w:val="0"/>
              <w:spacing w:line="580" w:lineRule="exact"/>
              <w:jc w:val="center"/>
              <w:rPr>
                <w:rFonts w:hint="default" w:eastAsia="黑体"/>
                <w:color w:val="auto"/>
                <w:szCs w:val="32"/>
                <w:highlight w:val="none"/>
                <w:lang w:val="en-US" w:eastAsia="zh-CN"/>
              </w:rPr>
            </w:pPr>
            <w:r>
              <w:rPr>
                <w:rFonts w:eastAsia="黑体"/>
                <w:bCs/>
                <w:color w:val="auto"/>
                <w:sz w:val="32"/>
                <w:szCs w:val="48"/>
                <w:highlight w:val="none"/>
              </w:rPr>
              <w:t>专栏</w:t>
            </w:r>
            <w:r>
              <w:rPr>
                <w:rFonts w:hint="eastAsia" w:eastAsia="黑体"/>
                <w:bCs/>
                <w:color w:val="auto"/>
                <w:sz w:val="32"/>
                <w:szCs w:val="48"/>
                <w:highlight w:val="none"/>
                <w:lang w:eastAsia="zh-CN"/>
              </w:rPr>
              <w:t>*</w:t>
            </w:r>
            <w:r>
              <w:rPr>
                <w:rFonts w:eastAsia="黑体"/>
                <w:bCs/>
                <w:color w:val="auto"/>
                <w:sz w:val="32"/>
                <w:szCs w:val="48"/>
                <w:highlight w:val="none"/>
              </w:rPr>
              <w:t xml:space="preserve"> </w:t>
            </w:r>
            <w:r>
              <w:rPr>
                <w:rFonts w:hint="eastAsia" w:eastAsia="黑体"/>
                <w:bCs/>
                <w:color w:val="auto"/>
                <w:sz w:val="32"/>
                <w:szCs w:val="48"/>
                <w:highlight w:val="none"/>
                <w:lang w:val="en-US" w:eastAsia="zh-CN"/>
              </w:rPr>
              <w:t>中医药传承创新发展工程</w:t>
            </w:r>
          </w:p>
        </w:tc>
      </w:tr>
      <w:tr w14:paraId="1B216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trPr>
        <w:tc>
          <w:tcPr>
            <w:tcW w:w="8522" w:type="dxa"/>
            <w:vAlign w:val="center"/>
          </w:tcPr>
          <w:p w14:paraId="503E5F24">
            <w:pPr>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kern w:val="2"/>
                <w:sz w:val="32"/>
                <w:szCs w:val="32"/>
                <w:highlight w:val="none"/>
                <w:lang w:val="en-US" w:eastAsia="zh-CN" w:bidi="ar-SA"/>
              </w:rPr>
              <w:t>*.推动</w:t>
            </w:r>
            <w:r>
              <w:rPr>
                <w:rFonts w:hint="eastAsia" w:ascii="Times New Roman" w:hAnsi="Times New Roman" w:eastAsia="仿宋_GB2312" w:cs="Times New Roman"/>
                <w:color w:val="auto"/>
                <w:sz w:val="32"/>
                <w:szCs w:val="32"/>
                <w:highlight w:val="none"/>
                <w:lang w:val="en-US" w:eastAsia="zh-CN"/>
              </w:rPr>
              <w:t>第五师中医医院“两专科一中心”建设，支持</w:t>
            </w:r>
            <w:r>
              <w:rPr>
                <w:rFonts w:hint="eastAsia" w:ascii="Times New Roman" w:hAnsi="Times New Roman" w:eastAsia="仿宋_GB2312" w:cs="Times New Roman"/>
                <w:color w:val="auto"/>
                <w:sz w:val="32"/>
                <w:szCs w:val="32"/>
                <w:highlight w:val="none"/>
              </w:rPr>
              <w:t>针灸推拿</w:t>
            </w:r>
            <w:r>
              <w:rPr>
                <w:rFonts w:hint="eastAsia" w:ascii="Times New Roman" w:hAnsi="Times New Roman" w:eastAsia="仿宋_GB2312" w:cs="Times New Roman"/>
                <w:color w:val="auto"/>
                <w:sz w:val="32"/>
                <w:szCs w:val="32"/>
                <w:highlight w:val="none"/>
                <w:lang w:val="en-US" w:eastAsia="zh-CN"/>
              </w:rPr>
              <w:t>康复</w:t>
            </w:r>
            <w:r>
              <w:rPr>
                <w:rFonts w:hint="eastAsia" w:ascii="Times New Roman" w:hAnsi="Times New Roman" w:eastAsia="仿宋_GB2312" w:cs="Times New Roman"/>
                <w:color w:val="auto"/>
                <w:sz w:val="32"/>
                <w:szCs w:val="32"/>
                <w:highlight w:val="none"/>
              </w:rPr>
              <w:t>科和脾胃科</w:t>
            </w:r>
            <w:r>
              <w:rPr>
                <w:rFonts w:hint="eastAsia" w:ascii="Times New Roman" w:hAnsi="Times New Roman" w:eastAsia="仿宋_GB2312" w:cs="Times New Roman"/>
                <w:color w:val="auto"/>
                <w:sz w:val="32"/>
                <w:szCs w:val="32"/>
                <w:highlight w:val="none"/>
                <w:lang w:val="en-US" w:eastAsia="zh-CN"/>
              </w:rPr>
              <w:t>创建</w:t>
            </w:r>
            <w:r>
              <w:rPr>
                <w:rFonts w:hint="eastAsia" w:ascii="Times New Roman" w:hAnsi="Times New Roman" w:eastAsia="仿宋_GB2312" w:cs="Times New Roman"/>
                <w:color w:val="auto"/>
                <w:sz w:val="32"/>
                <w:szCs w:val="32"/>
                <w:highlight w:val="none"/>
              </w:rPr>
              <w:t>兵团</w:t>
            </w:r>
            <w:r>
              <w:rPr>
                <w:rFonts w:hint="eastAsia" w:ascii="Times New Roman" w:hAnsi="Times New Roman" w:eastAsia="仿宋_GB2312" w:cs="Times New Roman"/>
                <w:color w:val="auto"/>
                <w:sz w:val="32"/>
                <w:szCs w:val="32"/>
                <w:highlight w:val="none"/>
                <w:lang w:val="en-US" w:eastAsia="zh-CN"/>
              </w:rPr>
              <w:t>级</w:t>
            </w:r>
            <w:r>
              <w:rPr>
                <w:rFonts w:hint="eastAsia" w:ascii="Times New Roman" w:hAnsi="Times New Roman" w:eastAsia="仿宋_GB2312" w:cs="Times New Roman"/>
                <w:color w:val="auto"/>
                <w:sz w:val="32"/>
                <w:szCs w:val="32"/>
                <w:highlight w:val="none"/>
              </w:rPr>
              <w:t>重点专科</w:t>
            </w:r>
            <w:r>
              <w:rPr>
                <w:rFonts w:hint="eastAsia" w:ascii="Times New Roman" w:hAnsi="Times New Roman" w:eastAsia="仿宋_GB2312" w:cs="Times New Roman"/>
                <w:color w:val="auto"/>
                <w:sz w:val="32"/>
                <w:szCs w:val="32"/>
                <w:highlight w:val="none"/>
                <w:lang w:eastAsia="zh-CN"/>
              </w:rPr>
              <w:t>。</w:t>
            </w:r>
          </w:p>
          <w:p w14:paraId="01ACE97F">
            <w:pPr>
              <w:numPr>
                <w:ilvl w:val="0"/>
                <w:numId w:val="0"/>
              </w:numPr>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bidi="ar-SA"/>
              </w:rPr>
              <w:t>*</w:t>
            </w:r>
            <w:r>
              <w:rPr>
                <w:rFonts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推进中医馆内涵提升和中医阁标准化建设，实现连队卫生室中医阁建设覆盖率达到**%以上。</w:t>
            </w:r>
          </w:p>
          <w:p w14:paraId="5A7715D4">
            <w:pPr>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.第五师医院</w:t>
            </w:r>
            <w:r>
              <w:rPr>
                <w:rFonts w:hint="eastAsia" w:ascii="Times New Roman" w:hAnsi="Times New Roman" w:eastAsia="仿宋_GB2312" w:cs="Times New Roman"/>
                <w:color w:val="auto"/>
                <w:sz w:val="32"/>
                <w:szCs w:val="32"/>
                <w:highlight w:val="none"/>
                <w:lang w:val="en-US" w:eastAsia="zh-CN"/>
              </w:rPr>
              <w:t>建设</w:t>
            </w:r>
            <w:r>
              <w:rPr>
                <w:rFonts w:hint="eastAsia" w:ascii="Times New Roman" w:hAnsi="Times New Roman" w:eastAsia="仿宋_GB2312" w:cs="Times New Roman"/>
                <w:color w:val="auto"/>
                <w:sz w:val="32"/>
                <w:szCs w:val="32"/>
                <w:highlight w:val="none"/>
              </w:rPr>
              <w:t>中西医结合旗舰科室</w:t>
            </w:r>
            <w:r>
              <w:rPr>
                <w:rFonts w:hint="eastAsia" w:ascii="Times New Roman" w:hAnsi="Times New Roman" w:eastAsia="仿宋_GB2312" w:cs="Times New Roman"/>
                <w:color w:val="auto"/>
                <w:sz w:val="32"/>
                <w:szCs w:val="32"/>
                <w:highlight w:val="none"/>
                <w:lang w:eastAsia="zh-CN"/>
              </w:rPr>
              <w:t>。</w:t>
            </w:r>
          </w:p>
          <w:p w14:paraId="294425A8">
            <w:pPr>
              <w:rPr>
                <w:color w:val="auto"/>
                <w:highlight w:val="none"/>
              </w:rPr>
            </w:pP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实施第五师中医医院治未病科室建设，</w:t>
            </w:r>
            <w:r>
              <w:rPr>
                <w:rFonts w:hint="eastAsia" w:ascii="Times New Roman" w:hAnsi="Times New Roman" w:eastAsia="仿宋_GB2312" w:cs="Times New Roman"/>
                <w:b w:val="0"/>
                <w:bCs w:val="0"/>
                <w:color w:val="auto"/>
                <w:kern w:val="2"/>
                <w:sz w:val="32"/>
                <w:szCs w:val="32"/>
                <w:highlight w:val="none"/>
                <w:lang w:val="en-US" w:eastAsia="zh-CN" w:bidi="ar-SA"/>
              </w:rPr>
              <w:t>在基层医疗卫生机构推广中医药治未病技术</w:t>
            </w:r>
            <w:r>
              <w:rPr>
                <w:rFonts w:hint="eastAsia" w:ascii="Times New Roman" w:hAnsi="Times New Roman" w:eastAsia="仿宋_GB2312" w:cs="Times New Roman"/>
                <w:color w:val="auto"/>
                <w:sz w:val="32"/>
                <w:szCs w:val="32"/>
                <w:highlight w:val="none"/>
                <w:lang w:eastAsia="zh-CN"/>
              </w:rPr>
              <w:t>。</w:t>
            </w:r>
          </w:p>
        </w:tc>
      </w:tr>
    </w:tbl>
    <w:p w14:paraId="0EFAAB3A">
      <w:pPr>
        <w:numPr>
          <w:ilvl w:val="0"/>
          <w:numId w:val="3"/>
        </w:numPr>
        <w:spacing w:beforeLines="100" w:afterLines="100" w:line="360" w:lineRule="auto"/>
        <w:jc w:val="center"/>
        <w:outlineLvl w:val="1"/>
        <w:rPr>
          <w:rFonts w:hint="eastAsia" w:ascii="黑体" w:hAnsi="黑体" w:eastAsia="黑体" w:cs="黑体"/>
          <w:b/>
          <w:color w:val="auto"/>
          <w:spacing w:val="6"/>
          <w:kern w:val="44"/>
          <w:sz w:val="32"/>
          <w:szCs w:val="60"/>
          <w:highlight w:val="none"/>
          <w:lang w:val="en-US" w:eastAsia="zh-CN"/>
        </w:rPr>
      </w:pPr>
      <w:bookmarkStart w:id="17" w:name="_Toc24384"/>
      <w:r>
        <w:rPr>
          <w:rFonts w:hint="eastAsia" w:ascii="黑体" w:hAnsi="黑体" w:eastAsia="黑体" w:cs="黑体"/>
          <w:b/>
          <w:color w:val="auto"/>
          <w:spacing w:val="6"/>
          <w:kern w:val="44"/>
          <w:sz w:val="32"/>
          <w:szCs w:val="60"/>
          <w:highlight w:val="none"/>
        </w:rPr>
        <w:t>积极推进医防融合服务模式创新</w:t>
      </w:r>
      <w:bookmarkEnd w:id="17"/>
    </w:p>
    <w:p w14:paraId="59A925A7">
      <w:pPr>
        <w:pBdr>
          <w:bottom w:val="single" w:color="FFFFFF" w:sz="4" w:space="12"/>
        </w:pBdr>
        <w:autoSpaceDE w:val="0"/>
        <w:autoSpaceDN w:val="0"/>
        <w:snapToGrid w:val="0"/>
        <w:spacing w:line="360" w:lineRule="auto"/>
        <w:ind w:firstLine="643" w:firstLineChars="200"/>
        <w:contextualSpacing/>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健全医防协同治理机制。一是强化高位统筹。</w:t>
      </w:r>
      <w:r>
        <w:rPr>
          <w:rFonts w:hint="eastAsia" w:ascii="Times New Roman" w:hAnsi="Times New Roman" w:eastAsia="仿宋_GB2312" w:cs="Times New Roman"/>
          <w:b w:val="0"/>
          <w:bCs w:val="0"/>
          <w:color w:val="auto"/>
          <w:kern w:val="2"/>
          <w:sz w:val="32"/>
          <w:szCs w:val="32"/>
          <w:highlight w:val="none"/>
          <w:lang w:val="en-US" w:eastAsia="zh-CN" w:bidi="ar-SA"/>
        </w:rPr>
        <w:t>开展医防融合专项行动，建立“季度联席会议”与“年度联合督导”常态化工作机制。统筹医疗与公共卫生资源配置、重大项目安排和财政资金投入，协调解决跨部门、跨机构协作中的难点堵点，形成政策协同、步调一致的工作格局。</w:t>
      </w:r>
      <w:r>
        <w:rPr>
          <w:rFonts w:hint="eastAsia" w:ascii="Times New Roman" w:hAnsi="Times New Roman" w:eastAsia="仿宋_GB2312" w:cs="Times New Roman"/>
          <w:b/>
          <w:bCs/>
          <w:color w:val="auto"/>
          <w:kern w:val="2"/>
          <w:sz w:val="32"/>
          <w:szCs w:val="32"/>
          <w:highlight w:val="none"/>
          <w:lang w:val="en-US" w:eastAsia="zh-CN" w:bidi="ar-SA"/>
        </w:rPr>
        <w:t>二是探索多元化融合模式。</w:t>
      </w:r>
      <w:r>
        <w:rPr>
          <w:rFonts w:hint="eastAsia" w:ascii="Times New Roman" w:hAnsi="Times New Roman" w:eastAsia="仿宋_GB2312" w:cs="Times New Roman"/>
          <w:b w:val="0"/>
          <w:bCs w:val="0"/>
          <w:color w:val="auto"/>
          <w:kern w:val="2"/>
          <w:sz w:val="32"/>
          <w:szCs w:val="32"/>
          <w:highlight w:val="none"/>
          <w:lang w:val="en-US" w:eastAsia="zh-CN" w:bidi="ar-SA"/>
        </w:rPr>
        <w:t>鼓励结合区域实际，积极探索多部门协同型、医疗机构牵引型、疾控机构牵头型、基层平台整合型等多元化医防融合模式，支持开展复合型创新试点，形成可复制、可推广的典型经验。</w:t>
      </w:r>
      <w:r>
        <w:rPr>
          <w:rFonts w:hint="eastAsia" w:ascii="Times New Roman" w:hAnsi="Times New Roman" w:eastAsia="仿宋_GB2312" w:cs="Times New Roman"/>
          <w:b/>
          <w:bCs/>
          <w:color w:val="auto"/>
          <w:kern w:val="2"/>
          <w:sz w:val="32"/>
          <w:szCs w:val="32"/>
          <w:highlight w:val="none"/>
          <w:lang w:val="en-US" w:eastAsia="zh-CN" w:bidi="ar-SA"/>
        </w:rPr>
        <w:t>三是</w:t>
      </w:r>
      <w:r>
        <w:rPr>
          <w:rFonts w:hint="default" w:ascii="Times New Roman" w:hAnsi="Times New Roman" w:eastAsia="仿宋_GB2312" w:cs="Times New Roman"/>
          <w:b/>
          <w:bCs/>
          <w:color w:val="auto"/>
          <w:kern w:val="2"/>
          <w:sz w:val="32"/>
          <w:szCs w:val="32"/>
          <w:highlight w:val="none"/>
          <w:lang w:val="en-US" w:eastAsia="zh-CN" w:bidi="ar-SA"/>
        </w:rPr>
        <w:t>压实各类机构主体责任。</w:t>
      </w:r>
      <w:r>
        <w:rPr>
          <w:rFonts w:hint="default" w:ascii="Times New Roman" w:hAnsi="Times New Roman" w:eastAsia="仿宋_GB2312" w:cs="Times New Roman"/>
          <w:b w:val="0"/>
          <w:bCs w:val="0"/>
          <w:color w:val="auto"/>
          <w:kern w:val="2"/>
          <w:sz w:val="32"/>
          <w:szCs w:val="32"/>
          <w:highlight w:val="none"/>
          <w:lang w:val="en-US" w:eastAsia="zh-CN" w:bidi="ar-SA"/>
        </w:rPr>
        <w:t>强化</w:t>
      </w:r>
      <w:r>
        <w:rPr>
          <w:rFonts w:hint="eastAsia" w:ascii="Times New Roman" w:hAnsi="Times New Roman" w:eastAsia="仿宋_GB2312" w:cs="Times New Roman"/>
          <w:b w:val="0"/>
          <w:bCs w:val="0"/>
          <w:color w:val="auto"/>
          <w:kern w:val="2"/>
          <w:sz w:val="32"/>
          <w:szCs w:val="32"/>
          <w:highlight w:val="none"/>
          <w:lang w:val="en-US" w:eastAsia="zh-CN" w:bidi="ar-SA"/>
        </w:rPr>
        <w:t>医共体</w:t>
      </w:r>
      <w:r>
        <w:rPr>
          <w:rFonts w:hint="default" w:ascii="Times New Roman" w:hAnsi="Times New Roman" w:eastAsia="仿宋_GB2312" w:cs="Times New Roman"/>
          <w:b w:val="0"/>
          <w:bCs w:val="0"/>
          <w:color w:val="auto"/>
          <w:kern w:val="2"/>
          <w:sz w:val="32"/>
          <w:szCs w:val="32"/>
          <w:highlight w:val="none"/>
          <w:lang w:val="en-US" w:eastAsia="zh-CN" w:bidi="ar-SA"/>
        </w:rPr>
        <w:t>公共卫生</w:t>
      </w:r>
      <w:r>
        <w:rPr>
          <w:rFonts w:hint="eastAsia" w:ascii="Times New Roman" w:hAnsi="Times New Roman" w:eastAsia="仿宋_GB2312" w:cs="Times New Roman"/>
          <w:b w:val="0"/>
          <w:bCs w:val="0"/>
          <w:color w:val="auto"/>
          <w:kern w:val="2"/>
          <w:sz w:val="32"/>
          <w:szCs w:val="32"/>
          <w:highlight w:val="none"/>
          <w:lang w:val="en-US" w:eastAsia="zh-CN" w:bidi="ar-SA"/>
        </w:rPr>
        <w:t>管理中心</w:t>
      </w:r>
      <w:r>
        <w:rPr>
          <w:rFonts w:hint="default" w:ascii="Times New Roman" w:hAnsi="Times New Roman" w:eastAsia="仿宋_GB2312" w:cs="Times New Roman"/>
          <w:b w:val="0"/>
          <w:bCs w:val="0"/>
          <w:color w:val="auto"/>
          <w:kern w:val="2"/>
          <w:sz w:val="32"/>
          <w:szCs w:val="32"/>
          <w:highlight w:val="none"/>
          <w:lang w:val="en-US" w:eastAsia="zh-CN" w:bidi="ar-SA"/>
        </w:rPr>
        <w:t>建设，推动牵头医院对成员单位在疾病筛查、慢病管理、疫情监测等方面切实发挥龙头带动作用。</w:t>
      </w:r>
      <w:r>
        <w:rPr>
          <w:rFonts w:hint="eastAsia" w:ascii="Times New Roman" w:hAnsi="Times New Roman" w:eastAsia="仿宋_GB2312" w:cs="Times New Roman"/>
          <w:b w:val="0"/>
          <w:bCs w:val="0"/>
          <w:color w:val="auto"/>
          <w:kern w:val="2"/>
          <w:sz w:val="32"/>
          <w:szCs w:val="32"/>
          <w:highlight w:val="none"/>
          <w:lang w:val="en-US" w:eastAsia="zh-CN" w:bidi="ar-SA"/>
        </w:rPr>
        <w:t>每家团场医院、社区卫生服务中心至少配备*名公共卫生医师</w:t>
      </w:r>
      <w:r>
        <w:rPr>
          <w:rFonts w:hint="default" w:ascii="Times New Roman" w:hAnsi="Times New Roman" w:eastAsia="仿宋_GB2312" w:cs="Times New Roman"/>
          <w:b w:val="0"/>
          <w:bCs w:val="0"/>
          <w:color w:val="auto"/>
          <w:kern w:val="2"/>
          <w:sz w:val="32"/>
          <w:szCs w:val="32"/>
          <w:highlight w:val="none"/>
          <w:lang w:val="en-US" w:eastAsia="zh-CN" w:bidi="ar-SA"/>
        </w:rPr>
        <w:t>，夯实基层医疗卫生机构的服务网底与信息前哨功能。</w:t>
      </w:r>
      <w:r>
        <w:rPr>
          <w:rFonts w:hint="eastAsia" w:ascii="Times New Roman" w:hAnsi="Times New Roman" w:eastAsia="仿宋_GB2312" w:cs="Times New Roman"/>
          <w:b/>
          <w:bCs/>
          <w:color w:val="auto"/>
          <w:kern w:val="2"/>
          <w:sz w:val="32"/>
          <w:szCs w:val="32"/>
          <w:highlight w:val="none"/>
          <w:lang w:val="en-US" w:eastAsia="zh-CN" w:bidi="ar-SA"/>
        </w:rPr>
        <w:t>四是优化医防管复合型人才培养机制。</w:t>
      </w:r>
      <w:r>
        <w:rPr>
          <w:rFonts w:hint="eastAsia" w:ascii="Times New Roman" w:hAnsi="Times New Roman" w:eastAsia="仿宋_GB2312" w:cs="Times New Roman"/>
          <w:b w:val="0"/>
          <w:bCs w:val="0"/>
          <w:color w:val="auto"/>
          <w:kern w:val="2"/>
          <w:sz w:val="32"/>
          <w:szCs w:val="32"/>
          <w:highlight w:val="none"/>
          <w:lang w:val="en-US" w:eastAsia="zh-CN" w:bidi="ar-SA"/>
        </w:rPr>
        <w:t>完善医防管复合型人才培养规划，支持逐步开放公共卫生医师处方权，实施公卫医师规范化培训，强化传染病防控、慢性病管理等关键领域实战能力训练，为应对突发公共卫生事件和支撑卫生健康重大决策提供坚实人才保障。</w:t>
      </w:r>
    </w:p>
    <w:p w14:paraId="75CD4A84">
      <w:pPr>
        <w:pBdr>
          <w:bottom w:val="single" w:color="FFFFFF" w:sz="4" w:space="12"/>
        </w:pBdr>
        <w:autoSpaceDE w:val="0"/>
        <w:autoSpaceDN w:val="0"/>
        <w:snapToGrid w:val="0"/>
        <w:spacing w:line="360" w:lineRule="auto"/>
        <w:ind w:firstLine="643" w:firstLineChars="200"/>
        <w:contextualSpacing/>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bCs/>
          <w:color w:val="auto"/>
          <w:sz w:val="32"/>
          <w:szCs w:val="32"/>
          <w:highlight w:val="none"/>
          <w:lang w:val="en-US" w:eastAsia="zh-CN"/>
        </w:rPr>
        <w:t>持续推进慢性病综合防治示范区创建工作。</w:t>
      </w:r>
      <w:r>
        <w:rPr>
          <w:rFonts w:hint="eastAsia" w:ascii="Times New Roman" w:hAnsi="Times New Roman" w:eastAsia="仿宋_GB2312" w:cs="Times New Roman"/>
          <w:b w:val="0"/>
          <w:bCs w:val="0"/>
          <w:color w:val="auto"/>
          <w:sz w:val="32"/>
          <w:szCs w:val="32"/>
          <w:highlight w:val="none"/>
          <w:lang w:val="en-US" w:eastAsia="zh-CN"/>
        </w:rPr>
        <w:t>在符合条件的团场医院等基层医疗机构设立“一站式”慢性病健康管理中心，统筹推进多病共防共管，推动慢性病防治从“碎片化”向“一体化”转变。以心脑血管疾病、癌症、慢性呼吸系统疾病、糖尿病等重大慢性病为攻关重点，健全早筛早诊早治早康复的服务体系，推动重大慢性病过早死亡率持续下降。推进高血压、*型糖尿病、高脂血症、肥胖症等膳食运动基层指导要点的应用，为慢性病患者提供个性化生活方式指导和日常健康管理服务。同时，</w:t>
      </w:r>
      <w:r>
        <w:rPr>
          <w:rFonts w:hint="eastAsia" w:ascii="Times New Roman" w:hAnsi="Times New Roman" w:eastAsia="仿宋_GB2312" w:cs="Times New Roman"/>
          <w:b w:val="0"/>
          <w:bCs w:val="0"/>
          <w:color w:val="auto"/>
          <w:sz w:val="32"/>
          <w:szCs w:val="32"/>
          <w:highlight w:val="none"/>
        </w:rPr>
        <w:t>健全以居民健康结果为核心的激励约束机制</w:t>
      </w:r>
      <w:r>
        <w:rPr>
          <w:rFonts w:hint="eastAsia" w:ascii="Times New Roman" w:hAnsi="Times New Roman" w:eastAsia="仿宋_GB2312" w:cs="Times New Roman"/>
          <w:b/>
          <w:bCs/>
          <w:color w:val="auto"/>
          <w:sz w:val="32"/>
          <w:szCs w:val="32"/>
          <w:highlight w:val="none"/>
        </w:rPr>
        <w:t>。</w:t>
      </w:r>
      <w:r>
        <w:rPr>
          <w:rFonts w:hint="eastAsia" w:ascii="Times New Roman" w:hAnsi="Times New Roman" w:eastAsia="仿宋_GB2312" w:cs="Times New Roman"/>
          <w:color w:val="auto"/>
          <w:kern w:val="2"/>
          <w:sz w:val="32"/>
          <w:szCs w:val="32"/>
          <w:highlight w:val="none"/>
          <w:lang w:val="en-US" w:eastAsia="zh-CN" w:bidi="ar-SA"/>
        </w:rPr>
        <w:t>将签约居民健康改善指标、慢性病规范管理率、服务满意度等纳入家庭医生团队绩效考核并直接与绩效分配挂钩。探索签约服务费单独列支、结余留用的激励政策，结余部分主要用于团队人员激励。</w:t>
      </w:r>
      <w:r>
        <w:rPr>
          <w:rFonts w:hint="eastAsia" w:ascii="Times New Roman" w:hAnsi="Times New Roman" w:eastAsia="仿宋_GB2312" w:cs="Times New Roman"/>
          <w:b w:val="0"/>
          <w:bCs w:val="0"/>
          <w:color w:val="auto"/>
          <w:sz w:val="32"/>
          <w:szCs w:val="32"/>
          <w:highlight w:val="none"/>
          <w:lang w:val="en-US" w:eastAsia="zh-CN"/>
        </w:rPr>
        <w:t>师市每年开展慢性病高危人群筛查不少于*.*万人次，到****年，高血压、糖尿病规范管理率稳定在**%以上，重大慢性病过早死亡率降到**%以下</w:t>
      </w:r>
      <w:r>
        <w:rPr>
          <w:rFonts w:hint="eastAsia" w:ascii="Times New Roman" w:hAnsi="Times New Roman" w:eastAsia="仿宋_GB2312" w:cs="Times New Roman"/>
          <w:b w:val="0"/>
          <w:bCs w:val="0"/>
          <w:color w:val="auto"/>
          <w:kern w:val="2"/>
          <w:sz w:val="32"/>
          <w:szCs w:val="32"/>
          <w:highlight w:val="none"/>
          <w:lang w:val="en-US" w:eastAsia="zh-CN" w:bidi="ar-SA"/>
        </w:rPr>
        <w:t>。</w:t>
      </w:r>
    </w:p>
    <w:p w14:paraId="60D27938">
      <w:pPr>
        <w:pBdr>
          <w:bottom w:val="single" w:color="FFFFFF" w:sz="4" w:space="12"/>
        </w:pBdr>
        <w:autoSpaceDE w:val="0"/>
        <w:autoSpaceDN w:val="0"/>
        <w:snapToGrid w:val="0"/>
        <w:spacing w:line="360" w:lineRule="auto"/>
        <w:ind w:firstLine="643" w:firstLineChars="200"/>
        <w:contextualSpacing/>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提升家庭医生签约团队医防融合服务能力。</w:t>
      </w:r>
      <w:r>
        <w:rPr>
          <w:rFonts w:hint="eastAsia" w:ascii="Times New Roman" w:hAnsi="Times New Roman" w:eastAsia="仿宋_GB2312" w:cs="Times New Roman"/>
          <w:b w:val="0"/>
          <w:bCs w:val="0"/>
          <w:color w:val="auto"/>
          <w:kern w:val="2"/>
          <w:sz w:val="32"/>
          <w:szCs w:val="32"/>
          <w:highlight w:val="none"/>
          <w:lang w:val="en-US" w:eastAsia="zh-CN" w:bidi="ar-SA"/>
        </w:rPr>
        <w:t>鼓励组建“全科+公卫+护理+专科+X”融合型家庭医生签约服务团队，实现临床服务与公共卫生服务同团队、同流程完成。健全基层传染病平急结合机制，确保家庭医生团队在应急状态下快速转换角色，筑牢基层防控底线。推行以健康结局为导向的一体化服务，在基层医疗卫生机构设立慢性病一体化门诊，实行“诊前健康自测-诊中临床决策与双处方-诊后追踪随访”的标准化服务流程。探索慢病“红黄绿”三色分级服务，根据患者病情严重程度、控制情况划分风险等级，精准提升慢病控制率。到****年，基层医疗机构医防融合服务覆盖率达***%。</w:t>
      </w:r>
    </w:p>
    <w:tbl>
      <w:tblPr>
        <w:tblStyle w:val="14"/>
        <w:tblpPr w:leftFromText="180" w:rightFromText="180" w:vertAnchor="text" w:horzAnchor="page" w:tblpX="1793" w:tblpY="290"/>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F7BA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522" w:type="dxa"/>
            <w:vAlign w:val="center"/>
          </w:tcPr>
          <w:p w14:paraId="01A7FAA9">
            <w:pPr>
              <w:adjustRightInd w:val="0"/>
              <w:snapToGrid w:val="0"/>
              <w:spacing w:line="580" w:lineRule="exact"/>
              <w:jc w:val="center"/>
              <w:rPr>
                <w:rFonts w:hint="default" w:eastAsia="黑体"/>
                <w:color w:val="auto"/>
                <w:szCs w:val="32"/>
                <w:highlight w:val="none"/>
                <w:lang w:val="en-US" w:eastAsia="zh-CN"/>
              </w:rPr>
            </w:pPr>
            <w:r>
              <w:rPr>
                <w:rFonts w:eastAsia="黑体"/>
                <w:bCs/>
                <w:color w:val="auto"/>
                <w:sz w:val="32"/>
                <w:szCs w:val="48"/>
                <w:highlight w:val="none"/>
              </w:rPr>
              <w:t>专栏</w:t>
            </w:r>
            <w:r>
              <w:rPr>
                <w:rFonts w:hint="eastAsia" w:eastAsia="黑体"/>
                <w:bCs/>
                <w:color w:val="auto"/>
                <w:sz w:val="32"/>
                <w:szCs w:val="48"/>
                <w:highlight w:val="none"/>
                <w:lang w:eastAsia="zh-CN"/>
              </w:rPr>
              <w:t>*</w:t>
            </w:r>
            <w:r>
              <w:rPr>
                <w:rFonts w:eastAsia="黑体"/>
                <w:bCs/>
                <w:color w:val="auto"/>
                <w:sz w:val="32"/>
                <w:szCs w:val="48"/>
                <w:highlight w:val="none"/>
              </w:rPr>
              <w:t xml:space="preserve">  </w:t>
            </w:r>
            <w:r>
              <w:rPr>
                <w:rFonts w:hint="eastAsia" w:eastAsia="黑体"/>
                <w:bCs/>
                <w:color w:val="auto"/>
                <w:sz w:val="32"/>
                <w:szCs w:val="48"/>
                <w:highlight w:val="none"/>
              </w:rPr>
              <w:t>医防融合改革与服务创新</w:t>
            </w:r>
            <w:r>
              <w:rPr>
                <w:rFonts w:hint="eastAsia" w:eastAsia="黑体"/>
                <w:bCs/>
                <w:color w:val="auto"/>
                <w:sz w:val="32"/>
                <w:szCs w:val="48"/>
                <w:highlight w:val="none"/>
                <w:lang w:val="en-US" w:eastAsia="zh-CN"/>
              </w:rPr>
              <w:t>工程</w:t>
            </w:r>
          </w:p>
        </w:tc>
      </w:tr>
      <w:tr w14:paraId="3BCAB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vAlign w:val="center"/>
          </w:tcPr>
          <w:p w14:paraId="525004B6">
            <w:pPr>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开展</w:t>
            </w:r>
            <w:r>
              <w:rPr>
                <w:rFonts w:hint="eastAsia" w:ascii="Times New Roman" w:hAnsi="Times New Roman" w:eastAsia="仿宋_GB2312" w:cs="Times New Roman"/>
                <w:b w:val="0"/>
                <w:bCs w:val="0"/>
                <w:color w:val="auto"/>
                <w:kern w:val="2"/>
                <w:sz w:val="32"/>
                <w:szCs w:val="32"/>
                <w:highlight w:val="none"/>
                <w:lang w:val="en-US" w:eastAsia="zh-CN" w:bidi="ar-SA"/>
              </w:rPr>
              <w:t>医防融合专项行动</w:t>
            </w:r>
            <w:r>
              <w:rPr>
                <w:rFonts w:hint="eastAsia" w:ascii="Times New Roman" w:hAnsi="Times New Roman" w:eastAsia="仿宋_GB2312" w:cs="Times New Roman"/>
                <w:color w:val="auto"/>
                <w:sz w:val="32"/>
                <w:szCs w:val="32"/>
                <w:highlight w:val="none"/>
                <w:lang w:eastAsia="zh-CN"/>
              </w:rPr>
              <w:t>。</w:t>
            </w:r>
          </w:p>
          <w:p w14:paraId="1A54BCF1">
            <w:pPr>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推进慢性病综合防控示范区建设，支持有条件的团场医院设立“一站式”慢性病健康管理中心。</w:t>
            </w:r>
          </w:p>
          <w:p w14:paraId="3B168A2C">
            <w:pPr>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*.建立医防管复合型人才培养机制。</w:t>
            </w:r>
          </w:p>
          <w:p w14:paraId="4B524916">
            <w:pPr>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bidi="ar-SA"/>
              </w:rPr>
              <w:t>*.打造医防融合型家庭医生签约服务团队，</w:t>
            </w:r>
            <w:r>
              <w:rPr>
                <w:rFonts w:hint="eastAsia" w:ascii="Times New Roman" w:hAnsi="Times New Roman" w:eastAsia="仿宋_GB2312" w:cs="Times New Roman"/>
                <w:color w:val="auto"/>
                <w:sz w:val="32"/>
                <w:szCs w:val="32"/>
                <w:highlight w:val="none"/>
                <w:lang w:val="en-US" w:eastAsia="zh-CN"/>
              </w:rPr>
              <w:t>建立</w:t>
            </w:r>
            <w:r>
              <w:rPr>
                <w:rFonts w:hint="eastAsia" w:ascii="Times New Roman" w:hAnsi="Times New Roman" w:eastAsia="仿宋_GB2312" w:cs="Times New Roman"/>
                <w:b w:val="0"/>
                <w:bCs w:val="0"/>
                <w:color w:val="auto"/>
                <w:sz w:val="32"/>
                <w:szCs w:val="32"/>
                <w:highlight w:val="none"/>
              </w:rPr>
              <w:t>健全以居民健康结果为核心的激励约束机制</w:t>
            </w:r>
            <w:r>
              <w:rPr>
                <w:rFonts w:hint="eastAsia" w:ascii="Times New Roman" w:hAnsi="Times New Roman" w:eastAsia="仿宋_GB2312" w:cs="Times New Roman"/>
                <w:b w:val="0"/>
                <w:bCs w:val="0"/>
                <w:color w:val="auto"/>
                <w:sz w:val="32"/>
                <w:szCs w:val="32"/>
                <w:highlight w:val="none"/>
                <w:lang w:eastAsia="zh-CN"/>
              </w:rPr>
              <w:t>。</w:t>
            </w:r>
          </w:p>
        </w:tc>
      </w:tr>
    </w:tbl>
    <w:p w14:paraId="65A52D51">
      <w:pPr>
        <w:numPr>
          <w:ilvl w:val="0"/>
          <w:numId w:val="3"/>
        </w:numPr>
        <w:spacing w:beforeLines="100" w:afterLines="100" w:line="360" w:lineRule="auto"/>
        <w:jc w:val="center"/>
        <w:outlineLvl w:val="1"/>
        <w:rPr>
          <w:rFonts w:hint="eastAsia" w:ascii="黑体" w:hAnsi="黑体" w:eastAsia="黑体" w:cs="黑体"/>
          <w:b/>
          <w:color w:val="auto"/>
          <w:spacing w:val="6"/>
          <w:kern w:val="44"/>
          <w:sz w:val="32"/>
          <w:szCs w:val="60"/>
          <w:highlight w:val="none"/>
          <w:lang w:val="en-US" w:eastAsia="zh-CN"/>
        </w:rPr>
      </w:pPr>
      <w:bookmarkStart w:id="18" w:name="_Toc30691"/>
      <w:r>
        <w:rPr>
          <w:rFonts w:hint="eastAsia" w:ascii="黑体" w:hAnsi="黑体" w:eastAsia="黑体" w:cs="黑体"/>
          <w:b/>
          <w:color w:val="auto"/>
          <w:spacing w:val="6"/>
          <w:kern w:val="44"/>
          <w:sz w:val="32"/>
          <w:szCs w:val="60"/>
          <w:highlight w:val="none"/>
        </w:rPr>
        <w:t>加强区域卫生信息化能力建设</w:t>
      </w:r>
      <w:bookmarkEnd w:id="18"/>
    </w:p>
    <w:p w14:paraId="51658495">
      <w:pPr>
        <w:pStyle w:val="7"/>
        <w:spacing w:line="360" w:lineRule="auto"/>
        <w:ind w:firstLine="643" w:firstLineChars="200"/>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夯实信息化基础，做好智慧医疗大数据平台建设准备。</w:t>
      </w:r>
      <w:r>
        <w:rPr>
          <w:rFonts w:hint="eastAsia" w:ascii="Times New Roman" w:hAnsi="Times New Roman" w:eastAsia="仿宋_GB2312" w:cs="Times New Roman"/>
          <w:b w:val="0"/>
          <w:bCs w:val="0"/>
          <w:color w:val="auto"/>
          <w:sz w:val="32"/>
          <w:szCs w:val="32"/>
          <w:highlight w:val="none"/>
          <w:lang w:val="en-US" w:eastAsia="zh-CN"/>
        </w:rPr>
        <w:t>一是锚定目标，分步推进医疗机构信息化评级建设。对标国家电子病历系统功能应用水平分级评价和医疗健康信息互联互通标准化成熟度测评标准，明确各级各类医疗机构建设目标。到****年，第五师医院达到电子病历评级*级、互联互通成熟度*甲，第五师中医院达到电子病历评级*级、互联互通*乙，各团场医院达到电子病历评级*级以上建设水平。二是预留接口空间。主动对接兵团全民健康信息平台建设标准，统一数据接口规范和技术架构，为今后融入区域一体化平台做好前置准备。三是深化师域内医疗健康数据互联互通应用。巩固牵头医院与成员单位间电子病历、检查检验结果等数据的互联互通成果，持续优化数据调阅稳定性与兼容性。逐步打通医院HIS、公共卫生、妇幼保健、慢病管理等系统间的数据壁垒，真正实现“一次采集、多方共享”。四是夯实基层信息化网底。鼓励基层医疗卫生机构配齐必要的硬件设备，提升网络覆盖水平，确保家庭医生团队移动终端应配尽配，支撑上门随访、签约管理、健康监测等移动服务场景。</w:t>
      </w:r>
    </w:p>
    <w:p w14:paraId="69C85165">
      <w:pPr>
        <w:pStyle w:val="7"/>
        <w:spacing w:line="360" w:lineRule="auto"/>
        <w:ind w:firstLine="643" w:firstLineChars="200"/>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建设智慧医院，改善居民就医体验。</w:t>
      </w:r>
      <w:r>
        <w:rPr>
          <w:rFonts w:hint="eastAsia" w:ascii="Times New Roman" w:hAnsi="Times New Roman" w:eastAsia="仿宋_GB2312" w:cs="Times New Roman"/>
          <w:b w:val="0"/>
          <w:bCs w:val="0"/>
          <w:color w:val="auto"/>
          <w:sz w:val="32"/>
          <w:szCs w:val="32"/>
          <w:highlight w:val="none"/>
          <w:lang w:val="en-US" w:eastAsia="zh-CN"/>
        </w:rPr>
        <w:t>优化线上便民服务。 持续拓展线上预约、缴费、查询等一体化服务，推进平台适老化和无障碍改造，提升群众就医便捷体验。拓展远程医疗服务。依托第五师医院，向上联通对口支援省市优质专家资源，向下覆盖团场（社区）基层机构，开展远程会诊、远程影像诊断、远程心电判读等业务，让群众在家门口享受上级专家服务。深化在线问诊与复诊服务。鼓励有条件的医院开设互联网医院或线上复诊通道，为慢性病复诊患者提供在线续方、药品配送到家等便利，减少不必要的跑腿。推广电子健康档案“随身查”。在保障信息安全前提下，向居民开放电子健康档案查询、随访提醒、健康指导等主动健康服务。</w:t>
      </w:r>
    </w:p>
    <w:p w14:paraId="3948CDA9">
      <w:pPr>
        <w:pStyle w:val="7"/>
        <w:spacing w:line="360" w:lineRule="auto"/>
        <w:ind w:firstLine="643" w:firstLineChars="200"/>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强化信息化赋能，提升管理效能。</w:t>
      </w:r>
      <w:r>
        <w:rPr>
          <w:rFonts w:hint="eastAsia" w:ascii="Times New Roman" w:hAnsi="Times New Roman" w:eastAsia="仿宋_GB2312" w:cs="Times New Roman"/>
          <w:b w:val="0"/>
          <w:bCs w:val="0"/>
          <w:color w:val="auto"/>
          <w:sz w:val="32"/>
          <w:szCs w:val="32"/>
          <w:highlight w:val="none"/>
          <w:lang w:val="en-US" w:eastAsia="zh-CN"/>
        </w:rPr>
        <w:t>一是以数据支撑医疗质量监管。建立基于信息平台的医疗质量监测体系，对抗生素使用、处方点评、诊疗规范、院感防控等关键指标进行动态监测和智能预警，提升精细化管理水平。二是以信息化赋能公共卫生管理。利用大数据分析技术，对区域内疾病谱变化、慢性病流行趋势、重点人群健康状况进行动态监测与风险预测，为资源配置和干预策略提供数据支撑。三是以智能化辅助临床诊断与决策。在各级医疗机构中嵌入临床辅助决策支持系统，提供合理用药提醒、慢病管理路径推荐、传染病报告自动抓取等功能，减轻基层负担，提升服务同质化水平。</w:t>
      </w:r>
    </w:p>
    <w:p w14:paraId="2D11B661">
      <w:pPr>
        <w:pStyle w:val="7"/>
        <w:spacing w:line="360" w:lineRule="auto"/>
        <w:ind w:firstLine="643" w:firstLineChars="200"/>
        <w:rPr>
          <w:rFonts w:hint="default"/>
          <w:color w:val="auto"/>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推进信息标准化，筑牢安全保密防线。</w:t>
      </w:r>
      <w:r>
        <w:rPr>
          <w:rFonts w:hint="eastAsia" w:ascii="Times New Roman" w:hAnsi="Times New Roman" w:eastAsia="仿宋_GB2312" w:cs="Times New Roman"/>
          <w:b w:val="0"/>
          <w:bCs w:val="0"/>
          <w:color w:val="auto"/>
          <w:sz w:val="32"/>
          <w:szCs w:val="32"/>
          <w:highlight w:val="none"/>
          <w:lang w:val="en-US" w:eastAsia="zh-CN"/>
        </w:rPr>
        <w:t>一是严格执行信息标准规范，统一疾病分类、手术操作、药品耗材等编码，确保数据规范可用。二是建立数据质量管理机制，明确采集、录入、审核责任，定期核查通报，保障数据真实、完整、及时。三是配齐配强硬件设施与安全设备，强化网络安全与数据隐私保护，严格落实网络安全等级保护等法律法规要求，实行数据分类分级保护，对健康隐私信息做到最小必要采集、授权分级访问、操作全程留痕，严防数据泄露。</w:t>
      </w:r>
    </w:p>
    <w:p w14:paraId="795EA649">
      <w:pPr>
        <w:rPr>
          <w:rFonts w:hint="default"/>
          <w:color w:val="auto"/>
          <w:highlight w:val="none"/>
          <w:lang w:val="en-US" w:eastAsia="zh-CN"/>
        </w:rPr>
      </w:pPr>
    </w:p>
    <w:tbl>
      <w:tblPr>
        <w:tblStyle w:val="14"/>
        <w:tblpPr w:leftFromText="180" w:rightFromText="180" w:vertAnchor="text" w:tblpXSpec="center" w:tblpY="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87AC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522" w:type="dxa"/>
            <w:vAlign w:val="center"/>
          </w:tcPr>
          <w:p w14:paraId="746EAD3A">
            <w:pPr>
              <w:adjustRightInd w:val="0"/>
              <w:snapToGrid w:val="0"/>
              <w:spacing w:line="580" w:lineRule="exact"/>
              <w:jc w:val="center"/>
              <w:rPr>
                <w:rFonts w:hint="eastAsia" w:eastAsia="黑体"/>
                <w:color w:val="auto"/>
                <w:szCs w:val="32"/>
                <w:highlight w:val="none"/>
                <w:lang w:val="en-US" w:eastAsia="zh-CN"/>
              </w:rPr>
            </w:pPr>
            <w:r>
              <w:rPr>
                <w:rFonts w:eastAsia="黑体"/>
                <w:bCs/>
                <w:color w:val="auto"/>
                <w:sz w:val="32"/>
                <w:szCs w:val="48"/>
                <w:highlight w:val="none"/>
              </w:rPr>
              <w:t>专栏</w:t>
            </w:r>
            <w:r>
              <w:rPr>
                <w:rFonts w:hint="eastAsia" w:eastAsia="黑体"/>
                <w:bCs/>
                <w:color w:val="auto"/>
                <w:sz w:val="32"/>
                <w:szCs w:val="48"/>
                <w:highlight w:val="none"/>
                <w:lang w:eastAsia="zh-CN"/>
              </w:rPr>
              <w:t>*</w:t>
            </w:r>
            <w:r>
              <w:rPr>
                <w:rFonts w:eastAsia="黑体"/>
                <w:bCs/>
                <w:color w:val="auto"/>
                <w:sz w:val="32"/>
                <w:szCs w:val="48"/>
                <w:highlight w:val="none"/>
              </w:rPr>
              <w:t xml:space="preserve">  区域卫生信息化建设</w:t>
            </w:r>
            <w:r>
              <w:rPr>
                <w:rFonts w:hint="eastAsia" w:eastAsia="黑体"/>
                <w:bCs/>
                <w:color w:val="auto"/>
                <w:sz w:val="32"/>
                <w:szCs w:val="48"/>
                <w:highlight w:val="none"/>
                <w:lang w:val="en-US" w:eastAsia="zh-CN"/>
              </w:rPr>
              <w:t>工程</w:t>
            </w:r>
          </w:p>
        </w:tc>
      </w:tr>
      <w:tr w14:paraId="7591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522" w:type="dxa"/>
            <w:vAlign w:val="center"/>
          </w:tcPr>
          <w:p w14:paraId="0628EDAB">
            <w:pPr>
              <w:spacing w:line="360" w:lineRule="auto"/>
              <w:ind w:left="16" w:hanging="16" w:hangingChars="5"/>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分步推进医疗机构信息化评级建设。</w:t>
            </w:r>
          </w:p>
          <w:p w14:paraId="7DD8914E">
            <w:pPr>
              <w:spacing w:line="360" w:lineRule="auto"/>
              <w:ind w:left="16" w:hanging="16" w:hangingChars="5"/>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*.推进互联网医院线上问诊、复诊通道，持续优化线上便民服务，持续拓展线上预约、缴费、查询等一体化服务。</w:t>
            </w:r>
          </w:p>
          <w:p w14:paraId="2A3E0968">
            <w:pPr>
              <w:spacing w:line="360" w:lineRule="auto"/>
              <w:ind w:left="16" w:hanging="16" w:hangingChars="5"/>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*.支持家庭医生签约团队配备必要的设施、设备，提升服务质效。</w:t>
            </w:r>
          </w:p>
          <w:p w14:paraId="0E16C8CE">
            <w:pPr>
              <w:spacing w:line="360" w:lineRule="auto"/>
              <w:ind w:left="16" w:hanging="16" w:hangingChars="5"/>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*.配齐配强硬件设施与安全设备，强化网络安全与数据隐私保护。</w:t>
            </w:r>
          </w:p>
        </w:tc>
      </w:tr>
    </w:tbl>
    <w:p w14:paraId="0C0F1FCE">
      <w:pPr>
        <w:numPr>
          <w:ilvl w:val="0"/>
          <w:numId w:val="3"/>
        </w:numPr>
        <w:spacing w:beforeLines="100" w:afterLines="100" w:line="360" w:lineRule="auto"/>
        <w:jc w:val="center"/>
        <w:outlineLvl w:val="1"/>
        <w:rPr>
          <w:rFonts w:hint="eastAsia" w:ascii="黑体" w:hAnsi="黑体" w:eastAsia="黑体" w:cs="黑体"/>
          <w:b/>
          <w:color w:val="auto"/>
          <w:spacing w:val="6"/>
          <w:kern w:val="44"/>
          <w:sz w:val="32"/>
          <w:szCs w:val="60"/>
          <w:highlight w:val="none"/>
          <w:lang w:val="en-US" w:eastAsia="zh-CN"/>
        </w:rPr>
      </w:pPr>
      <w:bookmarkStart w:id="19" w:name="_Toc30950"/>
      <w:r>
        <w:rPr>
          <w:rFonts w:hint="eastAsia" w:ascii="黑体" w:hAnsi="黑体" w:eastAsia="黑体" w:cs="黑体"/>
          <w:b/>
          <w:color w:val="auto"/>
          <w:spacing w:val="6"/>
          <w:kern w:val="44"/>
          <w:sz w:val="32"/>
          <w:szCs w:val="60"/>
          <w:highlight w:val="none"/>
        </w:rPr>
        <w:t>筑牢</w:t>
      </w:r>
      <w:r>
        <w:rPr>
          <w:rFonts w:hint="eastAsia" w:ascii="黑体" w:hAnsi="黑体" w:eastAsia="黑体" w:cs="黑体"/>
          <w:b/>
          <w:color w:val="auto"/>
          <w:spacing w:val="6"/>
          <w:kern w:val="44"/>
          <w:sz w:val="32"/>
          <w:szCs w:val="60"/>
          <w:highlight w:val="none"/>
          <w:lang w:eastAsia="zh-CN"/>
        </w:rPr>
        <w:t>“一老一小”</w:t>
      </w:r>
      <w:r>
        <w:rPr>
          <w:rFonts w:hint="eastAsia" w:ascii="黑体" w:hAnsi="黑体" w:eastAsia="黑体" w:cs="黑体"/>
          <w:b/>
          <w:color w:val="auto"/>
          <w:spacing w:val="6"/>
          <w:kern w:val="44"/>
          <w:sz w:val="32"/>
          <w:szCs w:val="60"/>
          <w:highlight w:val="none"/>
        </w:rPr>
        <w:t>健康保障，促进人口长期均衡发展</w:t>
      </w:r>
      <w:bookmarkEnd w:id="19"/>
    </w:p>
    <w:p w14:paraId="50CDE22A">
      <w:pPr>
        <w:pStyle w:val="7"/>
        <w:spacing w:line="360" w:lineRule="auto"/>
        <w:ind w:firstLine="643" w:firstLineChars="200"/>
        <w:rPr>
          <w:rFonts w:hint="eastAsia"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bCs/>
          <w:color w:val="auto"/>
          <w:sz w:val="32"/>
          <w:szCs w:val="32"/>
          <w:highlight w:val="none"/>
        </w:rPr>
        <w:t>加快建设生育友好型社会。</w:t>
      </w:r>
      <w:r>
        <w:rPr>
          <w:rFonts w:hint="eastAsia" w:ascii="Times New Roman" w:hAnsi="Times New Roman" w:eastAsia="仿宋_GB2312" w:cs="Times New Roman"/>
          <w:b w:val="0"/>
          <w:bCs w:val="0"/>
          <w:color w:val="auto"/>
          <w:sz w:val="32"/>
          <w:szCs w:val="32"/>
          <w:highlight w:val="none"/>
          <w:lang w:val="en-US" w:eastAsia="zh-CN"/>
        </w:rPr>
        <w:t>一是积极健全生育配套支撑体系。落实产假、护理假、育儿假等法定休假政策，细化完善生育补助、多子女家庭购房补贴等配套激励举措；稳步推进生育保险与职工基本医疗保险统筹实施，持续拓宽生育医疗项目报销范围，多措并举降低家庭生育、养育、教育成本。二是做实全链条优生优育服务。构建婚前、孕前、孕中、分娩、产后全周期出生缺陷综合防控体系，常态化落地免费婚检、孕前优生检查、免费增补叶酸等惠民项目。持续规范产前筛查诊疗，稳步扩容新生儿疾病筛查病种，从源头夯实出生人口质量根基。三是厚植新型婚育文化氛围。常态化开展人口政策科普宣传，大力倡导适龄婚育、优生优育、家庭共担育儿责任的文明婚育新风。持续推进生育友好医院、友好社区创建，营造尊重生育、关爱母婴的良好社会环境。</w:t>
      </w:r>
    </w:p>
    <w:p w14:paraId="1835DA92">
      <w:pPr>
        <w:pStyle w:val="7"/>
        <w:spacing w:line="360" w:lineRule="auto"/>
        <w:ind w:firstLine="643" w:firstLineChars="200"/>
        <w:rPr>
          <w:rFonts w:hint="eastAsia" w:ascii="Times New Roman" w:hAnsi="Times New Roman" w:eastAsia="仿宋_GB2312" w:cs="Times New Roman"/>
          <w:b w:val="0"/>
          <w:bCs w:val="0"/>
          <w:color w:val="auto"/>
          <w:sz w:val="32"/>
          <w:szCs w:val="32"/>
          <w:highlight w:val="none"/>
          <w:lang w:eastAsia="zh-CN"/>
        </w:rPr>
      </w:pPr>
      <w:r>
        <w:rPr>
          <w:rFonts w:hint="eastAsia" w:ascii="Times New Roman" w:hAnsi="Times New Roman" w:eastAsia="仿宋_GB2312" w:cs="Times New Roman"/>
          <w:b/>
          <w:bCs/>
          <w:color w:val="auto"/>
          <w:sz w:val="32"/>
          <w:szCs w:val="32"/>
          <w:highlight w:val="none"/>
          <w:lang w:eastAsia="zh-CN"/>
        </w:rPr>
        <w:t>推进母婴健康综合管理中心建设。</w:t>
      </w:r>
      <w:r>
        <w:rPr>
          <w:rFonts w:hint="eastAsia" w:ascii="Times New Roman" w:hAnsi="Times New Roman" w:eastAsia="仿宋_GB2312" w:cs="Times New Roman"/>
          <w:b w:val="0"/>
          <w:bCs w:val="0"/>
          <w:color w:val="auto"/>
          <w:sz w:val="32"/>
          <w:szCs w:val="32"/>
          <w:highlight w:val="none"/>
          <w:lang w:eastAsia="zh-CN"/>
        </w:rPr>
        <w:t>依托医院现有资源，规划建设</w:t>
      </w:r>
      <w:r>
        <w:rPr>
          <w:rFonts w:hint="eastAsia" w:ascii="Times New Roman" w:hAnsi="Times New Roman" w:eastAsia="仿宋_GB2312" w:cs="Times New Roman"/>
          <w:b w:val="0"/>
          <w:bCs w:val="0"/>
          <w:color w:val="auto"/>
          <w:sz w:val="32"/>
          <w:szCs w:val="32"/>
          <w:highlight w:val="none"/>
          <w:lang w:val="en-US" w:eastAsia="zh-CN"/>
        </w:rPr>
        <w:t>师市</w:t>
      </w:r>
      <w:r>
        <w:rPr>
          <w:rFonts w:hint="eastAsia" w:ascii="Times New Roman" w:hAnsi="Times New Roman" w:eastAsia="仿宋_GB2312" w:cs="Times New Roman"/>
          <w:b w:val="0"/>
          <w:bCs w:val="0"/>
          <w:color w:val="auto"/>
          <w:sz w:val="32"/>
          <w:szCs w:val="32"/>
          <w:highlight w:val="none"/>
          <w:lang w:eastAsia="zh-CN"/>
        </w:rPr>
        <w:t>母婴健康管理中心，整合产前诊断、孕期保健、围产期照护、产后康复及新生儿照料等服务链条。充分发挥医院在医疗救治与康复方面的专业优势，推动妇产科、儿科、中医科、营养科、康复科等多学科协同，探索建立**小时医疗保障及个性化产后康复服务体系。逐步打造“产、育、康”一体化服务</w:t>
      </w:r>
      <w:r>
        <w:rPr>
          <w:rFonts w:hint="eastAsia" w:ascii="Times New Roman" w:hAnsi="Times New Roman" w:eastAsia="仿宋_GB2312" w:cs="Times New Roman"/>
          <w:b w:val="0"/>
          <w:bCs w:val="0"/>
          <w:color w:val="auto"/>
          <w:sz w:val="32"/>
          <w:szCs w:val="32"/>
          <w:highlight w:val="none"/>
          <w:lang w:val="en-US" w:eastAsia="zh-CN"/>
        </w:rPr>
        <w:t>阵地</w:t>
      </w:r>
      <w:r>
        <w:rPr>
          <w:rFonts w:hint="eastAsia" w:ascii="Times New Roman" w:hAnsi="Times New Roman" w:eastAsia="仿宋_GB2312" w:cs="Times New Roman"/>
          <w:b w:val="0"/>
          <w:bCs w:val="0"/>
          <w:color w:val="auto"/>
          <w:sz w:val="32"/>
          <w:szCs w:val="32"/>
          <w:highlight w:val="none"/>
          <w:lang w:eastAsia="zh-CN"/>
        </w:rPr>
        <w:t>，让公立医院的专业服务惠及更多母婴群体。</w:t>
      </w:r>
    </w:p>
    <w:p w14:paraId="05C4B8A5">
      <w:pPr>
        <w:pStyle w:val="7"/>
        <w:spacing w:line="360" w:lineRule="auto"/>
        <w:ind w:firstLine="643" w:firstLineChars="200"/>
        <w:rPr>
          <w:rFonts w:hint="eastAsia" w:ascii="Times New Roman" w:hAnsi="Times New Roman" w:eastAsia="仿宋_GB2312" w:cs="Times New Roman"/>
          <w:b w:val="0"/>
          <w:bCs w:val="0"/>
          <w:color w:val="auto"/>
          <w:sz w:val="32"/>
          <w:szCs w:val="32"/>
          <w:highlight w:val="none"/>
          <w:lang w:eastAsia="zh-CN"/>
        </w:rPr>
      </w:pPr>
      <w:r>
        <w:rPr>
          <w:rFonts w:hint="eastAsia" w:ascii="Times New Roman" w:hAnsi="Times New Roman" w:eastAsia="仿宋_GB2312" w:cs="Times New Roman"/>
          <w:b/>
          <w:bCs/>
          <w:color w:val="auto"/>
          <w:sz w:val="32"/>
          <w:szCs w:val="32"/>
          <w:highlight w:val="none"/>
          <w:lang w:eastAsia="zh-CN"/>
        </w:rPr>
        <w:t>健全普惠托育服务体系。</w:t>
      </w:r>
      <w:r>
        <w:rPr>
          <w:rFonts w:hint="eastAsia" w:ascii="Times New Roman" w:hAnsi="Times New Roman" w:eastAsia="仿宋_GB2312" w:cs="Times New Roman"/>
          <w:b w:val="0"/>
          <w:bCs w:val="0"/>
          <w:color w:val="auto"/>
          <w:sz w:val="32"/>
          <w:szCs w:val="32"/>
          <w:highlight w:val="none"/>
          <w:lang w:eastAsia="zh-CN"/>
        </w:rPr>
        <w:t>积极引导机关企事业单位、社区等多元主体参与托育服务建设，鼓励有条件的幼儿园增设托班，有效扩充普惠性托育资源供给。持续推进托育服务标准化、规范化建设，力争到****年建成*-*所示范性婴幼儿照护服务机构，充分发挥示范辐射引领作用，全面提升师市托育服务规范化运营质效。严格落实托育机构设置标准及行业管理规范，常态化开展托育从业人员职业道德教育与专业技能培训，筑牢托育服务人才保障根基。深化医育融合服务模式，推动基层医疗卫生机构与辖区托育机构建立常态化签约协作机制，提供卫生保健、疾病防控、营养膳食指导、婴幼儿早期发展培育等专业化服务，探索家庭医生团队定期进托育机构开展巡诊和健康宣教，全方位护航婴幼儿健康成长。</w:t>
      </w:r>
    </w:p>
    <w:p w14:paraId="540CE1C8">
      <w:pPr>
        <w:pStyle w:val="7"/>
        <w:spacing w:line="360" w:lineRule="auto"/>
        <w:ind w:firstLine="643" w:firstLineChars="200"/>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加强儿童青少年健康问题综合防治。</w:t>
      </w:r>
      <w:r>
        <w:rPr>
          <w:rFonts w:hint="eastAsia" w:ascii="Times New Roman" w:hAnsi="Times New Roman" w:eastAsia="仿宋_GB2312" w:cs="Times New Roman"/>
          <w:b w:val="0"/>
          <w:bCs w:val="0"/>
          <w:color w:val="auto"/>
          <w:kern w:val="2"/>
          <w:sz w:val="32"/>
          <w:szCs w:val="32"/>
          <w:highlight w:val="none"/>
          <w:lang w:val="en-US" w:eastAsia="zh-CN" w:bidi="ar-SA"/>
        </w:rPr>
        <w:t>推进视力筛查全覆盖，开展脊柱侧弯、龋齿、肥胖等常见病监测与早期干预。推动心理健康教育进校园，在符合条件的医疗机构开设儿童心理门诊。深化医校协作，由基层机构提供常态化健康服务。实施“五健”促进行动计划，到****年，有效遏制儿童青少年肥胖率、近视率，积极干预心理行为异常和脊柱弯曲异常，有效控制*岁、**岁儿童患龋状况。</w:t>
      </w:r>
    </w:p>
    <w:p w14:paraId="789B0FBB">
      <w:pPr>
        <w:pStyle w:val="7"/>
        <w:spacing w:line="360" w:lineRule="auto"/>
        <w:ind w:firstLine="643" w:firstLineChars="200"/>
        <w:rPr>
          <w:rFonts w:hint="eastAsia" w:ascii="Times New Roman" w:hAnsi="Times New Roman" w:eastAsia="仿宋_GB2312" w:cs="Times New Roman"/>
          <w:b w:val="0"/>
          <w:bCs w:val="0"/>
          <w:color w:val="auto"/>
          <w:sz w:val="32"/>
          <w:szCs w:val="32"/>
          <w:highlight w:val="none"/>
          <w:lang w:eastAsia="zh-CN"/>
        </w:rPr>
      </w:pPr>
      <w:r>
        <w:rPr>
          <w:rFonts w:hint="eastAsia" w:ascii="Times New Roman" w:hAnsi="Times New Roman" w:eastAsia="仿宋_GB2312" w:cs="Times New Roman"/>
          <w:b/>
          <w:bCs/>
          <w:color w:val="auto"/>
          <w:sz w:val="32"/>
          <w:szCs w:val="32"/>
          <w:highlight w:val="none"/>
          <w:lang w:eastAsia="zh-CN"/>
        </w:rPr>
        <w:t>深化医养结合，积极打造医养之城。</w:t>
      </w:r>
      <w:r>
        <w:rPr>
          <w:rFonts w:hint="eastAsia" w:ascii="Times New Roman" w:hAnsi="Times New Roman" w:eastAsia="仿宋_GB2312" w:cs="Times New Roman"/>
          <w:b w:val="0"/>
          <w:bCs w:val="0"/>
          <w:color w:val="auto"/>
          <w:sz w:val="32"/>
          <w:szCs w:val="32"/>
          <w:highlight w:val="none"/>
          <w:lang w:eastAsia="zh-CN"/>
        </w:rPr>
        <w:t>以建设区域医养结合高地为目标，统筹规划医养服务资源布局，积极打造具有师市特色的医养之城。加强</w:t>
      </w:r>
      <w:r>
        <w:rPr>
          <w:rFonts w:hint="eastAsia" w:ascii="Times New Roman" w:hAnsi="Times New Roman" w:eastAsia="仿宋_GB2312" w:cs="Times New Roman"/>
          <w:b w:val="0"/>
          <w:bCs w:val="0"/>
          <w:color w:val="auto"/>
          <w:sz w:val="32"/>
          <w:szCs w:val="32"/>
          <w:highlight w:val="none"/>
          <w:lang w:val="en-US" w:eastAsia="zh-CN"/>
        </w:rPr>
        <w:t>二级及以上综合医院</w:t>
      </w:r>
      <w:r>
        <w:rPr>
          <w:rFonts w:hint="eastAsia" w:ascii="Times New Roman" w:hAnsi="Times New Roman" w:eastAsia="仿宋_GB2312" w:cs="Times New Roman"/>
          <w:b w:val="0"/>
          <w:bCs w:val="0"/>
          <w:color w:val="auto"/>
          <w:sz w:val="32"/>
          <w:szCs w:val="32"/>
          <w:highlight w:val="none"/>
          <w:lang w:eastAsia="zh-CN"/>
        </w:rPr>
        <w:t>老年医学科建设，推动多学科协作诊疗。支持</w:t>
      </w:r>
      <w:r>
        <w:rPr>
          <w:rFonts w:hint="eastAsia" w:ascii="Times New Roman" w:hAnsi="Times New Roman" w:eastAsia="仿宋_GB2312" w:cs="Times New Roman"/>
          <w:b w:val="0"/>
          <w:bCs w:val="0"/>
          <w:color w:val="auto"/>
          <w:sz w:val="32"/>
          <w:szCs w:val="32"/>
          <w:highlight w:val="none"/>
          <w:lang w:val="en-US" w:eastAsia="zh-CN"/>
        </w:rPr>
        <w:t>**团、**团医院等医疗机构</w:t>
      </w:r>
      <w:r>
        <w:rPr>
          <w:rFonts w:hint="eastAsia" w:ascii="Times New Roman" w:hAnsi="Times New Roman" w:eastAsia="仿宋_GB2312" w:cs="Times New Roman"/>
          <w:b w:val="0"/>
          <w:bCs w:val="0"/>
          <w:color w:val="auto"/>
          <w:sz w:val="32"/>
          <w:szCs w:val="32"/>
          <w:highlight w:val="none"/>
          <w:lang w:eastAsia="zh-CN"/>
        </w:rPr>
        <w:t>利用富余床位资源开设</w:t>
      </w:r>
      <w:r>
        <w:rPr>
          <w:rFonts w:hint="eastAsia" w:ascii="Times New Roman" w:hAnsi="Times New Roman" w:eastAsia="仿宋_GB2312" w:cs="Times New Roman"/>
          <w:b w:val="0"/>
          <w:bCs w:val="0"/>
          <w:color w:val="auto"/>
          <w:sz w:val="32"/>
          <w:szCs w:val="32"/>
          <w:highlight w:val="none"/>
          <w:lang w:val="en-US" w:eastAsia="zh-CN"/>
        </w:rPr>
        <w:t>养老床位</w:t>
      </w:r>
      <w:r>
        <w:rPr>
          <w:rFonts w:hint="eastAsia" w:ascii="Times New Roman" w:hAnsi="Times New Roman" w:eastAsia="仿宋_GB2312" w:cs="Times New Roman"/>
          <w:b w:val="0"/>
          <w:bCs w:val="0"/>
          <w:color w:val="auto"/>
          <w:sz w:val="32"/>
          <w:szCs w:val="32"/>
          <w:highlight w:val="none"/>
          <w:lang w:eastAsia="zh-CN"/>
        </w:rPr>
        <w:t>，开展失能半失能老年人健康评估，拓展老年医学、康复护理、安宁疗护等服务功能，推动医疗卫生资源与养老服务深度融合。深化医疗机构与养老机构签约合作，做实定期巡诊、健康管理、用药指导等服务，畅通养老机构与医疗机构双向转诊通道。</w:t>
      </w:r>
      <w:r>
        <w:rPr>
          <w:rFonts w:hint="eastAsia" w:ascii="Times New Roman" w:hAnsi="Times New Roman" w:eastAsia="仿宋_GB2312" w:cs="Times New Roman"/>
          <w:b w:val="0"/>
          <w:bCs w:val="0"/>
          <w:color w:val="auto"/>
          <w:sz w:val="32"/>
          <w:szCs w:val="32"/>
          <w:highlight w:val="none"/>
          <w:lang w:val="en-US" w:eastAsia="zh-CN"/>
        </w:rPr>
        <w:t>到****年，实现师市各团场医养结合服务全覆盖</w:t>
      </w:r>
      <w:r>
        <w:rPr>
          <w:rFonts w:hint="eastAsia" w:ascii="Times New Roman" w:hAnsi="Times New Roman" w:eastAsia="仿宋_GB2312" w:cs="Times New Roman"/>
          <w:b w:val="0"/>
          <w:bCs w:val="0"/>
          <w:color w:val="auto"/>
          <w:sz w:val="32"/>
          <w:szCs w:val="32"/>
          <w:highlight w:val="none"/>
          <w:lang w:eastAsia="zh-CN"/>
        </w:rPr>
        <w:t>。积极推广家庭病床服务，将医疗照护延伸到失能老年人家中。配合医保部门做好失能等级评估标准衔接、照护服务包制定等工作，为长期护理保险制度落地提供卫生健康服务支撑。</w:t>
      </w:r>
    </w:p>
    <w:tbl>
      <w:tblPr>
        <w:tblStyle w:val="14"/>
        <w:tblpPr w:leftFromText="180" w:rightFromText="180" w:vertAnchor="text" w:horzAnchor="page" w:tblpX="1795" w:tblpY="305"/>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2022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522" w:type="dxa"/>
            <w:vAlign w:val="center"/>
          </w:tcPr>
          <w:p w14:paraId="63BBBCD7">
            <w:pPr>
              <w:adjustRightInd w:val="0"/>
              <w:snapToGrid w:val="0"/>
              <w:spacing w:line="580" w:lineRule="exact"/>
              <w:jc w:val="center"/>
              <w:rPr>
                <w:rFonts w:hint="default" w:eastAsia="黑体"/>
                <w:bCs/>
                <w:color w:val="auto"/>
                <w:sz w:val="32"/>
                <w:szCs w:val="48"/>
                <w:highlight w:val="none"/>
                <w:lang w:val="en-US" w:eastAsia="zh-CN"/>
              </w:rPr>
            </w:pPr>
            <w:r>
              <w:rPr>
                <w:rFonts w:eastAsia="黑体"/>
                <w:bCs/>
                <w:color w:val="auto"/>
                <w:sz w:val="32"/>
                <w:szCs w:val="48"/>
                <w:highlight w:val="none"/>
              </w:rPr>
              <w:t>专栏</w:t>
            </w:r>
            <w:r>
              <w:rPr>
                <w:rFonts w:hint="eastAsia" w:eastAsia="黑体"/>
                <w:bCs/>
                <w:color w:val="auto"/>
                <w:sz w:val="32"/>
                <w:szCs w:val="48"/>
                <w:highlight w:val="none"/>
                <w:lang w:eastAsia="zh-CN"/>
              </w:rPr>
              <w:t>*</w:t>
            </w:r>
            <w:r>
              <w:rPr>
                <w:rFonts w:eastAsia="黑体"/>
                <w:bCs/>
                <w:color w:val="auto"/>
                <w:sz w:val="32"/>
                <w:szCs w:val="48"/>
                <w:highlight w:val="none"/>
              </w:rPr>
              <w:t xml:space="preserve">  </w:t>
            </w:r>
            <w:r>
              <w:rPr>
                <w:rFonts w:hint="eastAsia" w:eastAsia="黑体"/>
                <w:bCs/>
                <w:color w:val="auto"/>
                <w:sz w:val="32"/>
                <w:szCs w:val="48"/>
                <w:highlight w:val="none"/>
              </w:rPr>
              <w:t>筑牢</w:t>
            </w:r>
            <w:r>
              <w:rPr>
                <w:rFonts w:hint="eastAsia" w:eastAsia="黑体"/>
                <w:bCs/>
                <w:color w:val="auto"/>
                <w:sz w:val="32"/>
                <w:szCs w:val="48"/>
                <w:highlight w:val="none"/>
                <w:lang w:eastAsia="zh-CN"/>
              </w:rPr>
              <w:t>“一老一小”</w:t>
            </w:r>
            <w:r>
              <w:rPr>
                <w:rFonts w:hint="eastAsia" w:eastAsia="黑体"/>
                <w:bCs/>
                <w:color w:val="auto"/>
                <w:sz w:val="32"/>
                <w:szCs w:val="48"/>
                <w:highlight w:val="none"/>
              </w:rPr>
              <w:t>健康保障</w:t>
            </w:r>
            <w:r>
              <w:rPr>
                <w:rFonts w:hint="eastAsia" w:eastAsia="黑体"/>
                <w:bCs/>
                <w:color w:val="auto"/>
                <w:sz w:val="32"/>
                <w:szCs w:val="48"/>
                <w:highlight w:val="none"/>
                <w:lang w:val="en-US" w:eastAsia="zh-CN"/>
              </w:rPr>
              <w:t>工程</w:t>
            </w:r>
          </w:p>
        </w:tc>
      </w:tr>
      <w:tr w14:paraId="3561D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8522" w:type="dxa"/>
            <w:vAlign w:val="center"/>
          </w:tcPr>
          <w:p w14:paraId="5821B85F">
            <w:pPr>
              <w:spacing w:line="360" w:lineRule="auto"/>
              <w:ind w:left="-10" w:leftChars="-5"/>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推动**团、**团医院等医疗机构开展医养结合服务</w:t>
            </w:r>
            <w:r>
              <w:rPr>
                <w:rFonts w:hint="eastAsia" w:ascii="Times New Roman" w:hAnsi="Times New Roman" w:eastAsia="仿宋_GB2312" w:cs="Times New Roman"/>
                <w:color w:val="auto"/>
                <w:sz w:val="32"/>
                <w:szCs w:val="32"/>
                <w:highlight w:val="none"/>
                <w:lang w:eastAsia="zh-CN"/>
              </w:rPr>
              <w:t>。</w:t>
            </w:r>
          </w:p>
          <w:p w14:paraId="1ED0013E">
            <w:pPr>
              <w:spacing w:line="360" w:lineRule="auto"/>
              <w:ind w:left="-10" w:leftChars="-5"/>
              <w:rPr>
                <w:rFonts w:hint="eastAsia" w:ascii="Times New Roman" w:hAnsi="Times New Roman" w:eastAsia="仿宋_GB2312" w:cs="Times New Roman"/>
                <w:b/>
                <w:bCs/>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推动师市</w:t>
            </w:r>
            <w:r>
              <w:rPr>
                <w:rFonts w:hint="eastAsia" w:ascii="Times New Roman" w:hAnsi="Times New Roman" w:eastAsia="仿宋_GB2312" w:cs="Times New Roman"/>
                <w:color w:val="auto"/>
                <w:sz w:val="32"/>
                <w:szCs w:val="32"/>
                <w:highlight w:val="none"/>
              </w:rPr>
              <w:t>母婴健康综合管理中心建设</w:t>
            </w:r>
            <w:r>
              <w:rPr>
                <w:rFonts w:hint="eastAsia" w:ascii="Times New Roman" w:hAnsi="Times New Roman" w:eastAsia="仿宋_GB2312" w:cs="Times New Roman"/>
                <w:color w:val="auto"/>
                <w:sz w:val="32"/>
                <w:szCs w:val="32"/>
                <w:highlight w:val="none"/>
                <w:lang w:eastAsia="zh-CN"/>
              </w:rPr>
              <w:t>。</w:t>
            </w:r>
          </w:p>
          <w:p w14:paraId="6C380792">
            <w:pPr>
              <w:spacing w:line="360" w:lineRule="auto"/>
              <w:ind w:left="-10" w:leftChars="-5"/>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.建成</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所示范性婴幼儿照护服务机构</w:t>
            </w:r>
            <w:r>
              <w:rPr>
                <w:rFonts w:hint="eastAsia" w:ascii="Times New Roman" w:hAnsi="Times New Roman" w:eastAsia="仿宋_GB2312" w:cs="Times New Roman"/>
                <w:color w:val="auto"/>
                <w:sz w:val="32"/>
                <w:szCs w:val="32"/>
                <w:highlight w:val="none"/>
                <w:lang w:eastAsia="zh-CN"/>
              </w:rPr>
              <w:t>。</w:t>
            </w:r>
          </w:p>
          <w:p w14:paraId="60FBEA70">
            <w:pPr>
              <w:spacing w:line="360" w:lineRule="auto"/>
              <w:ind w:left="-10" w:leftChars="-5"/>
              <w:rPr>
                <w:color w:val="auto"/>
                <w:highlight w:val="none"/>
              </w:rPr>
            </w:pP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实施“五健”促进行动计划</w:t>
            </w:r>
            <w:r>
              <w:rPr>
                <w:rFonts w:hint="eastAsia" w:ascii="Times New Roman" w:hAnsi="Times New Roman" w:eastAsia="仿宋_GB2312" w:cs="Times New Roman"/>
                <w:color w:val="auto"/>
                <w:sz w:val="32"/>
                <w:szCs w:val="32"/>
                <w:highlight w:val="none"/>
                <w:lang w:eastAsia="zh-CN"/>
              </w:rPr>
              <w:t>。</w:t>
            </w:r>
          </w:p>
        </w:tc>
      </w:tr>
    </w:tbl>
    <w:p w14:paraId="6FBF00B4">
      <w:pPr>
        <w:numPr>
          <w:ilvl w:val="0"/>
          <w:numId w:val="3"/>
        </w:numPr>
        <w:spacing w:beforeLines="100" w:afterLines="100" w:line="360" w:lineRule="auto"/>
        <w:jc w:val="center"/>
        <w:outlineLvl w:val="1"/>
        <w:rPr>
          <w:rFonts w:hint="eastAsia" w:ascii="黑体" w:hAnsi="黑体" w:eastAsia="黑体" w:cs="黑体"/>
          <w:b/>
          <w:color w:val="auto"/>
          <w:spacing w:val="6"/>
          <w:kern w:val="44"/>
          <w:sz w:val="32"/>
          <w:szCs w:val="60"/>
          <w:highlight w:val="none"/>
          <w:lang w:eastAsia="zh-CN"/>
        </w:rPr>
      </w:pPr>
      <w:bookmarkStart w:id="20" w:name="_Toc13703"/>
      <w:r>
        <w:rPr>
          <w:rFonts w:hint="eastAsia" w:ascii="黑体" w:hAnsi="黑体" w:eastAsia="黑体" w:cs="黑体"/>
          <w:b/>
          <w:color w:val="auto"/>
          <w:spacing w:val="6"/>
          <w:kern w:val="44"/>
          <w:sz w:val="32"/>
          <w:szCs w:val="60"/>
          <w:highlight w:val="none"/>
        </w:rPr>
        <w:t>加强卫生人才队伍能力建设</w:t>
      </w:r>
      <w:bookmarkEnd w:id="20"/>
    </w:p>
    <w:p w14:paraId="0E84DA22">
      <w:pPr>
        <w:pStyle w:val="7"/>
        <w:spacing w:line="360" w:lineRule="auto"/>
        <w:ind w:firstLine="643" w:firstLineChars="200"/>
        <w:rPr>
          <w:rFonts w:hint="eastAsia" w:ascii="Times New Roman" w:hAnsi="Times New Roman" w:eastAsia="仿宋_GB2312" w:cs="Times New Roman"/>
          <w:b w:val="0"/>
          <w:bCs w:val="0"/>
          <w:color w:val="auto"/>
          <w:sz w:val="32"/>
          <w:szCs w:val="32"/>
          <w:highlight w:val="none"/>
          <w:lang w:eastAsia="zh-CN"/>
        </w:rPr>
      </w:pPr>
      <w:r>
        <w:rPr>
          <w:rFonts w:hint="eastAsia" w:ascii="Times New Roman" w:hAnsi="Times New Roman" w:eastAsia="仿宋_GB2312" w:cs="Times New Roman"/>
          <w:b/>
          <w:bCs/>
          <w:color w:val="auto"/>
          <w:sz w:val="32"/>
          <w:szCs w:val="32"/>
          <w:highlight w:val="none"/>
          <w:lang w:eastAsia="zh-CN"/>
        </w:rPr>
        <w:t>精准引进急需紧缺人才。</w:t>
      </w:r>
      <w:r>
        <w:rPr>
          <w:rFonts w:hint="eastAsia" w:ascii="Times New Roman" w:hAnsi="Times New Roman" w:eastAsia="仿宋_GB2312" w:cs="Times New Roman"/>
          <w:b w:val="0"/>
          <w:bCs w:val="0"/>
          <w:color w:val="auto"/>
          <w:sz w:val="32"/>
          <w:szCs w:val="32"/>
          <w:highlight w:val="none"/>
          <w:lang w:eastAsia="zh-CN"/>
        </w:rPr>
        <w:t>围绕国家级重点专科</w:t>
      </w:r>
      <w:r>
        <w:rPr>
          <w:rFonts w:hint="eastAsia" w:ascii="Times New Roman" w:hAnsi="Times New Roman" w:eastAsia="仿宋_GB2312" w:cs="Times New Roman"/>
          <w:b w:val="0"/>
          <w:bCs w:val="0"/>
          <w:color w:val="auto"/>
          <w:sz w:val="32"/>
          <w:szCs w:val="32"/>
          <w:highlight w:val="none"/>
          <w:lang w:val="en-US" w:eastAsia="zh-CN"/>
        </w:rPr>
        <w:t>培育</w:t>
      </w:r>
      <w:r>
        <w:rPr>
          <w:rFonts w:hint="eastAsia" w:ascii="Times New Roman" w:hAnsi="Times New Roman" w:eastAsia="仿宋_GB2312" w:cs="Times New Roman"/>
          <w:b w:val="0"/>
          <w:bCs w:val="0"/>
          <w:color w:val="auto"/>
          <w:sz w:val="32"/>
          <w:szCs w:val="32"/>
          <w:highlight w:val="none"/>
          <w:lang w:eastAsia="zh-CN"/>
        </w:rPr>
        <w:t>、兵团级重点专科</w:t>
      </w:r>
      <w:r>
        <w:rPr>
          <w:rFonts w:hint="eastAsia" w:ascii="Times New Roman" w:hAnsi="Times New Roman" w:eastAsia="仿宋_GB2312" w:cs="Times New Roman"/>
          <w:b w:val="0"/>
          <w:bCs w:val="0"/>
          <w:color w:val="auto"/>
          <w:sz w:val="32"/>
          <w:szCs w:val="32"/>
          <w:highlight w:val="none"/>
          <w:lang w:val="en-US" w:eastAsia="zh-CN"/>
        </w:rPr>
        <w:t>打造</w:t>
      </w:r>
      <w:r>
        <w:rPr>
          <w:rFonts w:hint="eastAsia" w:ascii="Times New Roman" w:hAnsi="Times New Roman" w:eastAsia="仿宋_GB2312" w:cs="Times New Roman"/>
          <w:b w:val="0"/>
          <w:bCs w:val="0"/>
          <w:color w:val="auto"/>
          <w:sz w:val="32"/>
          <w:szCs w:val="32"/>
          <w:highlight w:val="none"/>
          <w:lang w:eastAsia="zh-CN"/>
        </w:rPr>
        <w:t>、三级中医医院创建、疾控中心实验室建设等核心任务，定期梳理急需紧缺岗位目录，重点引进高层次人才、学科带头人、医防管复合型技术人才及临床急需专业人才。完善人才引进配套政策</w:t>
      </w:r>
      <w:r>
        <w:rPr>
          <w:rFonts w:hint="eastAsia" w:ascii="Times New Roman" w:hAnsi="Times New Roman" w:eastAsia="仿宋_GB2312" w:cs="Times New Roman"/>
          <w:b w:val="0"/>
          <w:bCs w:val="0"/>
          <w:color w:val="auto"/>
          <w:sz w:val="32"/>
          <w:szCs w:val="32"/>
          <w:highlight w:val="none"/>
          <w:lang w:val="en-US" w:eastAsia="zh-CN"/>
        </w:rPr>
        <w:t>与</w:t>
      </w:r>
      <w:r>
        <w:rPr>
          <w:rFonts w:hint="eastAsia" w:ascii="Times New Roman" w:hAnsi="Times New Roman" w:eastAsia="仿宋_GB2312" w:cs="Times New Roman"/>
          <w:b w:val="0"/>
          <w:bCs w:val="0"/>
          <w:color w:val="auto"/>
          <w:sz w:val="32"/>
          <w:szCs w:val="32"/>
          <w:highlight w:val="none"/>
          <w:lang w:eastAsia="zh-CN"/>
        </w:rPr>
        <w:t>激励保障</w:t>
      </w:r>
      <w:r>
        <w:rPr>
          <w:rFonts w:hint="eastAsia" w:ascii="Times New Roman" w:hAnsi="Times New Roman" w:eastAsia="仿宋_GB2312" w:cs="Times New Roman"/>
          <w:b w:val="0"/>
          <w:bCs w:val="0"/>
          <w:color w:val="auto"/>
          <w:sz w:val="32"/>
          <w:szCs w:val="32"/>
          <w:highlight w:val="none"/>
          <w:lang w:val="en-US" w:eastAsia="zh-CN"/>
        </w:rPr>
        <w:t>措施</w:t>
      </w:r>
      <w:r>
        <w:rPr>
          <w:rFonts w:hint="eastAsia" w:ascii="Times New Roman" w:hAnsi="Times New Roman" w:eastAsia="仿宋_GB2312" w:cs="Times New Roman"/>
          <w:b w:val="0"/>
          <w:bCs w:val="0"/>
          <w:color w:val="auto"/>
          <w:sz w:val="32"/>
          <w:szCs w:val="32"/>
          <w:highlight w:val="none"/>
          <w:lang w:eastAsia="zh-CN"/>
        </w:rPr>
        <w:t>，对特殊紧缺人才实行“一事一议”灵活引进。“</w:t>
      </w:r>
      <w:r>
        <w:rPr>
          <w:rFonts w:hint="eastAsia" w:ascii="Times New Roman" w:hAnsi="Times New Roman" w:eastAsia="仿宋_GB2312" w:cs="Times New Roman"/>
          <w:b w:val="0"/>
          <w:bCs w:val="0"/>
          <w:color w:val="auto"/>
          <w:sz w:val="32"/>
          <w:szCs w:val="32"/>
          <w:highlight w:val="none"/>
          <w:lang w:val="en-US" w:eastAsia="zh-CN"/>
        </w:rPr>
        <w:t>十五五”期间，优先</w:t>
      </w:r>
      <w:r>
        <w:rPr>
          <w:rFonts w:hint="eastAsia" w:ascii="Times New Roman" w:hAnsi="Times New Roman" w:eastAsia="仿宋_GB2312" w:cs="Times New Roman"/>
          <w:b w:val="0"/>
          <w:bCs w:val="0"/>
          <w:color w:val="auto"/>
          <w:sz w:val="32"/>
          <w:szCs w:val="32"/>
          <w:highlight w:val="none"/>
          <w:lang w:eastAsia="zh-CN"/>
        </w:rPr>
        <w:t>引进硕士</w:t>
      </w:r>
      <w:r>
        <w:rPr>
          <w:rFonts w:hint="eastAsia" w:ascii="Times New Roman" w:hAnsi="Times New Roman" w:eastAsia="仿宋_GB2312" w:cs="Times New Roman"/>
          <w:b w:val="0"/>
          <w:bCs w:val="0"/>
          <w:color w:val="auto"/>
          <w:sz w:val="32"/>
          <w:szCs w:val="32"/>
          <w:highlight w:val="none"/>
          <w:lang w:val="en-US" w:eastAsia="zh-CN"/>
        </w:rPr>
        <w:t>及以上卫生人才</w:t>
      </w:r>
      <w:r>
        <w:rPr>
          <w:rFonts w:hint="eastAsia" w:ascii="Times New Roman" w:hAnsi="Times New Roman" w:eastAsia="仿宋_GB2312" w:cs="Times New Roman"/>
          <w:b w:val="0"/>
          <w:bCs w:val="0"/>
          <w:color w:val="auto"/>
          <w:sz w:val="32"/>
          <w:szCs w:val="32"/>
          <w:highlight w:val="none"/>
          <w:lang w:eastAsia="zh-CN"/>
        </w:rPr>
        <w:t>，构建起结构合理、梯队完备的专业技术人才队伍。</w:t>
      </w:r>
    </w:p>
    <w:p w14:paraId="3E84C003">
      <w:pPr>
        <w:pStyle w:val="7"/>
        <w:spacing w:line="360" w:lineRule="auto"/>
        <w:ind w:firstLine="643" w:firstLineChars="200"/>
        <w:rPr>
          <w:rFonts w:hint="eastAsia" w:ascii="Times New Roman" w:hAnsi="Times New Roman" w:eastAsia="仿宋_GB2312" w:cs="Times New Roman"/>
          <w:b w:val="0"/>
          <w:bCs w:val="0"/>
          <w:color w:val="auto"/>
          <w:sz w:val="32"/>
          <w:szCs w:val="32"/>
          <w:highlight w:val="none"/>
          <w:lang w:eastAsia="zh-CN"/>
        </w:rPr>
      </w:pPr>
      <w:r>
        <w:rPr>
          <w:rFonts w:hint="eastAsia" w:ascii="Times New Roman" w:hAnsi="Times New Roman" w:eastAsia="仿宋_GB2312" w:cs="Times New Roman"/>
          <w:b/>
          <w:bCs/>
          <w:color w:val="auto"/>
          <w:sz w:val="32"/>
          <w:szCs w:val="32"/>
          <w:highlight w:val="none"/>
          <w:lang w:eastAsia="zh-CN"/>
        </w:rPr>
        <w:t>筑牢基层卫生人才网底。</w:t>
      </w:r>
      <w:r>
        <w:rPr>
          <w:rFonts w:hint="eastAsia" w:ascii="Times New Roman" w:hAnsi="Times New Roman" w:eastAsia="仿宋_GB2312" w:cs="Times New Roman"/>
          <w:b w:val="0"/>
          <w:bCs w:val="0"/>
          <w:color w:val="auto"/>
          <w:sz w:val="32"/>
          <w:szCs w:val="32"/>
          <w:highlight w:val="none"/>
          <w:lang w:eastAsia="zh-CN"/>
        </w:rPr>
        <w:t>充实基层人员力量。持续实施农村订单定向免费医学生培养项目，加大全科医生特设岗位计划覆盖面。优化基层医疗卫生人才结构，每个</w:t>
      </w:r>
      <w:r>
        <w:rPr>
          <w:rFonts w:hint="eastAsia" w:ascii="Times New Roman" w:hAnsi="Times New Roman" w:eastAsia="仿宋_GB2312" w:cs="Times New Roman"/>
          <w:b w:val="0"/>
          <w:bCs w:val="0"/>
          <w:color w:val="auto"/>
          <w:sz w:val="32"/>
          <w:szCs w:val="32"/>
          <w:highlight w:val="none"/>
          <w:lang w:val="en-US" w:eastAsia="zh-CN"/>
        </w:rPr>
        <w:t>标准化连队卫生室至少配备*名执业（助理）医师和*名注册护士，一般连队卫生室至少配备*名执业（助理）医师或具备资质的</w:t>
      </w:r>
      <w:r>
        <w:rPr>
          <w:rFonts w:hint="eastAsia" w:ascii="Times New Roman" w:hAnsi="Times New Roman" w:eastAsia="仿宋_GB2312" w:cs="Times New Roman"/>
          <w:b w:val="0"/>
          <w:bCs w:val="0"/>
          <w:color w:val="auto"/>
          <w:sz w:val="32"/>
          <w:szCs w:val="32"/>
          <w:highlight w:val="none"/>
          <w:lang w:eastAsia="zh-CN"/>
        </w:rPr>
        <w:t>乡村医生，推动基层医疗服务能力持续提升。落实艰苦边远地区基层卫生人才招录倾斜政策，在薪酬待遇、职称评审、岗位聘用等方面给予照顾，切实解决基层“留人难”问题。</w:t>
      </w:r>
    </w:p>
    <w:p w14:paraId="682DD01C">
      <w:pPr>
        <w:pStyle w:val="7"/>
        <w:spacing w:line="360" w:lineRule="auto"/>
        <w:ind w:firstLine="643" w:firstLineChars="200"/>
        <w:rPr>
          <w:rFonts w:hint="eastAsia"/>
          <w:color w:val="auto"/>
          <w:highlight w:val="none"/>
          <w:lang w:eastAsia="zh-CN"/>
        </w:rPr>
      </w:pPr>
      <w:r>
        <w:rPr>
          <w:rFonts w:hint="eastAsia" w:ascii="Times New Roman" w:hAnsi="Times New Roman" w:eastAsia="仿宋_GB2312" w:cs="Times New Roman"/>
          <w:b/>
          <w:bCs/>
          <w:color w:val="auto"/>
          <w:sz w:val="32"/>
          <w:szCs w:val="32"/>
          <w:highlight w:val="none"/>
          <w:lang w:eastAsia="zh-CN"/>
        </w:rPr>
        <w:t>构建系统化人才培养体系。</w:t>
      </w:r>
      <w:r>
        <w:rPr>
          <w:rFonts w:hint="eastAsia" w:ascii="Times New Roman" w:hAnsi="Times New Roman" w:eastAsia="仿宋_GB2312" w:cs="Times New Roman"/>
          <w:b w:val="0"/>
          <w:bCs w:val="0"/>
          <w:color w:val="auto"/>
          <w:sz w:val="32"/>
          <w:szCs w:val="32"/>
          <w:highlight w:val="none"/>
          <w:lang w:eastAsia="zh-CN"/>
        </w:rPr>
        <w:t>围绕学科前沿和临床</w:t>
      </w:r>
      <w:r>
        <w:rPr>
          <w:rFonts w:hint="eastAsia" w:ascii="Times New Roman" w:hAnsi="Times New Roman" w:eastAsia="仿宋_GB2312" w:cs="Times New Roman"/>
          <w:b w:val="0"/>
          <w:bCs w:val="0"/>
          <w:color w:val="auto"/>
          <w:sz w:val="32"/>
          <w:szCs w:val="32"/>
          <w:highlight w:val="none"/>
          <w:lang w:val="en-US" w:eastAsia="zh-CN"/>
        </w:rPr>
        <w:t>实际需求</w:t>
      </w:r>
      <w:r>
        <w:rPr>
          <w:rFonts w:hint="eastAsia" w:ascii="Times New Roman" w:hAnsi="Times New Roman" w:eastAsia="仿宋_GB2312" w:cs="Times New Roman"/>
          <w:b w:val="0"/>
          <w:bCs w:val="0"/>
          <w:color w:val="auto"/>
          <w:sz w:val="32"/>
          <w:szCs w:val="32"/>
          <w:highlight w:val="none"/>
          <w:lang w:eastAsia="zh-CN"/>
        </w:rPr>
        <w:t>，每年选派一批中青年骨干赴疆内外知名医院和院校进修学习。加强公共卫生人才实战能力训练，重点强化传染病监测预警、流行病学调查、检验检测和应急处置技能。提升医务人员科研能力。围绕师市重点传染病防控、公共卫生监测等核心领域，与</w:t>
      </w:r>
      <w:r>
        <w:rPr>
          <w:rFonts w:hint="eastAsia" w:ascii="Times New Roman" w:hAnsi="Times New Roman" w:eastAsia="仿宋_GB2312" w:cs="Times New Roman"/>
          <w:b w:val="0"/>
          <w:bCs w:val="0"/>
          <w:color w:val="auto"/>
          <w:sz w:val="32"/>
          <w:szCs w:val="32"/>
          <w:highlight w:val="none"/>
          <w:lang w:val="en-US" w:eastAsia="zh-CN"/>
        </w:rPr>
        <w:t>援疆省市高校、石河子大学等</w:t>
      </w:r>
      <w:r>
        <w:rPr>
          <w:rFonts w:hint="eastAsia" w:ascii="Times New Roman" w:hAnsi="Times New Roman" w:eastAsia="仿宋_GB2312" w:cs="Times New Roman"/>
          <w:b w:val="0"/>
          <w:bCs w:val="0"/>
          <w:color w:val="auto"/>
          <w:sz w:val="32"/>
          <w:szCs w:val="32"/>
          <w:highlight w:val="none"/>
          <w:lang w:eastAsia="zh-CN"/>
        </w:rPr>
        <w:t>科研院所</w:t>
      </w:r>
      <w:r>
        <w:rPr>
          <w:rFonts w:hint="eastAsia" w:ascii="Times New Roman" w:hAnsi="Times New Roman" w:eastAsia="仿宋_GB2312" w:cs="Times New Roman"/>
          <w:b w:val="0"/>
          <w:bCs w:val="0"/>
          <w:color w:val="auto"/>
          <w:sz w:val="32"/>
          <w:szCs w:val="32"/>
          <w:highlight w:val="none"/>
          <w:lang w:val="en-US" w:eastAsia="zh-CN"/>
        </w:rPr>
        <w:t>加强交流协作</w:t>
      </w:r>
      <w:r>
        <w:rPr>
          <w:rFonts w:hint="eastAsia" w:ascii="Times New Roman" w:hAnsi="Times New Roman" w:eastAsia="仿宋_GB2312" w:cs="Times New Roman"/>
          <w:b w:val="0"/>
          <w:bCs w:val="0"/>
          <w:color w:val="auto"/>
          <w:sz w:val="32"/>
          <w:szCs w:val="32"/>
          <w:highlight w:val="none"/>
          <w:lang w:eastAsia="zh-CN"/>
        </w:rPr>
        <w:t>，鼓励医务人员</w:t>
      </w:r>
      <w:r>
        <w:rPr>
          <w:rFonts w:hint="eastAsia" w:ascii="Times New Roman" w:hAnsi="Times New Roman" w:eastAsia="仿宋_GB2312" w:cs="Times New Roman"/>
          <w:b w:val="0"/>
          <w:bCs w:val="0"/>
          <w:color w:val="auto"/>
          <w:sz w:val="32"/>
          <w:szCs w:val="32"/>
          <w:highlight w:val="none"/>
          <w:lang w:val="en-US" w:eastAsia="zh-CN"/>
        </w:rPr>
        <w:t>积极</w:t>
      </w:r>
      <w:r>
        <w:rPr>
          <w:rFonts w:hint="eastAsia" w:ascii="Times New Roman" w:hAnsi="Times New Roman" w:eastAsia="仿宋_GB2312" w:cs="Times New Roman"/>
          <w:b w:val="0"/>
          <w:bCs w:val="0"/>
          <w:color w:val="auto"/>
          <w:sz w:val="32"/>
          <w:szCs w:val="32"/>
          <w:highlight w:val="none"/>
          <w:lang w:eastAsia="zh-CN"/>
        </w:rPr>
        <w:t>申报兵团科技计划</w:t>
      </w:r>
      <w:r>
        <w:rPr>
          <w:rFonts w:hint="eastAsia" w:ascii="Times New Roman" w:hAnsi="Times New Roman" w:eastAsia="仿宋_GB2312" w:cs="Times New Roman"/>
          <w:b w:val="0"/>
          <w:bCs w:val="0"/>
          <w:color w:val="auto"/>
          <w:sz w:val="32"/>
          <w:szCs w:val="32"/>
          <w:highlight w:val="none"/>
          <w:lang w:val="en-US" w:eastAsia="zh-CN"/>
        </w:rPr>
        <w:t>等各级各类科研</w:t>
      </w:r>
      <w:r>
        <w:rPr>
          <w:rFonts w:hint="eastAsia" w:ascii="Times New Roman" w:hAnsi="Times New Roman" w:eastAsia="仿宋_GB2312" w:cs="Times New Roman"/>
          <w:b w:val="0"/>
          <w:bCs w:val="0"/>
          <w:color w:val="auto"/>
          <w:sz w:val="32"/>
          <w:szCs w:val="32"/>
          <w:highlight w:val="none"/>
          <w:lang w:eastAsia="zh-CN"/>
        </w:rPr>
        <w:t>项目。</w:t>
      </w:r>
      <w:r>
        <w:rPr>
          <w:rFonts w:hint="eastAsia" w:ascii="Times New Roman" w:hAnsi="Times New Roman" w:eastAsia="仿宋_GB2312" w:cs="Times New Roman"/>
          <w:b w:val="0"/>
          <w:bCs w:val="0"/>
          <w:color w:val="auto"/>
          <w:sz w:val="32"/>
          <w:szCs w:val="32"/>
          <w:highlight w:val="none"/>
          <w:lang w:val="en-US" w:eastAsia="zh-CN"/>
        </w:rPr>
        <w:t>加强第五师医院助理</w:t>
      </w:r>
      <w:r>
        <w:rPr>
          <w:rFonts w:hint="eastAsia" w:ascii="Times New Roman" w:hAnsi="Times New Roman" w:eastAsia="仿宋_GB2312" w:cs="Times New Roman"/>
          <w:b w:val="0"/>
          <w:bCs w:val="0"/>
          <w:color w:val="auto"/>
          <w:sz w:val="32"/>
          <w:szCs w:val="32"/>
          <w:highlight w:val="none"/>
          <w:lang w:eastAsia="zh-CN"/>
        </w:rPr>
        <w:t>住院医师规范化培训基地</w:t>
      </w:r>
      <w:r>
        <w:rPr>
          <w:rFonts w:hint="eastAsia" w:ascii="Times New Roman" w:hAnsi="Times New Roman" w:eastAsia="仿宋_GB2312" w:cs="Times New Roman"/>
          <w:b w:val="0"/>
          <w:bCs w:val="0"/>
          <w:color w:val="auto"/>
          <w:sz w:val="32"/>
          <w:szCs w:val="32"/>
          <w:highlight w:val="none"/>
          <w:lang w:val="en-US" w:eastAsia="zh-CN"/>
        </w:rPr>
        <w:t>建设</w:t>
      </w:r>
      <w:r>
        <w:rPr>
          <w:rFonts w:hint="eastAsia" w:ascii="Times New Roman" w:hAnsi="Times New Roman" w:eastAsia="仿宋_GB2312" w:cs="Times New Roman"/>
          <w:b w:val="0"/>
          <w:bCs w:val="0"/>
          <w:color w:val="auto"/>
          <w:sz w:val="32"/>
          <w:szCs w:val="32"/>
          <w:highlight w:val="none"/>
          <w:lang w:eastAsia="zh-CN"/>
        </w:rPr>
        <w:t>，拓展人才培养平台。</w:t>
      </w:r>
      <w:r>
        <w:rPr>
          <w:rFonts w:hint="eastAsia" w:ascii="Times New Roman" w:hAnsi="Times New Roman" w:eastAsia="仿宋_GB2312" w:cs="Times New Roman"/>
          <w:b w:val="0"/>
          <w:bCs w:val="0"/>
          <w:color w:val="auto"/>
          <w:sz w:val="32"/>
          <w:szCs w:val="32"/>
          <w:highlight w:val="none"/>
          <w:lang w:val="en-US" w:eastAsia="zh-CN"/>
        </w:rPr>
        <w:t>鼓励师市医共体</w:t>
      </w:r>
      <w:r>
        <w:rPr>
          <w:rFonts w:hint="eastAsia" w:ascii="Times New Roman" w:hAnsi="Times New Roman" w:eastAsia="仿宋_GB2312" w:cs="Times New Roman"/>
          <w:b w:val="0"/>
          <w:bCs w:val="0"/>
          <w:color w:val="auto"/>
          <w:sz w:val="32"/>
          <w:szCs w:val="32"/>
          <w:highlight w:val="none"/>
          <w:lang w:eastAsia="zh-CN"/>
        </w:rPr>
        <w:t>设立人才</w:t>
      </w:r>
      <w:r>
        <w:rPr>
          <w:rFonts w:hint="eastAsia" w:ascii="Times New Roman" w:hAnsi="Times New Roman" w:eastAsia="仿宋_GB2312" w:cs="Times New Roman"/>
          <w:b w:val="0"/>
          <w:bCs w:val="0"/>
          <w:color w:val="auto"/>
          <w:sz w:val="32"/>
          <w:szCs w:val="32"/>
          <w:highlight w:val="none"/>
          <w:lang w:val="en-US" w:eastAsia="zh-CN"/>
        </w:rPr>
        <w:t>发展</w:t>
      </w:r>
      <w:r>
        <w:rPr>
          <w:rFonts w:hint="eastAsia" w:ascii="Times New Roman" w:hAnsi="Times New Roman" w:eastAsia="仿宋_GB2312" w:cs="Times New Roman"/>
          <w:b w:val="0"/>
          <w:bCs w:val="0"/>
          <w:color w:val="auto"/>
          <w:sz w:val="32"/>
          <w:szCs w:val="32"/>
          <w:highlight w:val="none"/>
          <w:lang w:eastAsia="zh-CN"/>
        </w:rPr>
        <w:t>专项基金，用于支持骨干进修、学历提升、科研课题、学术交流等项目，形成稳定持续的经费保障机制。</w:t>
      </w:r>
    </w:p>
    <w:p w14:paraId="2BC14107">
      <w:pPr>
        <w:pStyle w:val="7"/>
        <w:spacing w:line="360" w:lineRule="auto"/>
        <w:ind w:firstLine="643" w:firstLineChars="200"/>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优化人才发展环境。</w:t>
      </w:r>
      <w:r>
        <w:rPr>
          <w:rFonts w:hint="eastAsia" w:ascii="Times New Roman" w:hAnsi="Times New Roman" w:eastAsia="仿宋_GB2312" w:cs="Times New Roman"/>
          <w:b w:val="0"/>
          <w:bCs w:val="0"/>
          <w:color w:val="auto"/>
          <w:sz w:val="32"/>
          <w:szCs w:val="32"/>
          <w:highlight w:val="none"/>
          <w:lang w:val="en-US" w:eastAsia="zh-CN"/>
        </w:rPr>
        <w:t>鼓励医疗机构建立符合医疗卫生行业特点的职称聘用机制，突出临床实践能力、工作业绩和基层服务年限等评价权重。积极推动事业单位改革，发挥编制激励作用，实施动态编制管理。优化对医务人员的薪酬激励机制、职业保障与人文关怀。落实“两个允许”要求，推动绩效工资分配向临床一线、关键岗位、业务骨干倾斜。落实带薪休假、健康体检等待遇，切实改善医务人员执业环境。大力选树和宣传优秀医务工作者的先进事迹，在全社会营造尊医重卫的浓厚氛围。</w:t>
      </w:r>
    </w:p>
    <w:tbl>
      <w:tblPr>
        <w:tblStyle w:val="14"/>
        <w:tblpPr w:leftFromText="180" w:rightFromText="180" w:vertAnchor="text" w:tblpXSpec="center" w:tblpY="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B4F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522" w:type="dxa"/>
            <w:vAlign w:val="center"/>
          </w:tcPr>
          <w:p w14:paraId="142DC14B">
            <w:pPr>
              <w:adjustRightInd w:val="0"/>
              <w:snapToGrid w:val="0"/>
              <w:spacing w:line="580" w:lineRule="exact"/>
              <w:jc w:val="center"/>
              <w:rPr>
                <w:rFonts w:eastAsia="黑体"/>
                <w:color w:val="auto"/>
                <w:szCs w:val="32"/>
                <w:highlight w:val="none"/>
              </w:rPr>
            </w:pPr>
            <w:r>
              <w:rPr>
                <w:rFonts w:eastAsia="黑体"/>
                <w:bCs/>
                <w:color w:val="auto"/>
                <w:sz w:val="32"/>
                <w:szCs w:val="48"/>
                <w:highlight w:val="none"/>
              </w:rPr>
              <w:t>专栏</w:t>
            </w:r>
            <w:r>
              <w:rPr>
                <w:rFonts w:hint="eastAsia" w:eastAsia="黑体"/>
                <w:bCs/>
                <w:color w:val="auto"/>
                <w:sz w:val="32"/>
                <w:szCs w:val="48"/>
                <w:highlight w:val="none"/>
                <w:lang w:eastAsia="zh-CN"/>
              </w:rPr>
              <w:t>*</w:t>
            </w:r>
            <w:r>
              <w:rPr>
                <w:rFonts w:eastAsia="黑体"/>
                <w:bCs/>
                <w:color w:val="auto"/>
                <w:sz w:val="32"/>
                <w:szCs w:val="48"/>
                <w:highlight w:val="none"/>
              </w:rPr>
              <w:t xml:space="preserve">  </w:t>
            </w:r>
            <w:r>
              <w:rPr>
                <w:rFonts w:hint="eastAsia" w:eastAsia="黑体"/>
                <w:bCs/>
                <w:color w:val="auto"/>
                <w:sz w:val="32"/>
                <w:szCs w:val="48"/>
                <w:highlight w:val="none"/>
                <w:lang w:val="en-US" w:eastAsia="zh-CN"/>
              </w:rPr>
              <w:t>卫生</w:t>
            </w:r>
            <w:r>
              <w:rPr>
                <w:rFonts w:hint="eastAsia" w:eastAsia="黑体"/>
                <w:bCs/>
                <w:color w:val="auto"/>
                <w:sz w:val="32"/>
                <w:szCs w:val="48"/>
                <w:highlight w:val="none"/>
              </w:rPr>
              <w:t>人才培养与激励保障</w:t>
            </w:r>
            <w:r>
              <w:rPr>
                <w:rFonts w:hint="eastAsia" w:eastAsia="黑体"/>
                <w:bCs/>
                <w:color w:val="auto"/>
                <w:sz w:val="32"/>
                <w:szCs w:val="48"/>
                <w:highlight w:val="none"/>
                <w:lang w:val="en-US" w:eastAsia="zh-CN"/>
              </w:rPr>
              <w:t>工程</w:t>
            </w:r>
          </w:p>
        </w:tc>
      </w:tr>
      <w:tr w14:paraId="2A16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8522" w:type="dxa"/>
            <w:vAlign w:val="center"/>
          </w:tcPr>
          <w:p w14:paraId="7524B0E8">
            <w:pPr>
              <w:spacing w:line="360" w:lineRule="auto"/>
              <w:ind w:left="16" w:hanging="16" w:hangingChars="5"/>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b w:val="0"/>
                <w:bCs w:val="0"/>
                <w:color w:val="auto"/>
                <w:sz w:val="32"/>
                <w:szCs w:val="32"/>
                <w:highlight w:val="none"/>
                <w:lang w:val="en-US" w:eastAsia="zh-CN"/>
              </w:rPr>
              <w:t>加强第五师医院助理</w:t>
            </w:r>
            <w:r>
              <w:rPr>
                <w:rFonts w:hint="eastAsia" w:ascii="Times New Roman" w:hAnsi="Times New Roman" w:eastAsia="仿宋_GB2312" w:cs="Times New Roman"/>
                <w:b w:val="0"/>
                <w:bCs w:val="0"/>
                <w:color w:val="auto"/>
                <w:sz w:val="32"/>
                <w:szCs w:val="32"/>
                <w:highlight w:val="none"/>
                <w:lang w:eastAsia="zh-CN"/>
              </w:rPr>
              <w:t>住院医师规范化培训基地</w:t>
            </w:r>
            <w:r>
              <w:rPr>
                <w:rFonts w:hint="eastAsia" w:ascii="Times New Roman" w:hAnsi="Times New Roman" w:eastAsia="仿宋_GB2312" w:cs="Times New Roman"/>
                <w:b w:val="0"/>
                <w:bCs w:val="0"/>
                <w:color w:val="auto"/>
                <w:sz w:val="32"/>
                <w:szCs w:val="32"/>
                <w:highlight w:val="none"/>
                <w:lang w:val="en-US" w:eastAsia="zh-CN"/>
              </w:rPr>
              <w:t>建设</w:t>
            </w:r>
            <w:r>
              <w:rPr>
                <w:rFonts w:hint="eastAsia" w:ascii="Times New Roman" w:hAnsi="Times New Roman" w:eastAsia="仿宋_GB2312" w:cs="Times New Roman"/>
                <w:color w:val="auto"/>
                <w:sz w:val="32"/>
                <w:szCs w:val="32"/>
                <w:highlight w:val="none"/>
                <w:lang w:eastAsia="zh-CN"/>
              </w:rPr>
              <w:t>。</w:t>
            </w:r>
          </w:p>
          <w:p w14:paraId="6B45E1D8">
            <w:pPr>
              <w:spacing w:line="360" w:lineRule="auto"/>
              <w:ind w:left="16" w:hanging="16" w:hangingChars="5"/>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b w:val="0"/>
                <w:bCs w:val="0"/>
                <w:color w:val="auto"/>
                <w:sz w:val="32"/>
                <w:szCs w:val="32"/>
                <w:highlight w:val="none"/>
                <w:lang w:val="en-US" w:eastAsia="zh-CN"/>
              </w:rPr>
              <w:t>鼓励师市医共体</w:t>
            </w:r>
            <w:r>
              <w:rPr>
                <w:rFonts w:hint="eastAsia" w:ascii="Times New Roman" w:hAnsi="Times New Roman" w:eastAsia="仿宋_GB2312" w:cs="Times New Roman"/>
                <w:b w:val="0"/>
                <w:bCs w:val="0"/>
                <w:color w:val="auto"/>
                <w:sz w:val="32"/>
                <w:szCs w:val="32"/>
                <w:highlight w:val="none"/>
                <w:lang w:eastAsia="zh-CN"/>
              </w:rPr>
              <w:t>设立人才</w:t>
            </w:r>
            <w:r>
              <w:rPr>
                <w:rFonts w:hint="eastAsia" w:ascii="Times New Roman" w:hAnsi="Times New Roman" w:eastAsia="仿宋_GB2312" w:cs="Times New Roman"/>
                <w:b w:val="0"/>
                <w:bCs w:val="0"/>
                <w:color w:val="auto"/>
                <w:sz w:val="32"/>
                <w:szCs w:val="32"/>
                <w:highlight w:val="none"/>
                <w:lang w:val="en-US" w:eastAsia="zh-CN"/>
              </w:rPr>
              <w:t>发展</w:t>
            </w:r>
            <w:r>
              <w:rPr>
                <w:rFonts w:hint="eastAsia" w:ascii="Times New Roman" w:hAnsi="Times New Roman" w:eastAsia="仿宋_GB2312" w:cs="Times New Roman"/>
                <w:b w:val="0"/>
                <w:bCs w:val="0"/>
                <w:color w:val="auto"/>
                <w:sz w:val="32"/>
                <w:szCs w:val="32"/>
                <w:highlight w:val="none"/>
                <w:lang w:eastAsia="zh-CN"/>
              </w:rPr>
              <w:t>专项基金</w:t>
            </w:r>
            <w:r>
              <w:rPr>
                <w:rFonts w:hint="eastAsia" w:ascii="Times New Roman" w:hAnsi="Times New Roman" w:eastAsia="仿宋_GB2312" w:cs="Times New Roman"/>
                <w:color w:val="auto"/>
                <w:sz w:val="32"/>
                <w:szCs w:val="32"/>
                <w:highlight w:val="none"/>
                <w:lang w:eastAsia="zh-CN"/>
              </w:rPr>
              <w:t>。</w:t>
            </w:r>
          </w:p>
          <w:p w14:paraId="1EA30542">
            <w:pPr>
              <w:pStyle w:val="7"/>
              <w:spacing w:line="360" w:lineRule="auto"/>
              <w:rPr>
                <w:color w:val="auto"/>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提升师市医疗卫生机构医务人员科学研究水平，鼓励</w:t>
            </w:r>
            <w:r>
              <w:rPr>
                <w:rFonts w:hint="eastAsia" w:ascii="Times New Roman" w:hAnsi="Times New Roman" w:eastAsia="仿宋_GB2312" w:cs="Times New Roman"/>
                <w:b w:val="0"/>
                <w:bCs w:val="0"/>
                <w:color w:val="auto"/>
                <w:sz w:val="32"/>
                <w:szCs w:val="32"/>
                <w:highlight w:val="none"/>
                <w:lang w:eastAsia="zh-CN"/>
              </w:rPr>
              <w:t>医务人员</w:t>
            </w:r>
            <w:r>
              <w:rPr>
                <w:rFonts w:hint="eastAsia" w:ascii="Times New Roman" w:hAnsi="Times New Roman" w:eastAsia="仿宋_GB2312" w:cs="Times New Roman"/>
                <w:b w:val="0"/>
                <w:bCs w:val="0"/>
                <w:color w:val="auto"/>
                <w:sz w:val="32"/>
                <w:szCs w:val="32"/>
                <w:highlight w:val="none"/>
                <w:lang w:val="en-US" w:eastAsia="zh-CN"/>
              </w:rPr>
              <w:t>积极申报各级各类科研项目</w:t>
            </w:r>
            <w:r>
              <w:rPr>
                <w:rFonts w:hint="eastAsia" w:ascii="Times New Roman" w:hAnsi="Times New Roman" w:eastAsia="仿宋_GB2312" w:cs="Times New Roman"/>
                <w:color w:val="auto"/>
                <w:sz w:val="32"/>
                <w:szCs w:val="32"/>
                <w:highlight w:val="none"/>
                <w:lang w:val="en-US" w:eastAsia="zh-CN"/>
              </w:rPr>
              <w:t>。</w:t>
            </w:r>
          </w:p>
        </w:tc>
      </w:tr>
    </w:tbl>
    <w:p w14:paraId="556172EA">
      <w:pPr>
        <w:numPr>
          <w:ilvl w:val="0"/>
          <w:numId w:val="3"/>
        </w:numPr>
        <w:spacing w:beforeLines="100" w:afterLines="100" w:line="360" w:lineRule="auto"/>
        <w:jc w:val="center"/>
        <w:outlineLvl w:val="1"/>
        <w:rPr>
          <w:rFonts w:hint="eastAsia" w:ascii="黑体" w:hAnsi="黑体" w:eastAsia="黑体" w:cs="黑体"/>
          <w:b/>
          <w:color w:val="auto"/>
          <w:spacing w:val="6"/>
          <w:kern w:val="44"/>
          <w:sz w:val="32"/>
          <w:szCs w:val="60"/>
          <w:highlight w:val="none"/>
          <w:lang w:val="en-US" w:eastAsia="zh-CN"/>
        </w:rPr>
      </w:pPr>
      <w:bookmarkStart w:id="21" w:name="_Toc8026"/>
      <w:r>
        <w:rPr>
          <w:rFonts w:hint="eastAsia" w:ascii="黑体" w:hAnsi="黑体" w:eastAsia="黑体" w:cs="黑体"/>
          <w:b/>
          <w:color w:val="auto"/>
          <w:spacing w:val="6"/>
          <w:kern w:val="44"/>
          <w:sz w:val="32"/>
          <w:szCs w:val="60"/>
          <w:highlight w:val="none"/>
          <w:lang w:val="en-US" w:eastAsia="zh-CN"/>
        </w:rPr>
        <w:t>提升卫生应急综合保障能力</w:t>
      </w:r>
      <w:bookmarkEnd w:id="21"/>
    </w:p>
    <w:p w14:paraId="503A11AA">
      <w:pPr>
        <w:spacing w:line="360" w:lineRule="auto"/>
        <w:ind w:firstLine="643" w:firstLineChars="200"/>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rPr>
        <w:t>健全卫生应急管理体系</w:t>
      </w:r>
      <w:r>
        <w:rPr>
          <w:rFonts w:hint="eastAsia" w:ascii="Times New Roman" w:hAnsi="Times New Roman" w:eastAsia="仿宋_GB2312" w:cs="Times New Roman"/>
          <w:b/>
          <w:bCs/>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一是</w:t>
      </w:r>
      <w:r>
        <w:rPr>
          <w:rFonts w:hint="eastAsia" w:ascii="Times New Roman" w:hAnsi="Times New Roman" w:eastAsia="仿宋_GB2312" w:cs="Times New Roman"/>
          <w:b w:val="0"/>
          <w:bCs w:val="0"/>
          <w:color w:val="auto"/>
          <w:sz w:val="32"/>
          <w:szCs w:val="32"/>
          <w:highlight w:val="none"/>
          <w:lang w:eastAsia="zh-CN"/>
        </w:rPr>
        <w:t>健全师市突发公共卫生事件应急</w:t>
      </w:r>
      <w:r>
        <w:rPr>
          <w:rFonts w:hint="eastAsia" w:ascii="Times New Roman" w:hAnsi="Times New Roman" w:eastAsia="仿宋_GB2312" w:cs="Times New Roman"/>
          <w:b w:val="0"/>
          <w:bCs w:val="0"/>
          <w:color w:val="auto"/>
          <w:sz w:val="32"/>
          <w:szCs w:val="32"/>
          <w:highlight w:val="none"/>
          <w:lang w:val="en-US" w:eastAsia="zh-CN"/>
        </w:rPr>
        <w:t>工作</w:t>
      </w:r>
      <w:r>
        <w:rPr>
          <w:rFonts w:hint="eastAsia" w:ascii="Times New Roman" w:hAnsi="Times New Roman" w:eastAsia="仿宋_GB2312" w:cs="Times New Roman"/>
          <w:b w:val="0"/>
          <w:bCs w:val="0"/>
          <w:color w:val="auto"/>
          <w:sz w:val="32"/>
          <w:szCs w:val="32"/>
          <w:highlight w:val="none"/>
          <w:lang w:eastAsia="zh-CN"/>
        </w:rPr>
        <w:t>机制，明确各成员单位职责分工和协作流程，构建统一指挥、反应灵敏、上下联动的应急指挥体系。完善重大疫情和突发公共卫生事件应急预案，针对疾控、医疗、社区防控等场景制定配套操作规范。定期组织预案修订和桌面推演，指导各疾控分中心细化属地处置流程。</w:t>
      </w:r>
      <w:r>
        <w:rPr>
          <w:rFonts w:hint="eastAsia" w:ascii="Times New Roman" w:hAnsi="Times New Roman" w:eastAsia="仿宋_GB2312" w:cs="Times New Roman"/>
          <w:b w:val="0"/>
          <w:bCs w:val="0"/>
          <w:color w:val="auto"/>
          <w:sz w:val="32"/>
          <w:szCs w:val="32"/>
          <w:highlight w:val="none"/>
          <w:lang w:val="en-US" w:eastAsia="zh-CN"/>
        </w:rPr>
        <w:t>二是强化联防联控工作机制。加强与农业农村、市场监管、教育、交通运输等部门的疫情信息互通与协同处置，建立人畜共患病、食源性疾病等多部门联合应对机制，推动监测预警、溯源调查、应急处置高效衔接。</w:t>
      </w:r>
      <w:r>
        <w:rPr>
          <w:rFonts w:hint="eastAsia" w:ascii="Times New Roman" w:hAnsi="Times New Roman" w:eastAsia="仿宋_GB2312" w:cs="Times New Roman"/>
          <w:color w:val="auto"/>
          <w:sz w:val="32"/>
          <w:szCs w:val="32"/>
          <w:highlight w:val="none"/>
          <w:lang w:val="en-US" w:eastAsia="zh-CN"/>
        </w:rPr>
        <w:t>到****年</w:t>
      </w:r>
      <w:r>
        <w:rPr>
          <w:rFonts w:hint="eastAsia" w:ascii="Times New Roman" w:hAnsi="Times New Roman" w:eastAsia="仿宋_GB2312" w:cs="Times New Roman"/>
          <w:b w:val="0"/>
          <w:bCs w:val="0"/>
          <w:color w:val="auto"/>
          <w:kern w:val="2"/>
          <w:sz w:val="32"/>
          <w:szCs w:val="32"/>
          <w:highlight w:val="none"/>
          <w:lang w:val="en-US" w:eastAsia="zh-CN" w:bidi="ar-SA"/>
        </w:rPr>
        <w:t>，突发公共卫生事件平均响应时间缩短至*小时以内。</w:t>
      </w:r>
    </w:p>
    <w:p w14:paraId="6AF45989">
      <w:pPr>
        <w:spacing w:line="360" w:lineRule="auto"/>
        <w:ind w:firstLine="643" w:firstLineChars="200"/>
        <w:rPr>
          <w:rFonts w:hint="default"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rPr>
        <w:t>提升监测预警与风险评估能力</w:t>
      </w:r>
      <w:r>
        <w:rPr>
          <w:rFonts w:hint="eastAsia" w:ascii="Times New Roman" w:hAnsi="Times New Roman" w:eastAsia="仿宋_GB2312" w:cs="Times New Roman"/>
          <w:b/>
          <w:bCs/>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eastAsia="zh-CN"/>
        </w:rPr>
        <w:t>以各级医疗机构门（急）诊为哨点单元，健全传染病监测网络。充分利用传染病报告前置系统，</w:t>
      </w:r>
      <w:r>
        <w:rPr>
          <w:rFonts w:hint="eastAsia" w:ascii="Times New Roman" w:hAnsi="Times New Roman" w:eastAsia="仿宋_GB2312" w:cs="Times New Roman"/>
          <w:b w:val="0"/>
          <w:bCs w:val="0"/>
          <w:color w:val="auto"/>
          <w:sz w:val="32"/>
          <w:szCs w:val="32"/>
          <w:highlight w:val="none"/>
          <w:lang w:val="en-US" w:eastAsia="zh-CN"/>
        </w:rPr>
        <w:t>完善</w:t>
      </w:r>
      <w:r>
        <w:rPr>
          <w:rFonts w:hint="eastAsia" w:ascii="Times New Roman" w:hAnsi="Times New Roman" w:eastAsia="仿宋_GB2312" w:cs="Times New Roman"/>
          <w:b w:val="0"/>
          <w:bCs w:val="0"/>
          <w:color w:val="auto"/>
          <w:sz w:val="32"/>
          <w:szCs w:val="32"/>
          <w:highlight w:val="none"/>
          <w:lang w:eastAsia="zh-CN"/>
        </w:rPr>
        <w:t>监测数据的自动抓取与实时汇聚，提升异常健康事件的早期识别能力。</w:t>
      </w:r>
      <w:r>
        <w:rPr>
          <w:rFonts w:hint="eastAsia" w:ascii="Times New Roman" w:hAnsi="Times New Roman" w:eastAsia="仿宋_GB2312" w:cs="Times New Roman"/>
          <w:b w:val="0"/>
          <w:bCs w:val="0"/>
          <w:color w:val="auto"/>
          <w:sz w:val="32"/>
          <w:szCs w:val="32"/>
          <w:highlight w:val="none"/>
          <w:lang w:val="en-US" w:eastAsia="zh-CN"/>
        </w:rPr>
        <w:t>依托兵团传染病监测预警与应急指挥信息平台，完善多点触发、反应快速、科学高效的传染病监测预警体系，大幅提升疫情早发现、科学研判和及时预警能力。</w:t>
      </w:r>
      <w:r>
        <w:rPr>
          <w:rFonts w:hint="eastAsia" w:ascii="Times New Roman" w:hAnsi="Times New Roman" w:eastAsia="仿宋_GB2312" w:cs="Times New Roman"/>
          <w:color w:val="auto"/>
          <w:sz w:val="32"/>
          <w:szCs w:val="32"/>
          <w:highlight w:val="none"/>
        </w:rPr>
        <w:t>加强突发公共卫生事件风险评估</w:t>
      </w:r>
      <w:r>
        <w:rPr>
          <w:rFonts w:hint="eastAsia" w:ascii="Times New Roman" w:hAnsi="Times New Roman" w:eastAsia="仿宋_GB2312" w:cs="Times New Roman"/>
          <w:color w:val="auto"/>
          <w:sz w:val="32"/>
          <w:szCs w:val="32"/>
          <w:highlight w:val="none"/>
          <w:lang w:val="en-US" w:eastAsia="zh-CN"/>
        </w:rPr>
        <w:t>专家</w:t>
      </w:r>
      <w:r>
        <w:rPr>
          <w:rFonts w:hint="eastAsia" w:ascii="Times New Roman" w:hAnsi="Times New Roman" w:eastAsia="仿宋_GB2312" w:cs="Times New Roman"/>
          <w:color w:val="auto"/>
          <w:sz w:val="32"/>
          <w:szCs w:val="32"/>
          <w:highlight w:val="none"/>
        </w:rPr>
        <w:t>队伍建设，建立动态调整的风险评估制度，提高对输入性传染病、新发再发传染病等潜在风险的预判预警水平。</w:t>
      </w:r>
    </w:p>
    <w:p w14:paraId="1FF53453">
      <w:pPr>
        <w:spacing w:line="360" w:lineRule="auto"/>
        <w:ind w:firstLine="643" w:firstLineChars="200"/>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rPr>
        <w:t>加强应急队伍专业化建设</w:t>
      </w:r>
      <w:r>
        <w:rPr>
          <w:rFonts w:hint="eastAsia" w:ascii="Times New Roman" w:hAnsi="Times New Roman" w:eastAsia="仿宋_GB2312" w:cs="Times New Roman"/>
          <w:b/>
          <w:bCs/>
          <w:color w:val="auto"/>
          <w:sz w:val="32"/>
          <w:szCs w:val="32"/>
          <w:highlight w:val="none"/>
          <w:lang w:val="en-US" w:eastAsia="zh-CN"/>
        </w:rPr>
        <w:t>与演练。</w:t>
      </w:r>
      <w:r>
        <w:rPr>
          <w:rFonts w:hint="eastAsia" w:ascii="Times New Roman" w:hAnsi="Times New Roman" w:eastAsia="仿宋_GB2312" w:cs="Times New Roman"/>
          <w:b w:val="0"/>
          <w:bCs w:val="0"/>
          <w:color w:val="auto"/>
          <w:sz w:val="32"/>
          <w:szCs w:val="32"/>
          <w:highlight w:val="none"/>
          <w:lang w:val="en-US" w:eastAsia="zh-CN"/>
        </w:rPr>
        <w:t>建强卫生应急和紧急医学救援队伍专业队伍，配齐专业人员，优化梯队结构，重点加强流调溯源、检验检测、消杀防疫和医疗救治等关键技术岗位人才储备。常态化开展培训演练，每年至少组织*次卫生系统针对不明原因疾病暴发、重大传染病疫情、自然灾害卫生救援等场景的实战演练。</w:t>
      </w:r>
    </w:p>
    <w:p w14:paraId="022830FA">
      <w:pPr>
        <w:spacing w:line="360" w:lineRule="auto"/>
        <w:ind w:firstLine="643" w:firstLineChars="200"/>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强化应急物资储备保障。</w:t>
      </w:r>
      <w:r>
        <w:rPr>
          <w:rFonts w:hint="eastAsia" w:ascii="Times New Roman" w:hAnsi="Times New Roman" w:eastAsia="仿宋_GB2312" w:cs="Times New Roman"/>
          <w:b w:val="0"/>
          <w:bCs w:val="0"/>
          <w:color w:val="auto"/>
          <w:kern w:val="2"/>
          <w:sz w:val="32"/>
          <w:szCs w:val="32"/>
          <w:highlight w:val="none"/>
          <w:lang w:val="en-US" w:eastAsia="zh-CN" w:bidi="ar-SA"/>
        </w:rPr>
        <w:t>按照“师级统筹、机构储备、动态管理”原则，建立师市卫生应急物资储备清单和轮换更新制度，重点保障防护、检测、救治、消杀等物资，各级医疗卫生机构按照标准落实实物储备。“十五五”期间重点物资储备满足**天应急需求。健全采购、调拨、分配工作机制，规范物资出入库与调配流程，确保突发状态下各类物资及时有效供应。</w:t>
      </w:r>
    </w:p>
    <w:p w14:paraId="5E29EAEA">
      <w:pPr>
        <w:spacing w:line="360" w:lineRule="auto"/>
        <w:ind w:firstLine="643" w:firstLineChars="200"/>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夯实医疗救治体系韧性。</w:t>
      </w:r>
      <w:r>
        <w:rPr>
          <w:rFonts w:hint="eastAsia" w:ascii="Times New Roman" w:hAnsi="Times New Roman" w:eastAsia="仿宋_GB2312" w:cs="Times New Roman"/>
          <w:b w:val="0"/>
          <w:bCs w:val="0"/>
          <w:color w:val="auto"/>
          <w:kern w:val="2"/>
          <w:sz w:val="32"/>
          <w:szCs w:val="32"/>
          <w:highlight w:val="none"/>
          <w:lang w:val="en-US" w:eastAsia="zh-CN" w:bidi="ar-SA"/>
        </w:rPr>
        <w:t>一是强化平急结合救治能力。加强师级医院传染病区标准化建设，完善发热门诊、负压病房、重症监护病房等设施配置，确保具备疫情暴发时可快速转换、集中收治。二是提升紧急医学救援能力。完善师市医疗急救网络布局，缩短急救响应时间，加强急救设备和车辆配置，提升急危重症患者转运和救治效率。三是做好重大活动卫生保障。健全重大会议、节庆活动、体育赛事等活动的卫生安全保障机制，完善食品卫生、传染病防控、医疗救治等专项保障方案，提升综合保障与快速响应能力。</w:t>
      </w:r>
    </w:p>
    <w:p w14:paraId="33A756BE">
      <w:pPr>
        <w:spacing w:line="360" w:lineRule="auto"/>
        <w:ind w:firstLine="643" w:firstLineChars="200"/>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bCs/>
          <w:color w:val="auto"/>
          <w:sz w:val="32"/>
          <w:szCs w:val="32"/>
          <w:highlight w:val="none"/>
        </w:rPr>
        <w:t>深化卫生应急社会动员与宣教</w:t>
      </w:r>
      <w:r>
        <w:rPr>
          <w:rFonts w:hint="eastAsia" w:ascii="Times New Roman" w:hAnsi="Times New Roman" w:eastAsia="仿宋_GB2312" w:cs="Times New Roman"/>
          <w:b/>
          <w:bCs/>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eastAsia="zh-CN"/>
        </w:rPr>
        <w:t>将卫生应急知识纳入健康教育和健康科普重要内容，面向社区、学校、企业、机关开展急救技能培训，</w:t>
      </w:r>
      <w:r>
        <w:rPr>
          <w:rFonts w:hint="eastAsia" w:ascii="Times New Roman" w:hAnsi="Times New Roman" w:eastAsia="仿宋_GB2312" w:cs="Times New Roman"/>
          <w:b w:val="0"/>
          <w:bCs w:val="0"/>
          <w:color w:val="auto"/>
          <w:sz w:val="32"/>
          <w:szCs w:val="32"/>
          <w:highlight w:val="none"/>
          <w:lang w:val="en-US" w:eastAsia="zh-CN"/>
        </w:rPr>
        <w:t>重点</w:t>
      </w:r>
      <w:r>
        <w:rPr>
          <w:rFonts w:hint="eastAsia" w:ascii="Times New Roman" w:hAnsi="Times New Roman" w:eastAsia="仿宋_GB2312" w:cs="Times New Roman"/>
          <w:b w:val="0"/>
          <w:bCs w:val="0"/>
          <w:color w:val="auto"/>
          <w:sz w:val="32"/>
          <w:szCs w:val="32"/>
          <w:highlight w:val="none"/>
          <w:lang w:eastAsia="zh-CN"/>
        </w:rPr>
        <w:t>推广心肺复苏、自动体外除颤器使用等基本急救技能，提高公众自救互救能力。健全基层社区公共卫生委员会职能，发挥网格员、家庭医生团队的前哨作用，引导群众主动参与爱国卫生运动和传染病群防群控，营造“人人参与、人人尽责”的公共卫生安全氛围。</w:t>
      </w:r>
    </w:p>
    <w:tbl>
      <w:tblPr>
        <w:tblStyle w:val="14"/>
        <w:tblpPr w:leftFromText="180" w:rightFromText="180" w:vertAnchor="text" w:horzAnchor="page" w:tblpX="1805" w:tblpY="309"/>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3462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522" w:type="dxa"/>
            <w:vAlign w:val="center"/>
          </w:tcPr>
          <w:p w14:paraId="43B5D3B0">
            <w:pPr>
              <w:adjustRightInd w:val="0"/>
              <w:snapToGrid w:val="0"/>
              <w:spacing w:line="580" w:lineRule="exact"/>
              <w:jc w:val="center"/>
              <w:rPr>
                <w:rFonts w:hint="eastAsia" w:eastAsia="黑体"/>
                <w:color w:val="auto"/>
                <w:szCs w:val="32"/>
                <w:highlight w:val="none"/>
                <w:lang w:val="en-US" w:eastAsia="zh-CN"/>
              </w:rPr>
            </w:pPr>
            <w:r>
              <w:rPr>
                <w:rFonts w:eastAsia="黑体"/>
                <w:bCs/>
                <w:color w:val="auto"/>
                <w:sz w:val="32"/>
                <w:szCs w:val="48"/>
                <w:highlight w:val="none"/>
              </w:rPr>
              <w:t>专栏</w:t>
            </w:r>
            <w:r>
              <w:rPr>
                <w:rFonts w:hint="eastAsia" w:eastAsia="黑体"/>
                <w:bCs/>
                <w:color w:val="auto"/>
                <w:sz w:val="32"/>
                <w:szCs w:val="48"/>
                <w:highlight w:val="none"/>
                <w:lang w:eastAsia="zh-CN"/>
              </w:rPr>
              <w:t>*</w:t>
            </w:r>
            <w:r>
              <w:rPr>
                <w:rFonts w:eastAsia="黑体"/>
                <w:bCs/>
                <w:color w:val="auto"/>
                <w:sz w:val="32"/>
                <w:szCs w:val="48"/>
                <w:highlight w:val="none"/>
              </w:rPr>
              <w:t xml:space="preserve">  </w:t>
            </w:r>
            <w:r>
              <w:rPr>
                <w:rFonts w:hint="eastAsia" w:eastAsia="黑体"/>
                <w:bCs/>
                <w:color w:val="auto"/>
                <w:sz w:val="32"/>
                <w:szCs w:val="48"/>
                <w:highlight w:val="none"/>
              </w:rPr>
              <w:t>应急综合保障能力提升</w:t>
            </w:r>
            <w:r>
              <w:rPr>
                <w:rFonts w:hint="eastAsia" w:eastAsia="黑体"/>
                <w:bCs/>
                <w:color w:val="auto"/>
                <w:sz w:val="32"/>
                <w:szCs w:val="48"/>
                <w:highlight w:val="none"/>
                <w:lang w:val="en-US" w:eastAsia="zh-CN"/>
              </w:rPr>
              <w:t>工程</w:t>
            </w:r>
          </w:p>
        </w:tc>
      </w:tr>
      <w:tr w14:paraId="330C3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522" w:type="dxa"/>
            <w:vAlign w:val="center"/>
          </w:tcPr>
          <w:p w14:paraId="46072C94">
            <w:pPr>
              <w:numPr>
                <w:ilvl w:val="0"/>
                <w:numId w:val="7"/>
              </w:numPr>
              <w:spacing w:line="360" w:lineRule="auto"/>
              <w:ind w:left="16" w:hanging="16" w:hangingChars="5"/>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eastAsia="zh-CN"/>
              </w:rPr>
              <w:t>健全传染病监测</w:t>
            </w:r>
            <w:r>
              <w:rPr>
                <w:rFonts w:hint="eastAsia" w:ascii="Times New Roman" w:hAnsi="Times New Roman" w:eastAsia="仿宋_GB2312" w:cs="Times New Roman"/>
                <w:b w:val="0"/>
                <w:bCs w:val="0"/>
                <w:color w:val="auto"/>
                <w:sz w:val="32"/>
                <w:szCs w:val="32"/>
                <w:highlight w:val="none"/>
                <w:lang w:val="en-US" w:eastAsia="zh-CN"/>
              </w:rPr>
              <w:t>预警应急</w:t>
            </w:r>
            <w:r>
              <w:rPr>
                <w:rFonts w:hint="eastAsia" w:ascii="Times New Roman" w:hAnsi="Times New Roman" w:eastAsia="仿宋_GB2312" w:cs="Times New Roman"/>
                <w:b w:val="0"/>
                <w:bCs w:val="0"/>
                <w:color w:val="auto"/>
                <w:sz w:val="32"/>
                <w:szCs w:val="32"/>
                <w:highlight w:val="none"/>
                <w:lang w:eastAsia="zh-CN"/>
              </w:rPr>
              <w:t>网络，</w:t>
            </w:r>
            <w:r>
              <w:rPr>
                <w:rFonts w:hint="eastAsia" w:ascii="Times New Roman" w:hAnsi="Times New Roman" w:eastAsia="仿宋_GB2312" w:cs="Times New Roman"/>
                <w:b w:val="0"/>
                <w:bCs w:val="0"/>
                <w:color w:val="auto"/>
                <w:sz w:val="32"/>
                <w:szCs w:val="32"/>
                <w:highlight w:val="none"/>
                <w:lang w:val="en-US" w:eastAsia="zh-CN"/>
              </w:rPr>
              <w:t>实现师市传染病监测预警与应急指挥信息平台实体化运行。</w:t>
            </w:r>
          </w:p>
          <w:p w14:paraId="7372EE45">
            <w:pPr>
              <w:pStyle w:val="7"/>
              <w:spacing w:line="360" w:lineRule="auto"/>
              <w:rPr>
                <w:color w:val="auto"/>
                <w:highlight w:val="none"/>
              </w:rPr>
            </w:pPr>
            <w:r>
              <w:rPr>
                <w:rFonts w:hint="eastAsia" w:ascii="Times New Roman" w:hAnsi="Times New Roman" w:eastAsia="仿宋_GB2312" w:cs="Times New Roman"/>
                <w:color w:val="auto"/>
                <w:sz w:val="32"/>
                <w:szCs w:val="32"/>
                <w:highlight w:val="none"/>
                <w:lang w:val="en-US" w:eastAsia="zh-CN"/>
              </w:rPr>
              <w:t>*.建强卫生应急和紧急医学救援队伍专业队伍，优化梯队结构，配齐应急物资及急救装备</w:t>
            </w:r>
            <w:r>
              <w:rPr>
                <w:rFonts w:hint="eastAsia" w:ascii="Times New Roman" w:hAnsi="Times New Roman" w:eastAsia="仿宋_GB2312" w:cs="Times New Roman"/>
                <w:b w:val="0"/>
                <w:bCs w:val="0"/>
                <w:color w:val="auto"/>
                <w:kern w:val="2"/>
                <w:sz w:val="32"/>
                <w:szCs w:val="32"/>
                <w:highlight w:val="none"/>
                <w:lang w:val="en-US" w:eastAsia="zh-CN" w:bidi="ar-SA"/>
              </w:rPr>
              <w:t>。</w:t>
            </w:r>
          </w:p>
        </w:tc>
      </w:tr>
    </w:tbl>
    <w:p w14:paraId="63402CA6">
      <w:pPr>
        <w:numPr>
          <w:ilvl w:val="0"/>
          <w:numId w:val="3"/>
        </w:numPr>
        <w:spacing w:beforeLines="100" w:afterLines="100" w:line="360" w:lineRule="auto"/>
        <w:jc w:val="center"/>
        <w:outlineLvl w:val="1"/>
        <w:rPr>
          <w:rFonts w:hint="eastAsia" w:ascii="黑体" w:hAnsi="黑体" w:eastAsia="黑体" w:cs="黑体"/>
          <w:b/>
          <w:color w:val="auto"/>
          <w:spacing w:val="6"/>
          <w:kern w:val="44"/>
          <w:sz w:val="32"/>
          <w:szCs w:val="60"/>
          <w:highlight w:val="none"/>
          <w:lang w:val="en-US" w:eastAsia="zh-CN"/>
        </w:rPr>
      </w:pPr>
      <w:bookmarkStart w:id="22" w:name="_Toc9896"/>
      <w:r>
        <w:rPr>
          <w:rFonts w:hint="eastAsia" w:ascii="黑体" w:hAnsi="黑体" w:eastAsia="黑体" w:cs="黑体"/>
          <w:b/>
          <w:color w:val="auto"/>
          <w:spacing w:val="6"/>
          <w:kern w:val="44"/>
          <w:sz w:val="32"/>
          <w:szCs w:val="60"/>
          <w:highlight w:val="none"/>
          <w:lang w:val="en-US" w:eastAsia="zh-CN"/>
        </w:rPr>
        <w:t>健全援疆协作长效机制</w:t>
      </w:r>
      <w:bookmarkEnd w:id="22"/>
    </w:p>
    <w:p w14:paraId="6C290BDB">
      <w:pPr>
        <w:spacing w:line="360" w:lineRule="auto"/>
        <w:ind w:firstLine="643" w:firstLineChars="200"/>
        <w:rPr>
          <w:rFonts w:hint="eastAsia" w:ascii="Times New Roman" w:hAnsi="Times New Roman" w:eastAsia="仿宋_GB2312" w:cs="Times New Roman"/>
          <w:b w:val="0"/>
          <w:bCs w:val="0"/>
          <w:color w:val="auto"/>
          <w:sz w:val="32"/>
          <w:szCs w:val="32"/>
          <w:highlight w:val="none"/>
          <w:lang w:eastAsia="zh-CN"/>
        </w:rPr>
      </w:pPr>
      <w:r>
        <w:rPr>
          <w:rFonts w:hint="eastAsia" w:ascii="Times New Roman" w:hAnsi="Times New Roman" w:eastAsia="仿宋_GB2312" w:cs="Times New Roman"/>
          <w:b/>
          <w:bCs/>
          <w:color w:val="auto"/>
          <w:sz w:val="32"/>
          <w:szCs w:val="32"/>
          <w:highlight w:val="none"/>
          <w:lang w:eastAsia="zh-CN"/>
        </w:rPr>
        <w:t>深化人才援疆，打造一支带不走的</w:t>
      </w:r>
      <w:bookmarkStart w:id="23" w:name="OLE_LINK7"/>
      <w:r>
        <w:rPr>
          <w:rFonts w:hint="eastAsia" w:ascii="Times New Roman" w:hAnsi="Times New Roman" w:eastAsia="仿宋_GB2312" w:cs="Times New Roman"/>
          <w:b/>
          <w:bCs/>
          <w:color w:val="auto"/>
          <w:sz w:val="32"/>
          <w:szCs w:val="32"/>
          <w:highlight w:val="none"/>
          <w:lang w:val="en-US" w:eastAsia="zh-CN"/>
        </w:rPr>
        <w:t>人才队伍</w:t>
      </w:r>
      <w:r>
        <w:rPr>
          <w:rFonts w:hint="eastAsia" w:ascii="Times New Roman" w:hAnsi="Times New Roman" w:eastAsia="仿宋_GB2312" w:cs="Times New Roman"/>
          <w:b/>
          <w:bCs/>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建立健全</w:t>
      </w:r>
      <w:r>
        <w:rPr>
          <w:rFonts w:hint="eastAsia" w:ascii="Times New Roman" w:hAnsi="Times New Roman" w:eastAsia="仿宋_GB2312" w:cs="Times New Roman"/>
          <w:b w:val="0"/>
          <w:bCs w:val="0"/>
          <w:color w:val="auto"/>
          <w:sz w:val="32"/>
          <w:szCs w:val="32"/>
          <w:highlight w:val="none"/>
          <w:lang w:eastAsia="zh-CN"/>
        </w:rPr>
        <w:t>援疆省市与师市医疗</w:t>
      </w:r>
      <w:r>
        <w:rPr>
          <w:rFonts w:hint="eastAsia" w:ascii="Times New Roman" w:hAnsi="Times New Roman" w:eastAsia="仿宋_GB2312" w:cs="Times New Roman"/>
          <w:b w:val="0"/>
          <w:bCs w:val="0"/>
          <w:color w:val="auto"/>
          <w:sz w:val="32"/>
          <w:szCs w:val="32"/>
          <w:highlight w:val="none"/>
          <w:lang w:val="en-US" w:eastAsia="zh-CN"/>
        </w:rPr>
        <w:t>卫生</w:t>
      </w:r>
      <w:r>
        <w:rPr>
          <w:rFonts w:hint="eastAsia" w:ascii="Times New Roman" w:hAnsi="Times New Roman" w:eastAsia="仿宋_GB2312" w:cs="Times New Roman"/>
          <w:b w:val="0"/>
          <w:bCs w:val="0"/>
          <w:color w:val="auto"/>
          <w:sz w:val="32"/>
          <w:szCs w:val="32"/>
          <w:highlight w:val="none"/>
          <w:lang w:eastAsia="zh-CN"/>
        </w:rPr>
        <w:t>机构“一对一”精准结对机制。</w:t>
      </w:r>
      <w:r>
        <w:rPr>
          <w:rFonts w:hint="eastAsia" w:ascii="Times New Roman" w:hAnsi="Times New Roman" w:eastAsia="仿宋_GB2312" w:cs="Times New Roman"/>
          <w:b w:val="0"/>
          <w:bCs w:val="0"/>
          <w:color w:val="auto"/>
          <w:sz w:val="32"/>
          <w:szCs w:val="32"/>
          <w:highlight w:val="none"/>
          <w:lang w:val="en-US" w:eastAsia="zh-CN"/>
        </w:rPr>
        <w:t>到****年，</w:t>
      </w:r>
      <w:r>
        <w:rPr>
          <w:rFonts w:hint="eastAsia" w:ascii="Times New Roman" w:hAnsi="Times New Roman" w:eastAsia="仿宋_GB2312" w:cs="Times New Roman"/>
          <w:b w:val="0"/>
          <w:bCs w:val="0"/>
          <w:color w:val="auto"/>
          <w:sz w:val="32"/>
          <w:szCs w:val="32"/>
          <w:highlight w:val="none"/>
          <w:lang w:eastAsia="zh-CN"/>
        </w:rPr>
        <w:t>师级医院与援疆省市三甲医院、</w:t>
      </w:r>
      <w:r>
        <w:rPr>
          <w:rFonts w:hint="eastAsia" w:ascii="Times New Roman" w:hAnsi="Times New Roman" w:eastAsia="仿宋_GB2312" w:cs="Times New Roman"/>
          <w:b w:val="0"/>
          <w:bCs w:val="0"/>
          <w:color w:val="auto"/>
          <w:sz w:val="32"/>
          <w:szCs w:val="32"/>
          <w:highlight w:val="none"/>
          <w:lang w:val="en-US" w:eastAsia="zh-CN"/>
        </w:rPr>
        <w:t>师市疾控体系与援建省及地市级疾控机构实现全面结对</w:t>
      </w:r>
      <w:r>
        <w:rPr>
          <w:rFonts w:hint="eastAsia" w:ascii="Times New Roman" w:hAnsi="Times New Roman" w:eastAsia="仿宋_GB2312" w:cs="Times New Roman"/>
          <w:b w:val="0"/>
          <w:bCs w:val="0"/>
          <w:color w:val="auto"/>
          <w:sz w:val="32"/>
          <w:szCs w:val="32"/>
          <w:highlight w:val="none"/>
          <w:lang w:eastAsia="zh-CN"/>
        </w:rPr>
        <w:t>。实施本土人才培育计划，依托援疆省市资源，每年邀请临床、公卫、管理类专家来师开展驻点带教、手术示范、专题讲座等服务。拓展双向交流培养渠道，每年选派本土骨干</w:t>
      </w:r>
      <w:r>
        <w:rPr>
          <w:rFonts w:hint="eastAsia" w:ascii="Times New Roman" w:hAnsi="Times New Roman" w:eastAsia="仿宋_GB2312" w:cs="Times New Roman"/>
          <w:b w:val="0"/>
          <w:bCs w:val="0"/>
          <w:color w:val="auto"/>
          <w:sz w:val="32"/>
          <w:szCs w:val="32"/>
          <w:highlight w:val="none"/>
          <w:lang w:val="en-US" w:eastAsia="zh-CN"/>
        </w:rPr>
        <w:t>医疗卫生</w:t>
      </w:r>
      <w:r>
        <w:rPr>
          <w:rFonts w:hint="eastAsia" w:ascii="Times New Roman" w:hAnsi="Times New Roman" w:eastAsia="仿宋_GB2312" w:cs="Times New Roman"/>
          <w:b w:val="0"/>
          <w:bCs w:val="0"/>
          <w:color w:val="auto"/>
          <w:sz w:val="32"/>
          <w:szCs w:val="32"/>
          <w:highlight w:val="none"/>
          <w:lang w:eastAsia="zh-CN"/>
        </w:rPr>
        <w:t>人员赴援疆省市进修培训。</w:t>
      </w:r>
      <w:bookmarkEnd w:id="23"/>
      <w:r>
        <w:rPr>
          <w:rFonts w:hint="eastAsia" w:ascii="Times New Roman" w:hAnsi="Times New Roman" w:eastAsia="仿宋_GB2312" w:cs="Times New Roman"/>
          <w:b w:val="0"/>
          <w:bCs w:val="0"/>
          <w:color w:val="auto"/>
          <w:sz w:val="32"/>
          <w:szCs w:val="32"/>
          <w:highlight w:val="none"/>
          <w:lang w:eastAsia="zh-CN"/>
        </w:rPr>
        <w:t>完善柔性援疆引才机制，通过短期服务、远程指导、项目合作等灵活方式柔性引进高层次</w:t>
      </w:r>
      <w:r>
        <w:rPr>
          <w:rFonts w:hint="eastAsia" w:ascii="Times New Roman" w:hAnsi="Times New Roman" w:eastAsia="仿宋_GB2312" w:cs="Times New Roman"/>
          <w:b w:val="0"/>
          <w:bCs w:val="0"/>
          <w:color w:val="auto"/>
          <w:sz w:val="32"/>
          <w:szCs w:val="32"/>
          <w:highlight w:val="none"/>
          <w:lang w:val="en-US" w:eastAsia="zh-CN"/>
        </w:rPr>
        <w:t>人才</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缓解</w:t>
      </w:r>
      <w:r>
        <w:rPr>
          <w:rFonts w:hint="eastAsia" w:ascii="Times New Roman" w:hAnsi="Times New Roman" w:eastAsia="仿宋_GB2312" w:cs="Times New Roman"/>
          <w:b w:val="0"/>
          <w:bCs w:val="0"/>
          <w:color w:val="auto"/>
          <w:sz w:val="32"/>
          <w:szCs w:val="32"/>
          <w:highlight w:val="none"/>
          <w:lang w:eastAsia="zh-CN"/>
        </w:rPr>
        <w:t>高精尖领域</w:t>
      </w:r>
      <w:r>
        <w:rPr>
          <w:rFonts w:hint="eastAsia" w:ascii="Times New Roman" w:hAnsi="Times New Roman" w:eastAsia="仿宋_GB2312" w:cs="Times New Roman"/>
          <w:b w:val="0"/>
          <w:bCs w:val="0"/>
          <w:color w:val="auto"/>
          <w:sz w:val="32"/>
          <w:szCs w:val="32"/>
          <w:highlight w:val="none"/>
          <w:lang w:val="en-US" w:eastAsia="zh-CN"/>
        </w:rPr>
        <w:t>卫生</w:t>
      </w:r>
      <w:r>
        <w:rPr>
          <w:rFonts w:hint="eastAsia" w:ascii="Times New Roman" w:hAnsi="Times New Roman" w:eastAsia="仿宋_GB2312" w:cs="Times New Roman"/>
          <w:b w:val="0"/>
          <w:bCs w:val="0"/>
          <w:color w:val="auto"/>
          <w:sz w:val="32"/>
          <w:szCs w:val="32"/>
          <w:highlight w:val="none"/>
          <w:lang w:eastAsia="zh-CN"/>
        </w:rPr>
        <w:t>人才短缺</w:t>
      </w:r>
      <w:r>
        <w:rPr>
          <w:rFonts w:hint="eastAsia" w:ascii="Times New Roman" w:hAnsi="Times New Roman" w:eastAsia="仿宋_GB2312" w:cs="Times New Roman"/>
          <w:b w:val="0"/>
          <w:bCs w:val="0"/>
          <w:color w:val="auto"/>
          <w:sz w:val="32"/>
          <w:szCs w:val="32"/>
          <w:highlight w:val="none"/>
          <w:lang w:val="en-US" w:eastAsia="zh-CN"/>
        </w:rPr>
        <w:t>问题</w:t>
      </w:r>
      <w:r>
        <w:rPr>
          <w:rFonts w:hint="eastAsia" w:ascii="Times New Roman" w:hAnsi="Times New Roman" w:eastAsia="仿宋_GB2312" w:cs="Times New Roman"/>
          <w:b w:val="0"/>
          <w:bCs w:val="0"/>
          <w:color w:val="auto"/>
          <w:sz w:val="32"/>
          <w:szCs w:val="32"/>
          <w:highlight w:val="none"/>
          <w:lang w:eastAsia="zh-CN"/>
        </w:rPr>
        <w:t>。</w:t>
      </w:r>
    </w:p>
    <w:p w14:paraId="2AF9C1A6">
      <w:pPr>
        <w:spacing w:line="360" w:lineRule="auto"/>
        <w:ind w:firstLine="643" w:firstLineChars="200"/>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eastAsia="zh-CN"/>
        </w:rPr>
        <w:t>深化技术援疆，提升学科核心竞争力</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一是</w:t>
      </w:r>
      <w:r>
        <w:rPr>
          <w:rFonts w:hint="eastAsia" w:ascii="Times New Roman" w:hAnsi="Times New Roman" w:eastAsia="仿宋_GB2312" w:cs="Times New Roman"/>
          <w:b w:val="0"/>
          <w:bCs w:val="0"/>
          <w:color w:val="auto"/>
          <w:sz w:val="32"/>
          <w:szCs w:val="32"/>
          <w:highlight w:val="none"/>
          <w:lang w:eastAsia="zh-CN"/>
        </w:rPr>
        <w:t>聚焦师市临床重点专科和中医药特色专科建设，借助援疆省市优势学科资源实施靶向帮扶，重点</w:t>
      </w:r>
      <w:r>
        <w:rPr>
          <w:rFonts w:hint="eastAsia" w:ascii="Times New Roman" w:hAnsi="Times New Roman" w:eastAsia="仿宋_GB2312" w:cs="Times New Roman"/>
          <w:b w:val="0"/>
          <w:bCs w:val="0"/>
          <w:color w:val="auto"/>
          <w:sz w:val="32"/>
          <w:szCs w:val="32"/>
          <w:highlight w:val="none"/>
          <w:lang w:val="en-US" w:eastAsia="zh-CN"/>
        </w:rPr>
        <w:t>提升师市</w:t>
      </w:r>
      <w:r>
        <w:rPr>
          <w:rFonts w:hint="eastAsia" w:ascii="Times New Roman" w:hAnsi="Times New Roman" w:eastAsia="仿宋_GB2312" w:cs="Times New Roman"/>
          <w:b w:val="0"/>
          <w:bCs w:val="0"/>
          <w:color w:val="auto"/>
          <w:sz w:val="32"/>
          <w:szCs w:val="32"/>
          <w:highlight w:val="none"/>
          <w:lang w:eastAsia="zh-CN"/>
        </w:rPr>
        <w:t>心血管、肿瘤、骨科等核心领域</w:t>
      </w:r>
      <w:r>
        <w:rPr>
          <w:rFonts w:hint="eastAsia" w:ascii="Times New Roman" w:hAnsi="Times New Roman" w:eastAsia="仿宋_GB2312" w:cs="Times New Roman"/>
          <w:b w:val="0"/>
          <w:bCs w:val="0"/>
          <w:color w:val="auto"/>
          <w:sz w:val="32"/>
          <w:szCs w:val="32"/>
          <w:highlight w:val="none"/>
          <w:lang w:val="en-US" w:eastAsia="zh-CN"/>
        </w:rPr>
        <w:t>医疗</w:t>
      </w:r>
      <w:r>
        <w:rPr>
          <w:rFonts w:hint="eastAsia" w:ascii="Times New Roman" w:hAnsi="Times New Roman" w:eastAsia="仿宋_GB2312" w:cs="Times New Roman"/>
          <w:b w:val="0"/>
          <w:bCs w:val="0"/>
          <w:color w:val="auto"/>
          <w:sz w:val="32"/>
          <w:szCs w:val="32"/>
          <w:highlight w:val="none"/>
          <w:lang w:eastAsia="zh-CN"/>
        </w:rPr>
        <w:t>技术</w:t>
      </w:r>
      <w:r>
        <w:rPr>
          <w:rFonts w:hint="eastAsia" w:ascii="Times New Roman" w:hAnsi="Times New Roman" w:eastAsia="仿宋_GB2312" w:cs="Times New Roman"/>
          <w:b w:val="0"/>
          <w:bCs w:val="0"/>
          <w:color w:val="auto"/>
          <w:sz w:val="32"/>
          <w:szCs w:val="32"/>
          <w:highlight w:val="none"/>
          <w:lang w:val="en-US" w:eastAsia="zh-CN"/>
        </w:rPr>
        <w:t>水平</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培育</w:t>
      </w:r>
      <w:r>
        <w:rPr>
          <w:rFonts w:hint="eastAsia" w:ascii="Times New Roman" w:hAnsi="Times New Roman" w:eastAsia="仿宋_GB2312" w:cs="Times New Roman"/>
          <w:b w:val="0"/>
          <w:bCs w:val="0"/>
          <w:color w:val="auto"/>
          <w:sz w:val="32"/>
          <w:szCs w:val="32"/>
          <w:highlight w:val="none"/>
          <w:lang w:eastAsia="zh-CN"/>
        </w:rPr>
        <w:t>一批区域特色专科。</w:t>
      </w:r>
      <w:r>
        <w:rPr>
          <w:rFonts w:hint="eastAsia" w:ascii="Times New Roman" w:hAnsi="Times New Roman" w:eastAsia="仿宋_GB2312" w:cs="Times New Roman"/>
          <w:b w:val="0"/>
          <w:bCs w:val="0"/>
          <w:color w:val="auto"/>
          <w:sz w:val="32"/>
          <w:szCs w:val="32"/>
          <w:highlight w:val="none"/>
          <w:lang w:val="en-US" w:eastAsia="zh-CN"/>
        </w:rPr>
        <w:t>二是</w:t>
      </w:r>
      <w:r>
        <w:rPr>
          <w:rFonts w:hint="eastAsia" w:ascii="Times New Roman" w:hAnsi="Times New Roman" w:eastAsia="仿宋_GB2312" w:cs="Times New Roman"/>
          <w:b w:val="0"/>
          <w:bCs w:val="0"/>
          <w:color w:val="auto"/>
          <w:sz w:val="32"/>
          <w:szCs w:val="32"/>
          <w:highlight w:val="none"/>
          <w:lang w:eastAsia="zh-CN"/>
        </w:rPr>
        <w:t>对师市疾控中心传染病防治科、检验科、卫生监督科推行“一对一”包联帮扶，协调援疆省市选派中级及以上职称专业技术人员长期驻点，切实提升实验室检测、传染病防控与卫生监督能力。</w:t>
      </w:r>
      <w:r>
        <w:rPr>
          <w:rFonts w:hint="eastAsia" w:ascii="Times New Roman" w:hAnsi="Times New Roman" w:eastAsia="仿宋_GB2312" w:cs="Times New Roman"/>
          <w:b w:val="0"/>
          <w:bCs w:val="0"/>
          <w:color w:val="auto"/>
          <w:sz w:val="32"/>
          <w:szCs w:val="32"/>
          <w:highlight w:val="none"/>
          <w:lang w:val="en-US" w:eastAsia="zh-CN"/>
        </w:rPr>
        <w:t>三是</w:t>
      </w:r>
      <w:r>
        <w:rPr>
          <w:rFonts w:hint="eastAsia" w:ascii="Times New Roman" w:hAnsi="Times New Roman" w:eastAsia="仿宋_GB2312" w:cs="Times New Roman"/>
          <w:b w:val="0"/>
          <w:bCs w:val="0"/>
          <w:color w:val="auto"/>
          <w:sz w:val="32"/>
          <w:szCs w:val="32"/>
          <w:highlight w:val="none"/>
          <w:lang w:eastAsia="zh-CN"/>
        </w:rPr>
        <w:t>搭建跨区域远程医疗协作</w:t>
      </w:r>
      <w:r>
        <w:rPr>
          <w:rFonts w:hint="eastAsia" w:ascii="Times New Roman" w:hAnsi="Times New Roman" w:eastAsia="仿宋_GB2312" w:cs="Times New Roman"/>
          <w:b w:val="0"/>
          <w:bCs w:val="0"/>
          <w:color w:val="auto"/>
          <w:sz w:val="32"/>
          <w:szCs w:val="32"/>
          <w:highlight w:val="none"/>
          <w:lang w:val="en-US" w:eastAsia="zh-CN"/>
        </w:rPr>
        <w:t>平台</w:t>
      </w:r>
      <w:r>
        <w:rPr>
          <w:rFonts w:hint="eastAsia" w:ascii="Times New Roman" w:hAnsi="Times New Roman" w:eastAsia="仿宋_GB2312" w:cs="Times New Roman"/>
          <w:b w:val="0"/>
          <w:bCs w:val="0"/>
          <w:color w:val="auto"/>
          <w:sz w:val="32"/>
          <w:szCs w:val="32"/>
          <w:highlight w:val="none"/>
          <w:lang w:eastAsia="zh-CN"/>
        </w:rPr>
        <w:t>，实现</w:t>
      </w:r>
      <w:r>
        <w:rPr>
          <w:rFonts w:hint="eastAsia" w:ascii="Times New Roman" w:hAnsi="Times New Roman" w:eastAsia="仿宋_GB2312" w:cs="Times New Roman"/>
          <w:b w:val="0"/>
          <w:bCs w:val="0"/>
          <w:color w:val="auto"/>
          <w:sz w:val="32"/>
          <w:szCs w:val="32"/>
          <w:highlight w:val="none"/>
          <w:lang w:val="en-US" w:eastAsia="zh-CN"/>
        </w:rPr>
        <w:t>第五师</w:t>
      </w:r>
      <w:r>
        <w:rPr>
          <w:rFonts w:hint="eastAsia" w:ascii="Times New Roman" w:hAnsi="Times New Roman" w:eastAsia="仿宋_GB2312" w:cs="Times New Roman"/>
          <w:b w:val="0"/>
          <w:bCs w:val="0"/>
          <w:color w:val="auto"/>
          <w:sz w:val="32"/>
          <w:szCs w:val="32"/>
          <w:highlight w:val="none"/>
          <w:lang w:eastAsia="zh-CN"/>
        </w:rPr>
        <w:t>医院、</w:t>
      </w:r>
      <w:r>
        <w:rPr>
          <w:rFonts w:hint="eastAsia" w:ascii="Times New Roman" w:hAnsi="Times New Roman" w:eastAsia="仿宋_GB2312" w:cs="Times New Roman"/>
          <w:b w:val="0"/>
          <w:bCs w:val="0"/>
          <w:color w:val="auto"/>
          <w:sz w:val="32"/>
          <w:szCs w:val="32"/>
          <w:highlight w:val="none"/>
          <w:lang w:val="en-US" w:eastAsia="zh-CN"/>
        </w:rPr>
        <w:t>第五师</w:t>
      </w:r>
      <w:r>
        <w:rPr>
          <w:rFonts w:hint="eastAsia" w:ascii="Times New Roman" w:hAnsi="Times New Roman" w:eastAsia="仿宋_GB2312" w:cs="Times New Roman"/>
          <w:b w:val="0"/>
          <w:bCs w:val="0"/>
          <w:color w:val="auto"/>
          <w:sz w:val="32"/>
          <w:szCs w:val="32"/>
          <w:highlight w:val="none"/>
          <w:lang w:eastAsia="zh-CN"/>
        </w:rPr>
        <w:t>中医医院与援疆省市核心医院远程会诊、远程影像、远程检验等服务全覆盖。</w:t>
      </w:r>
    </w:p>
    <w:p w14:paraId="2DCECCF3">
      <w:pPr>
        <w:spacing w:line="360" w:lineRule="auto"/>
        <w:ind w:firstLine="643" w:firstLineChars="200"/>
        <w:rPr>
          <w:rFonts w:hint="eastAsia" w:ascii="Times New Roman" w:hAnsi="Times New Roman" w:eastAsia="仿宋_GB2312" w:cs="Times New Roman"/>
          <w:b w:val="0"/>
          <w:bCs w:val="0"/>
          <w:color w:val="auto"/>
          <w:sz w:val="32"/>
          <w:szCs w:val="32"/>
          <w:highlight w:val="none"/>
          <w:lang w:eastAsia="zh-CN"/>
        </w:rPr>
      </w:pPr>
      <w:r>
        <w:rPr>
          <w:rFonts w:hint="eastAsia" w:ascii="Times New Roman" w:hAnsi="Times New Roman" w:eastAsia="仿宋_GB2312" w:cs="Times New Roman"/>
          <w:b/>
          <w:bCs/>
          <w:color w:val="auto"/>
          <w:sz w:val="32"/>
          <w:szCs w:val="32"/>
          <w:highlight w:val="none"/>
          <w:lang w:eastAsia="zh-CN"/>
        </w:rPr>
        <w:t>深化项目资金援疆，持续改善基础设施条件。</w:t>
      </w:r>
      <w:r>
        <w:rPr>
          <w:rFonts w:hint="eastAsia" w:ascii="Times New Roman" w:hAnsi="Times New Roman" w:eastAsia="仿宋_GB2312" w:cs="Times New Roman"/>
          <w:b w:val="0"/>
          <w:bCs w:val="0"/>
          <w:color w:val="auto"/>
          <w:sz w:val="32"/>
          <w:szCs w:val="32"/>
          <w:highlight w:val="none"/>
          <w:lang w:eastAsia="zh-CN"/>
        </w:rPr>
        <w:t>围绕师市卫生健康事业发展薄弱环节和重点需求，加强援疆项</w:t>
      </w:r>
      <w:r>
        <w:rPr>
          <w:rFonts w:hint="eastAsia" w:ascii="Times New Roman" w:hAnsi="Times New Roman" w:eastAsia="仿宋_GB2312" w:cs="Times New Roman"/>
          <w:b w:val="0"/>
          <w:bCs w:val="0"/>
          <w:color w:val="auto"/>
          <w:sz w:val="32"/>
          <w:szCs w:val="32"/>
          <w:highlight w:val="none"/>
          <w:lang w:val="en-US" w:eastAsia="zh-CN"/>
        </w:rPr>
        <w:t>目的</w:t>
      </w:r>
      <w:r>
        <w:rPr>
          <w:rFonts w:hint="eastAsia" w:ascii="Times New Roman" w:hAnsi="Times New Roman" w:eastAsia="仿宋_GB2312" w:cs="Times New Roman"/>
          <w:b w:val="0"/>
          <w:bCs w:val="0"/>
          <w:color w:val="auto"/>
          <w:sz w:val="32"/>
          <w:szCs w:val="32"/>
          <w:highlight w:val="none"/>
          <w:lang w:eastAsia="zh-CN"/>
        </w:rPr>
        <w:t>谋划与争取，</w:t>
      </w:r>
      <w:r>
        <w:rPr>
          <w:rFonts w:hint="eastAsia" w:ascii="Times New Roman" w:hAnsi="Times New Roman" w:eastAsia="仿宋_GB2312" w:cs="Times New Roman"/>
          <w:b w:val="0"/>
          <w:bCs w:val="0"/>
          <w:color w:val="auto"/>
          <w:sz w:val="32"/>
          <w:szCs w:val="32"/>
          <w:highlight w:val="none"/>
          <w:lang w:val="en-US" w:eastAsia="zh-CN"/>
        </w:rPr>
        <w:t>建</w:t>
      </w:r>
      <w:r>
        <w:rPr>
          <w:rFonts w:hint="eastAsia" w:ascii="Times New Roman" w:hAnsi="Times New Roman" w:eastAsia="仿宋_GB2312" w:cs="Times New Roman"/>
          <w:b w:val="0"/>
          <w:bCs w:val="0"/>
          <w:color w:val="auto"/>
          <w:sz w:val="32"/>
          <w:szCs w:val="32"/>
          <w:highlight w:val="none"/>
          <w:lang w:eastAsia="zh-CN"/>
        </w:rPr>
        <w:t>立援疆协作项目清单化管理制度，明确专科共建、人才培育重点协作项目，严格项目审批到绩效评估的全流程管理，建立动态评估机制，确保援疆资金发挥最大效益。</w:t>
      </w:r>
    </w:p>
    <w:p w14:paraId="1E21B162">
      <w:pPr>
        <w:spacing w:line="360" w:lineRule="auto"/>
        <w:ind w:firstLine="643" w:firstLineChars="200"/>
        <w:rPr>
          <w:rFonts w:hint="eastAsia" w:ascii="Times New Roman" w:hAnsi="Times New Roman" w:eastAsia="仿宋_GB2312" w:cs="Times New Roman"/>
          <w:b w:val="0"/>
          <w:bCs w:val="0"/>
          <w:color w:val="auto"/>
          <w:sz w:val="32"/>
          <w:szCs w:val="32"/>
          <w:highlight w:val="none"/>
          <w:lang w:eastAsia="zh-CN"/>
        </w:rPr>
      </w:pPr>
      <w:r>
        <w:rPr>
          <w:rFonts w:hint="eastAsia" w:ascii="Times New Roman" w:hAnsi="Times New Roman" w:eastAsia="仿宋_GB2312" w:cs="Times New Roman"/>
          <w:b/>
          <w:bCs/>
          <w:color w:val="auto"/>
          <w:sz w:val="32"/>
          <w:szCs w:val="32"/>
          <w:highlight w:val="none"/>
          <w:lang w:val="en-US" w:eastAsia="zh-CN"/>
        </w:rPr>
        <w:t>深化管理援疆</w:t>
      </w:r>
      <w:r>
        <w:rPr>
          <w:rFonts w:hint="eastAsia" w:ascii="Times New Roman" w:hAnsi="Times New Roman" w:eastAsia="仿宋_GB2312" w:cs="Times New Roman"/>
          <w:b/>
          <w:bCs/>
          <w:color w:val="auto"/>
          <w:sz w:val="32"/>
          <w:szCs w:val="32"/>
          <w:highlight w:val="none"/>
          <w:lang w:eastAsia="zh-CN"/>
        </w:rPr>
        <w:t>，提升行业治理水平。</w:t>
      </w:r>
      <w:r>
        <w:rPr>
          <w:rFonts w:hint="eastAsia" w:ascii="Times New Roman" w:hAnsi="Times New Roman" w:eastAsia="仿宋_GB2312" w:cs="Times New Roman"/>
          <w:b w:val="0"/>
          <w:bCs w:val="0"/>
          <w:color w:val="auto"/>
          <w:sz w:val="32"/>
          <w:szCs w:val="32"/>
          <w:highlight w:val="none"/>
          <w:lang w:eastAsia="zh-CN"/>
        </w:rPr>
        <w:t>引进先进管理理念，学习借鉴援疆省市在</w:t>
      </w:r>
      <w:r>
        <w:rPr>
          <w:rFonts w:hint="eastAsia" w:ascii="Times New Roman" w:hAnsi="Times New Roman" w:eastAsia="仿宋_GB2312" w:cs="Times New Roman"/>
          <w:b w:val="0"/>
          <w:bCs w:val="0"/>
          <w:color w:val="auto"/>
          <w:sz w:val="32"/>
          <w:szCs w:val="32"/>
          <w:highlight w:val="none"/>
          <w:lang w:val="en-US" w:eastAsia="zh-CN"/>
        </w:rPr>
        <w:t>医疗卫生机构</w:t>
      </w:r>
      <w:r>
        <w:rPr>
          <w:rFonts w:hint="eastAsia" w:ascii="Times New Roman" w:hAnsi="Times New Roman" w:eastAsia="仿宋_GB2312" w:cs="Times New Roman"/>
          <w:b w:val="0"/>
          <w:bCs w:val="0"/>
          <w:color w:val="auto"/>
          <w:sz w:val="32"/>
          <w:szCs w:val="32"/>
          <w:highlight w:val="none"/>
          <w:lang w:eastAsia="zh-CN"/>
        </w:rPr>
        <w:t>精细化管理、学科建设规划、绩效考核分配、智慧化建设等方面的先进经验，邀请援疆省市管理专家围绕行业精细化管理、公共卫生应急处置、信息化建设等开展专题培训，推动师市医疗卫生行业治理水平整体提升。</w:t>
      </w:r>
    </w:p>
    <w:p w14:paraId="0A3BFF1C">
      <w:pPr>
        <w:spacing w:line="360" w:lineRule="auto"/>
        <w:ind w:firstLine="643" w:firstLineChars="200"/>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深化交流交融，增进民族团结。</w:t>
      </w:r>
      <w:r>
        <w:rPr>
          <w:rFonts w:hint="eastAsia" w:ascii="Times New Roman" w:hAnsi="Times New Roman" w:eastAsia="仿宋_GB2312" w:cs="Times New Roman"/>
          <w:b w:val="0"/>
          <w:bCs w:val="0"/>
          <w:color w:val="auto"/>
          <w:sz w:val="32"/>
          <w:szCs w:val="32"/>
          <w:highlight w:val="none"/>
          <w:lang w:val="en-US" w:eastAsia="zh-CN"/>
        </w:rPr>
        <w:t>搭建多层次交流平台。组织援疆干部与本地群众结对认亲，深入团场连队开展巡回义诊、健康宣教和困难帮扶等活动，把援疆温暖送到职工群众心坎上。讲好援疆故事，深入挖掘援疆医务工作者扎根边疆、无私奉献的感人事迹，营造感恩援疆、致敬先进的浓厚氛围，铸牢中华民族共同体意识。</w:t>
      </w:r>
    </w:p>
    <w:tbl>
      <w:tblPr>
        <w:tblStyle w:val="14"/>
        <w:tblpPr w:leftFromText="180" w:rightFromText="180" w:vertAnchor="text" w:horzAnchor="page" w:tblpX="1805" w:tblpY="309"/>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9580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522" w:type="dxa"/>
            <w:vAlign w:val="center"/>
          </w:tcPr>
          <w:p w14:paraId="324B9D17">
            <w:pPr>
              <w:adjustRightInd w:val="0"/>
              <w:snapToGrid w:val="0"/>
              <w:spacing w:line="580" w:lineRule="exact"/>
              <w:jc w:val="center"/>
              <w:rPr>
                <w:rFonts w:eastAsia="黑体"/>
                <w:color w:val="auto"/>
                <w:szCs w:val="32"/>
                <w:highlight w:val="none"/>
              </w:rPr>
            </w:pPr>
            <w:r>
              <w:rPr>
                <w:rFonts w:eastAsia="黑体"/>
                <w:bCs/>
                <w:color w:val="auto"/>
                <w:sz w:val="32"/>
                <w:szCs w:val="48"/>
                <w:highlight w:val="none"/>
              </w:rPr>
              <w:t>专栏</w:t>
            </w:r>
            <w:r>
              <w:rPr>
                <w:rFonts w:hint="eastAsia" w:eastAsia="黑体"/>
                <w:bCs/>
                <w:color w:val="auto"/>
                <w:sz w:val="32"/>
                <w:szCs w:val="48"/>
                <w:highlight w:val="none"/>
                <w:lang w:eastAsia="zh-CN"/>
              </w:rPr>
              <w:t>**</w:t>
            </w:r>
            <w:r>
              <w:rPr>
                <w:rFonts w:eastAsia="黑体"/>
                <w:bCs/>
                <w:color w:val="auto"/>
                <w:sz w:val="32"/>
                <w:szCs w:val="48"/>
                <w:highlight w:val="none"/>
              </w:rPr>
              <w:t xml:space="preserve">  </w:t>
            </w:r>
            <w:r>
              <w:rPr>
                <w:rFonts w:hint="eastAsia" w:eastAsia="黑体"/>
                <w:bCs/>
                <w:color w:val="auto"/>
                <w:sz w:val="32"/>
                <w:szCs w:val="48"/>
                <w:highlight w:val="none"/>
              </w:rPr>
              <w:t>卫生</w:t>
            </w:r>
            <w:r>
              <w:rPr>
                <w:rFonts w:hint="eastAsia" w:eastAsia="黑体"/>
                <w:bCs/>
                <w:color w:val="auto"/>
                <w:sz w:val="32"/>
                <w:szCs w:val="48"/>
                <w:highlight w:val="none"/>
                <w:lang w:val="en-US" w:eastAsia="zh-CN"/>
              </w:rPr>
              <w:t>健康</w:t>
            </w:r>
            <w:r>
              <w:rPr>
                <w:rFonts w:hint="eastAsia" w:eastAsia="黑体"/>
                <w:bCs/>
                <w:color w:val="auto"/>
                <w:sz w:val="32"/>
                <w:szCs w:val="48"/>
                <w:highlight w:val="none"/>
              </w:rPr>
              <w:t>援疆</w:t>
            </w:r>
            <w:r>
              <w:rPr>
                <w:rFonts w:hint="eastAsia" w:eastAsia="黑体"/>
                <w:bCs/>
                <w:color w:val="auto"/>
                <w:sz w:val="32"/>
                <w:szCs w:val="48"/>
                <w:highlight w:val="none"/>
                <w:lang w:val="en-US" w:eastAsia="zh-CN"/>
              </w:rPr>
              <w:t>协作</w:t>
            </w:r>
            <w:r>
              <w:rPr>
                <w:rFonts w:hint="eastAsia" w:eastAsia="黑体"/>
                <w:bCs/>
                <w:color w:val="auto"/>
                <w:sz w:val="32"/>
                <w:szCs w:val="48"/>
                <w:highlight w:val="none"/>
              </w:rPr>
              <w:t>工程</w:t>
            </w:r>
          </w:p>
        </w:tc>
      </w:tr>
      <w:tr w14:paraId="08A4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trPr>
        <w:tc>
          <w:tcPr>
            <w:tcW w:w="8522" w:type="dxa"/>
            <w:vAlign w:val="center"/>
          </w:tcPr>
          <w:p w14:paraId="1E112735">
            <w:pPr>
              <w:spacing w:line="360" w:lineRule="auto"/>
              <w:ind w:left="16" w:hanging="16" w:hangingChars="5"/>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推进</w:t>
            </w:r>
            <w:r>
              <w:rPr>
                <w:rFonts w:hint="eastAsia" w:ascii="Times New Roman" w:hAnsi="Times New Roman" w:eastAsia="仿宋_GB2312" w:cs="Times New Roman"/>
                <w:b w:val="0"/>
                <w:bCs w:val="0"/>
                <w:color w:val="auto"/>
                <w:sz w:val="32"/>
                <w:szCs w:val="32"/>
                <w:highlight w:val="none"/>
                <w:lang w:eastAsia="zh-CN"/>
              </w:rPr>
              <w:t>师市医疗</w:t>
            </w:r>
            <w:r>
              <w:rPr>
                <w:rFonts w:hint="eastAsia" w:ascii="Times New Roman" w:hAnsi="Times New Roman" w:eastAsia="仿宋_GB2312" w:cs="Times New Roman"/>
                <w:b w:val="0"/>
                <w:bCs w:val="0"/>
                <w:color w:val="auto"/>
                <w:sz w:val="32"/>
                <w:szCs w:val="32"/>
                <w:highlight w:val="none"/>
                <w:lang w:val="en-US" w:eastAsia="zh-CN"/>
              </w:rPr>
              <w:t>卫生</w:t>
            </w:r>
            <w:r>
              <w:rPr>
                <w:rFonts w:hint="eastAsia" w:ascii="Times New Roman" w:hAnsi="Times New Roman" w:eastAsia="仿宋_GB2312" w:cs="Times New Roman"/>
                <w:b w:val="0"/>
                <w:bCs w:val="0"/>
                <w:color w:val="auto"/>
                <w:sz w:val="32"/>
                <w:szCs w:val="32"/>
                <w:highlight w:val="none"/>
                <w:lang w:eastAsia="zh-CN"/>
              </w:rPr>
              <w:t>机构与援疆省市“一对一”精准结对</w:t>
            </w:r>
            <w:r>
              <w:rPr>
                <w:rFonts w:hint="eastAsia" w:ascii="Times New Roman" w:hAnsi="Times New Roman" w:eastAsia="仿宋_GB2312" w:cs="Times New Roman"/>
                <w:color w:val="auto"/>
                <w:sz w:val="32"/>
                <w:szCs w:val="32"/>
                <w:highlight w:val="none"/>
                <w:lang w:eastAsia="zh-CN"/>
              </w:rPr>
              <w:t>。</w:t>
            </w:r>
          </w:p>
          <w:p w14:paraId="52A4C1BC">
            <w:pPr>
              <w:spacing w:line="360" w:lineRule="auto"/>
              <w:ind w:left="16" w:hanging="16" w:hangingChars="5"/>
              <w:rPr>
                <w:rFonts w:hint="eastAsia" w:ascii="Times New Roman" w:hAnsi="Times New Roman" w:eastAsia="仿宋_GB2312" w:cs="Times New Roman"/>
                <w:b w:val="0"/>
                <w:bCs w:val="0"/>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.借助援疆省市优势学科资源，</w:t>
            </w:r>
            <w:r>
              <w:rPr>
                <w:rFonts w:hint="eastAsia" w:ascii="Times New Roman" w:hAnsi="Times New Roman" w:eastAsia="仿宋_GB2312" w:cs="Times New Roman"/>
                <w:color w:val="auto"/>
                <w:sz w:val="32"/>
                <w:szCs w:val="32"/>
                <w:highlight w:val="none"/>
                <w:lang w:val="en-US" w:eastAsia="zh-CN"/>
              </w:rPr>
              <w:t>提升师市</w:t>
            </w:r>
            <w:r>
              <w:rPr>
                <w:rFonts w:hint="eastAsia" w:ascii="Times New Roman" w:hAnsi="Times New Roman" w:eastAsia="仿宋_GB2312" w:cs="Times New Roman"/>
                <w:color w:val="auto"/>
                <w:sz w:val="32"/>
                <w:szCs w:val="32"/>
                <w:highlight w:val="none"/>
              </w:rPr>
              <w:t>心血管、肿瘤、骨科等核心领域</w:t>
            </w:r>
            <w:r>
              <w:rPr>
                <w:rFonts w:hint="eastAsia" w:ascii="Times New Roman" w:hAnsi="Times New Roman" w:eastAsia="仿宋_GB2312" w:cs="Times New Roman"/>
                <w:color w:val="auto"/>
                <w:sz w:val="32"/>
                <w:szCs w:val="32"/>
                <w:highlight w:val="none"/>
                <w:lang w:val="en-US" w:eastAsia="zh-CN"/>
              </w:rPr>
              <w:t>医疗技术水平</w:t>
            </w:r>
            <w:r>
              <w:rPr>
                <w:rFonts w:hint="eastAsia" w:ascii="Times New Roman" w:hAnsi="Times New Roman" w:eastAsia="仿宋_GB2312" w:cs="Times New Roman"/>
                <w:color w:val="auto"/>
                <w:sz w:val="32"/>
                <w:szCs w:val="32"/>
                <w:highlight w:val="none"/>
              </w:rPr>
              <w:t>，培育一批区域特色专科</w:t>
            </w:r>
            <w:r>
              <w:rPr>
                <w:rFonts w:hint="eastAsia" w:ascii="Times New Roman" w:hAnsi="Times New Roman" w:eastAsia="仿宋_GB2312" w:cs="Times New Roman"/>
                <w:b w:val="0"/>
                <w:bCs w:val="0"/>
                <w:color w:val="auto"/>
                <w:sz w:val="32"/>
                <w:szCs w:val="32"/>
                <w:highlight w:val="none"/>
                <w:lang w:eastAsia="zh-CN"/>
              </w:rPr>
              <w:t>。</w:t>
            </w:r>
          </w:p>
          <w:p w14:paraId="32B042B3">
            <w:pPr>
              <w:spacing w:line="360" w:lineRule="auto"/>
              <w:ind w:left="16" w:hanging="16" w:hangingChars="5"/>
              <w:rPr>
                <w:color w:val="auto"/>
                <w:highlight w:val="none"/>
              </w:rPr>
            </w:pPr>
            <w:r>
              <w:rPr>
                <w:rFonts w:hint="eastAsia"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eastAsia="zh-CN"/>
              </w:rPr>
              <w:t>搭建</w:t>
            </w:r>
            <w:r>
              <w:rPr>
                <w:rFonts w:hint="eastAsia" w:ascii="Times New Roman" w:hAnsi="Times New Roman" w:eastAsia="仿宋_GB2312" w:cs="Times New Roman"/>
                <w:b w:val="0"/>
                <w:bCs w:val="0"/>
                <w:color w:val="auto"/>
                <w:sz w:val="32"/>
                <w:szCs w:val="32"/>
                <w:highlight w:val="none"/>
                <w:lang w:val="en-US" w:eastAsia="zh-CN"/>
              </w:rPr>
              <w:t>与援疆省市医疗机构</w:t>
            </w:r>
            <w:r>
              <w:rPr>
                <w:rFonts w:hint="eastAsia" w:ascii="Times New Roman" w:hAnsi="Times New Roman" w:eastAsia="仿宋_GB2312" w:cs="Times New Roman"/>
                <w:b w:val="0"/>
                <w:bCs w:val="0"/>
                <w:color w:val="auto"/>
                <w:sz w:val="32"/>
                <w:szCs w:val="32"/>
                <w:highlight w:val="none"/>
                <w:lang w:eastAsia="zh-CN"/>
              </w:rPr>
              <w:t>跨区域远程医疗协作</w:t>
            </w:r>
            <w:r>
              <w:rPr>
                <w:rFonts w:hint="eastAsia" w:ascii="Times New Roman" w:hAnsi="Times New Roman" w:eastAsia="仿宋_GB2312" w:cs="Times New Roman"/>
                <w:b w:val="0"/>
                <w:bCs w:val="0"/>
                <w:color w:val="auto"/>
                <w:sz w:val="32"/>
                <w:szCs w:val="32"/>
                <w:highlight w:val="none"/>
                <w:lang w:val="en-US" w:eastAsia="zh-CN"/>
              </w:rPr>
              <w:t>网络</w:t>
            </w:r>
            <w:r>
              <w:rPr>
                <w:rFonts w:hint="eastAsia" w:ascii="Times New Roman" w:hAnsi="Times New Roman" w:eastAsia="仿宋_GB2312" w:cs="Times New Roman"/>
                <w:color w:val="auto"/>
                <w:sz w:val="32"/>
                <w:szCs w:val="32"/>
                <w:highlight w:val="none"/>
              </w:rPr>
              <w:t>。</w:t>
            </w:r>
          </w:p>
        </w:tc>
      </w:tr>
    </w:tbl>
    <w:p w14:paraId="6E2CC511">
      <w:pPr>
        <w:keepNext w:val="0"/>
        <w:keepLines w:val="0"/>
        <w:widowControl/>
        <w:suppressLineNumbers w:val="0"/>
        <w:jc w:val="left"/>
        <w:rPr>
          <w:rFonts w:ascii="宋体" w:hAnsi="宋体" w:eastAsia="宋体" w:cs="宋体"/>
          <w:color w:val="auto"/>
          <w:kern w:val="0"/>
          <w:sz w:val="24"/>
          <w:szCs w:val="24"/>
          <w:highlight w:val="none"/>
          <w:lang w:val="en-US" w:eastAsia="zh-CN" w:bidi="ar"/>
        </w:rPr>
      </w:pPr>
    </w:p>
    <w:p w14:paraId="2161D0E9">
      <w:pPr>
        <w:numPr>
          <w:ilvl w:val="0"/>
          <w:numId w:val="3"/>
        </w:numPr>
        <w:spacing w:beforeLines="100" w:afterLines="100" w:line="360" w:lineRule="auto"/>
        <w:jc w:val="center"/>
        <w:outlineLvl w:val="1"/>
        <w:rPr>
          <w:rFonts w:hint="default" w:ascii="黑体" w:hAnsi="黑体" w:eastAsia="黑体" w:cs="黑体"/>
          <w:b/>
          <w:color w:val="auto"/>
          <w:spacing w:val="6"/>
          <w:kern w:val="44"/>
          <w:sz w:val="32"/>
          <w:szCs w:val="60"/>
          <w:highlight w:val="none"/>
          <w:lang w:val="en-US" w:eastAsia="zh-CN"/>
        </w:rPr>
      </w:pPr>
      <w:bookmarkStart w:id="24" w:name="_Toc5784"/>
      <w:r>
        <w:rPr>
          <w:rFonts w:hint="eastAsia" w:ascii="黑体" w:hAnsi="黑体" w:eastAsia="黑体" w:cs="黑体"/>
          <w:b/>
          <w:color w:val="auto"/>
          <w:spacing w:val="6"/>
          <w:kern w:val="44"/>
          <w:sz w:val="32"/>
          <w:szCs w:val="60"/>
          <w:highlight w:val="none"/>
          <w:lang w:val="en-US" w:eastAsia="zh-CN"/>
        </w:rPr>
        <w:t>强化红十字核心职能</w:t>
      </w:r>
      <w:bookmarkEnd w:id="24"/>
    </w:p>
    <w:p w14:paraId="53477D94">
      <w:pPr>
        <w:spacing w:line="360" w:lineRule="auto"/>
        <w:ind w:firstLine="643" w:firstLineChars="200"/>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夯实基层组织基础，激活内生发展动能。</w:t>
      </w:r>
      <w:r>
        <w:rPr>
          <w:rFonts w:hint="default" w:ascii="Times New Roman" w:hAnsi="Times New Roman" w:eastAsia="仿宋_GB2312" w:cs="Times New Roman"/>
          <w:b w:val="0"/>
          <w:bCs w:val="0"/>
          <w:color w:val="auto"/>
          <w:sz w:val="32"/>
          <w:szCs w:val="32"/>
          <w:highlight w:val="none"/>
          <w:lang w:val="en-US" w:eastAsia="zh-CN"/>
        </w:rPr>
        <w:t>持续完善基层组织体系，力争</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年实现团场、街道红十字组织全覆盖，基本建成师、团（镇、街道）两级贯通、全域覆盖的红十字组织网络和公共服务体系。盘活基层阵地资源、激活组织内生动力，常态化开展特色志愿服务，健全政府引导、社会参与的多元筹资机制，持续拓宽公益服务渠道，推动红十字应急服务、人道救助、公益宣传等核心职能在基层落地见效。</w:t>
      </w:r>
    </w:p>
    <w:p w14:paraId="7CA82DAE">
      <w:pPr>
        <w:spacing w:line="360" w:lineRule="auto"/>
        <w:ind w:firstLine="643" w:firstLineChars="200"/>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建强专业骨干队伍，筑牢事业发展根基</w:t>
      </w:r>
      <w:r>
        <w:rPr>
          <w:rFonts w:hint="eastAsia"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持续优化红十字工作力量配置，配齐配强专职工作人员，不断壮大志愿服务队伍，力争注册志愿者规模稳定达到</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人。精准吸纳党员干部、退役军人、医护人员、教师等优质群体充实基层工作力量，按需组建应急救护、人道救助、公益宣传等专业化志愿服务队伍。建立常态化、系统化培训体系，定期开展红十字法律法规、业务规范、应急处置技能等专题培训，全面提升工作人员和志愿者的专业素养、服务质效和实战能力，锻造高素质专业化红十字工作队伍，为师市红十字事业高质量发展筑牢人才支撑。</w:t>
      </w:r>
    </w:p>
    <w:p w14:paraId="38E2F8FF">
      <w:pPr>
        <w:spacing w:line="360" w:lineRule="auto"/>
        <w:ind w:firstLine="643" w:firstLineChars="200"/>
        <w:jc w:val="both"/>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深耕“三救三献”主责主业，提升人道服务综合能力</w:t>
      </w:r>
      <w:r>
        <w:rPr>
          <w:rFonts w:hint="eastAsia"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紧扣红十字“三救三献”核心职能，全方位提升应急保障、人道救助和公益服务能力。抓实应急救援，配备应急物资，深化多部门联动协作，常态化推进应急救护“五进”活动，重点培育</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名以上专业应急救护师资，完成</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名初级红十字救护员培训，全面提升群众自救互救和应急避险能力。稳步推进无偿献血、造血干细胞及人体器官捐献宣传招募与规范管理，弘扬红十字人道博爱精神，营造向善奉献的社会氛围。精准落实人道帮扶举措，建立健全困难群众、重病患者等特殊群体需求动态救助数据库，深耕“大病儿童救助”“红十字博爱送万家”等特色品牌项目，持续拓展扶危济困、助老扶孤等公益服务，大力弘扬“人道、博爱、奉献”的红十字精神。</w:t>
      </w:r>
    </w:p>
    <w:tbl>
      <w:tblPr>
        <w:tblStyle w:val="14"/>
        <w:tblpPr w:leftFromText="180" w:rightFromText="180" w:vertAnchor="text" w:horzAnchor="page" w:tblpX="1805" w:tblpY="309"/>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8E60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522" w:type="dxa"/>
            <w:vAlign w:val="center"/>
          </w:tcPr>
          <w:p w14:paraId="68B4D114">
            <w:pPr>
              <w:adjustRightInd w:val="0"/>
              <w:snapToGrid w:val="0"/>
              <w:spacing w:line="580" w:lineRule="exact"/>
              <w:jc w:val="center"/>
              <w:rPr>
                <w:rFonts w:hint="default" w:eastAsia="黑体"/>
                <w:bCs/>
                <w:color w:val="auto"/>
                <w:sz w:val="32"/>
                <w:szCs w:val="48"/>
                <w:highlight w:val="none"/>
                <w:lang w:val="en-US" w:eastAsia="zh-CN"/>
              </w:rPr>
            </w:pPr>
            <w:r>
              <w:rPr>
                <w:rFonts w:hint="eastAsia" w:eastAsia="黑体"/>
                <w:bCs/>
                <w:color w:val="auto"/>
                <w:sz w:val="32"/>
                <w:szCs w:val="48"/>
                <w:highlight w:val="none"/>
                <w:lang w:eastAsia="zh-CN"/>
              </w:rPr>
              <w:t>专栏</w:t>
            </w:r>
            <w:r>
              <w:rPr>
                <w:rFonts w:hint="eastAsia" w:eastAsia="黑体"/>
                <w:bCs/>
                <w:color w:val="auto"/>
                <w:sz w:val="32"/>
                <w:szCs w:val="48"/>
                <w:highlight w:val="none"/>
                <w:lang w:val="en-US" w:eastAsia="zh-CN"/>
              </w:rPr>
              <w:t>**</w:t>
            </w:r>
            <w:r>
              <w:rPr>
                <w:rFonts w:hint="eastAsia" w:eastAsia="黑体"/>
                <w:bCs/>
                <w:color w:val="auto"/>
                <w:sz w:val="32"/>
                <w:szCs w:val="48"/>
                <w:highlight w:val="none"/>
                <w:lang w:eastAsia="zh-CN"/>
              </w:rPr>
              <w:t xml:space="preserve">  红十字核心职能</w:t>
            </w:r>
            <w:r>
              <w:rPr>
                <w:rFonts w:hint="eastAsia" w:eastAsia="黑体"/>
                <w:bCs/>
                <w:color w:val="auto"/>
                <w:sz w:val="32"/>
                <w:szCs w:val="48"/>
                <w:highlight w:val="none"/>
                <w:lang w:val="en-US" w:eastAsia="zh-CN"/>
              </w:rPr>
              <w:t>强化工程</w:t>
            </w:r>
          </w:p>
        </w:tc>
      </w:tr>
      <w:tr w14:paraId="72278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522" w:type="dxa"/>
            <w:vAlign w:val="center"/>
          </w:tcPr>
          <w:p w14:paraId="1A68A076">
            <w:pPr>
              <w:pStyle w:val="7"/>
              <w:spacing w:line="360" w:lineRule="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*.实现团场、街道红十字组织全覆盖。</w:t>
            </w:r>
          </w:p>
          <w:p w14:paraId="299BF1D9">
            <w:pPr>
              <w:rPr>
                <w:rFonts w:hint="default"/>
                <w:color w:val="auto"/>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常态化推进应急救护“五进”活动</w:t>
            </w:r>
            <w:r>
              <w:rPr>
                <w:rFonts w:hint="eastAsia" w:ascii="Times New Roman" w:hAnsi="Times New Roman" w:eastAsia="仿宋_GB2312" w:cs="Times New Roman"/>
                <w:b w:val="0"/>
                <w:bCs w:val="0"/>
                <w:color w:val="auto"/>
                <w:kern w:val="2"/>
                <w:sz w:val="32"/>
                <w:szCs w:val="32"/>
                <w:highlight w:val="none"/>
                <w:lang w:val="en-US" w:eastAsia="zh-CN" w:bidi="ar-SA"/>
              </w:rPr>
              <w:t>。</w:t>
            </w:r>
          </w:p>
        </w:tc>
      </w:tr>
    </w:tbl>
    <w:p w14:paraId="789292F7">
      <w:pPr>
        <w:spacing w:line="360" w:lineRule="auto"/>
        <w:ind w:firstLine="667"/>
        <w:jc w:val="center"/>
        <w:outlineLvl w:val="0"/>
        <w:rPr>
          <w:rFonts w:hint="eastAsia" w:ascii="黑体" w:hAnsi="黑体" w:eastAsia="黑体" w:cs="黑体"/>
          <w:b/>
          <w:color w:val="auto"/>
          <w:spacing w:val="6"/>
          <w:kern w:val="44"/>
          <w:sz w:val="32"/>
          <w:szCs w:val="60"/>
          <w:highlight w:val="none"/>
        </w:rPr>
      </w:pPr>
    </w:p>
    <w:p w14:paraId="5FC30617">
      <w:pPr>
        <w:spacing w:line="360" w:lineRule="auto"/>
        <w:ind w:left="0" w:leftChars="0" w:firstLine="0" w:firstLineChars="0"/>
        <w:jc w:val="center"/>
        <w:outlineLvl w:val="0"/>
        <w:rPr>
          <w:rFonts w:ascii="黑体" w:hAnsi="黑体" w:eastAsia="黑体" w:cs="黑体"/>
          <w:b/>
          <w:color w:val="auto"/>
          <w:spacing w:val="6"/>
          <w:kern w:val="44"/>
          <w:sz w:val="32"/>
          <w:szCs w:val="60"/>
          <w:highlight w:val="none"/>
        </w:rPr>
      </w:pPr>
      <w:bookmarkStart w:id="25" w:name="_Toc30890"/>
      <w:r>
        <w:rPr>
          <w:rFonts w:hint="eastAsia" w:ascii="黑体" w:hAnsi="黑体" w:eastAsia="黑体" w:cs="黑体"/>
          <w:b/>
          <w:color w:val="auto"/>
          <w:spacing w:val="6"/>
          <w:kern w:val="44"/>
          <w:sz w:val="32"/>
          <w:szCs w:val="60"/>
          <w:highlight w:val="none"/>
        </w:rPr>
        <w:t>第</w:t>
      </w:r>
      <w:r>
        <w:rPr>
          <w:rFonts w:hint="eastAsia" w:ascii="黑体" w:hAnsi="黑体" w:eastAsia="黑体" w:cs="黑体"/>
          <w:b/>
          <w:color w:val="auto"/>
          <w:spacing w:val="6"/>
          <w:kern w:val="44"/>
          <w:sz w:val="32"/>
          <w:szCs w:val="60"/>
          <w:highlight w:val="none"/>
          <w:lang w:val="en-US" w:eastAsia="zh-CN"/>
        </w:rPr>
        <w:t>四</w:t>
      </w:r>
      <w:r>
        <w:rPr>
          <w:rFonts w:hint="eastAsia" w:ascii="黑体" w:hAnsi="黑体" w:eastAsia="黑体" w:cs="黑体"/>
          <w:b/>
          <w:color w:val="auto"/>
          <w:spacing w:val="6"/>
          <w:kern w:val="44"/>
          <w:sz w:val="32"/>
          <w:szCs w:val="60"/>
          <w:highlight w:val="none"/>
        </w:rPr>
        <w:t>章  保障措施</w:t>
      </w:r>
      <w:bookmarkEnd w:id="25"/>
    </w:p>
    <w:p w14:paraId="338D00C2">
      <w:pPr>
        <w:numPr>
          <w:ilvl w:val="0"/>
          <w:numId w:val="8"/>
        </w:numPr>
        <w:spacing w:beforeLines="100" w:afterLines="100" w:line="360" w:lineRule="auto"/>
        <w:ind w:left="0" w:leftChars="0" w:firstLine="0" w:firstLineChars="0"/>
        <w:jc w:val="center"/>
        <w:outlineLvl w:val="1"/>
        <w:rPr>
          <w:rFonts w:ascii="黑体" w:hAnsi="黑体" w:eastAsia="黑体" w:cs="黑体"/>
          <w:b/>
          <w:color w:val="auto"/>
          <w:spacing w:val="6"/>
          <w:kern w:val="44"/>
          <w:sz w:val="32"/>
          <w:szCs w:val="60"/>
          <w:highlight w:val="none"/>
        </w:rPr>
      </w:pPr>
      <w:r>
        <w:rPr>
          <w:rFonts w:hint="eastAsia" w:ascii="黑体" w:hAnsi="黑体" w:eastAsia="黑体" w:cs="黑体"/>
          <w:b/>
          <w:color w:val="auto"/>
          <w:spacing w:val="6"/>
          <w:kern w:val="44"/>
          <w:sz w:val="32"/>
          <w:szCs w:val="60"/>
          <w:highlight w:val="none"/>
        </w:rPr>
        <w:t xml:space="preserve"> </w:t>
      </w:r>
      <w:bookmarkStart w:id="26" w:name="_Toc12927"/>
      <w:r>
        <w:rPr>
          <w:rFonts w:hint="eastAsia" w:ascii="黑体" w:hAnsi="黑体" w:eastAsia="黑体" w:cs="黑体"/>
          <w:b/>
          <w:color w:val="auto"/>
          <w:spacing w:val="6"/>
          <w:kern w:val="44"/>
          <w:sz w:val="32"/>
          <w:szCs w:val="60"/>
          <w:highlight w:val="none"/>
        </w:rPr>
        <w:t>加强组织领导</w:t>
      </w:r>
      <w:bookmarkEnd w:id="26"/>
    </w:p>
    <w:p w14:paraId="5A70F693">
      <w:pPr>
        <w:pStyle w:val="7"/>
        <w:spacing w:line="360" w:lineRule="auto"/>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切实加强对卫生健康事业发展的组织保障，统筹协调规划实施中的重大问题。明确各部门职责分工，建立“党政主导、卫健牵头、部门协同、社会参与”的工作机制，将健康融入所有政策，在制定经济社会政策时同步考虑健康因素。充分发挥爱国卫生运动委员会和健康双河行动推进委员会等议事协调机构作用，定期召开联席会议，研究解决工作推进中的问题。加强基层党组织在卫生健康事业中的战斗堡垒作用，发动工会、共青团、妇联等群团组织和社会力量广泛参与，把各方面积极性引导到规划目标上来。</w:t>
      </w:r>
    </w:p>
    <w:p w14:paraId="1F4D96DA">
      <w:pPr>
        <w:numPr>
          <w:ilvl w:val="0"/>
          <w:numId w:val="8"/>
        </w:numPr>
        <w:spacing w:beforeLines="100" w:afterLines="100" w:line="360" w:lineRule="auto"/>
        <w:ind w:left="0" w:leftChars="0" w:firstLine="0" w:firstLineChars="0"/>
        <w:jc w:val="center"/>
        <w:outlineLvl w:val="1"/>
        <w:rPr>
          <w:rFonts w:ascii="黑体" w:hAnsi="黑体" w:eastAsia="黑体" w:cs="黑体"/>
          <w:b/>
          <w:color w:val="auto"/>
          <w:spacing w:val="6"/>
          <w:kern w:val="44"/>
          <w:sz w:val="32"/>
          <w:szCs w:val="60"/>
          <w:highlight w:val="none"/>
        </w:rPr>
      </w:pPr>
      <w:bookmarkStart w:id="27" w:name="_Toc17361"/>
      <w:r>
        <w:rPr>
          <w:rFonts w:hint="eastAsia" w:ascii="黑体" w:hAnsi="黑体" w:eastAsia="黑体" w:cs="黑体"/>
          <w:b/>
          <w:color w:val="auto"/>
          <w:spacing w:val="6"/>
          <w:kern w:val="44"/>
          <w:sz w:val="32"/>
          <w:szCs w:val="60"/>
          <w:highlight w:val="none"/>
        </w:rPr>
        <w:t>健全政策支持</w:t>
      </w:r>
      <w:bookmarkEnd w:id="27"/>
    </w:p>
    <w:p w14:paraId="1C664A7E">
      <w:pPr>
        <w:pStyle w:val="7"/>
        <w:spacing w:line="360" w:lineRule="auto"/>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完善配套政策措施，为规划实施营造良好环境。将卫生健康事业发展纳入国民经济和社会发展总体规划，以及国土空间规划和财政预算安排，确保与经济社会同步推进。研究制定促进社会办医、医疗人才引进、基层卫生发展、中医药振兴等方面的专项政策，破除制约行业发展的体制机制障碍。落实土地、税收、水电等优惠政策，支持医疗卫生机构基础设施建设和运行。深化“放管服”改革，优化医疗机构和医务人员准入审批服务，激发基层活力。完善医保支付政策，鼓励提供预防保健和慢病管理等健康服务。建立健康影响评估制度，在重大政策、工程项目决策中引入健康评估，确保有利于健康的政策优先落实。加强政策宣传解读，及时总结推广基层创新经验，形成有利于卫生健康事业发展的政策合力。</w:t>
      </w:r>
    </w:p>
    <w:p w14:paraId="4D51A8D4">
      <w:pPr>
        <w:numPr>
          <w:ilvl w:val="0"/>
          <w:numId w:val="8"/>
        </w:numPr>
        <w:spacing w:beforeLines="100" w:afterLines="100" w:line="360" w:lineRule="auto"/>
        <w:ind w:left="0" w:leftChars="0" w:firstLine="0" w:firstLineChars="0"/>
        <w:jc w:val="center"/>
        <w:outlineLvl w:val="1"/>
        <w:rPr>
          <w:rFonts w:ascii="黑体" w:hAnsi="黑体" w:eastAsia="黑体" w:cs="黑体"/>
          <w:b/>
          <w:color w:val="auto"/>
          <w:spacing w:val="6"/>
          <w:kern w:val="44"/>
          <w:sz w:val="32"/>
          <w:szCs w:val="60"/>
          <w:highlight w:val="none"/>
        </w:rPr>
      </w:pPr>
      <w:bookmarkStart w:id="28" w:name="_Toc30366"/>
      <w:r>
        <w:rPr>
          <w:rFonts w:hint="eastAsia" w:ascii="黑体" w:hAnsi="黑体" w:eastAsia="黑体" w:cs="黑体"/>
          <w:b/>
          <w:color w:val="auto"/>
          <w:spacing w:val="6"/>
          <w:kern w:val="44"/>
          <w:sz w:val="32"/>
          <w:szCs w:val="60"/>
          <w:highlight w:val="none"/>
        </w:rPr>
        <w:t>落实多元投入</w:t>
      </w:r>
      <w:bookmarkEnd w:id="28"/>
    </w:p>
    <w:p w14:paraId="11C69333">
      <w:pPr>
        <w:pStyle w:val="7"/>
        <w:spacing w:line="360" w:lineRule="auto"/>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建立多元化、可持续的卫生投入机制，为规划实施提供有力资金保障。政府持续加大对卫生健康领域的财政投入力度，确保财政卫生支出增幅不低于经常性财政收入增幅。优化卫生投入结构，逐步提高公共卫生、基层医疗和中医药领域的投入比重。完善基本公共卫生服务经费保障机制，根据服务项目和人口规模动态调整补助标准。拓宽筹资渠道，鼓励社会资本以多种形式投资医疗健康产业，支持公益慈善组织在疾病预防控制、健康扶贫等方面发挥作用。加强预算管理和绩效评估，确保财政资金用在刀刃上，避免重复建设和资源浪费。通过加大投入和提高资金使用效益，为卫生健康事业发展提供坚实的物质基础。</w:t>
      </w:r>
    </w:p>
    <w:p w14:paraId="2DA25677">
      <w:pPr>
        <w:numPr>
          <w:ilvl w:val="0"/>
          <w:numId w:val="8"/>
        </w:numPr>
        <w:spacing w:beforeLines="100" w:afterLines="100" w:line="360" w:lineRule="auto"/>
        <w:ind w:left="0" w:leftChars="0" w:firstLine="0" w:firstLineChars="0"/>
        <w:jc w:val="center"/>
        <w:outlineLvl w:val="1"/>
        <w:rPr>
          <w:rFonts w:ascii="黑体" w:hAnsi="黑体" w:eastAsia="黑体" w:cs="黑体"/>
          <w:b/>
          <w:color w:val="auto"/>
          <w:spacing w:val="6"/>
          <w:kern w:val="44"/>
          <w:sz w:val="32"/>
          <w:szCs w:val="60"/>
          <w:highlight w:val="none"/>
        </w:rPr>
      </w:pPr>
      <w:bookmarkStart w:id="29" w:name="_Toc93"/>
      <w:r>
        <w:rPr>
          <w:rFonts w:hint="eastAsia" w:ascii="黑体" w:hAnsi="黑体" w:eastAsia="黑体" w:cs="黑体"/>
          <w:b/>
          <w:color w:val="auto"/>
          <w:spacing w:val="6"/>
          <w:kern w:val="44"/>
          <w:sz w:val="32"/>
          <w:szCs w:val="60"/>
          <w:highlight w:val="none"/>
        </w:rPr>
        <w:t>完善监督和评估</w:t>
      </w:r>
      <w:bookmarkEnd w:id="29"/>
    </w:p>
    <w:p w14:paraId="11BE5A24">
      <w:pPr>
        <w:pStyle w:val="7"/>
        <w:spacing w:line="360" w:lineRule="auto"/>
        <w:ind w:firstLine="640" w:firstLineChars="200"/>
        <w:rPr>
          <w:rFonts w:hint="default" w:ascii="Times New Roman" w:hAnsi="Times New Roman" w:eastAsia="仿宋_GB2312" w:cs="Times New Roman"/>
          <w:color w:val="auto"/>
          <w:sz w:val="32"/>
          <w:szCs w:val="32"/>
          <w:highlight w:val="none"/>
          <w:lang w:val="en-US" w:eastAsia="zh-CN"/>
        </w:rPr>
      </w:pPr>
      <w:r>
        <w:rPr>
          <w:rFonts w:ascii="Times New Roman" w:hAnsi="Times New Roman" w:eastAsia="仿宋_GB2312" w:cs="Times New Roman"/>
          <w:color w:val="auto"/>
          <w:sz w:val="32"/>
          <w:szCs w:val="32"/>
          <w:highlight w:val="none"/>
        </w:rPr>
        <w:t>建立健全规划实施的监督考核和评估机制，确保各项任务落地见效。由</w:t>
      </w:r>
      <w:r>
        <w:rPr>
          <w:rFonts w:hint="eastAsia" w:ascii="Times New Roman" w:hAnsi="Times New Roman" w:eastAsia="仿宋_GB2312" w:cs="Times New Roman"/>
          <w:color w:val="auto"/>
          <w:kern w:val="2"/>
          <w:sz w:val="32"/>
          <w:szCs w:val="32"/>
          <w:highlight w:val="none"/>
          <w:lang w:val="en-US" w:eastAsia="zh-CN" w:bidi="ar-SA"/>
        </w:rPr>
        <w:t>师市</w:t>
      </w:r>
      <w:r>
        <w:rPr>
          <w:rFonts w:ascii="Times New Roman" w:hAnsi="Times New Roman" w:eastAsia="仿宋_GB2312" w:cs="Times New Roman"/>
          <w:color w:val="auto"/>
          <w:sz w:val="32"/>
          <w:szCs w:val="32"/>
          <w:highlight w:val="none"/>
        </w:rPr>
        <w:t>卫生健康主管部门牵头，会同有关部门制定规划重点任务分工方案和进度安排，定期调度工作进展。建立规划实施监测指标体系，对主要指标完成情况进行动态监测。开展年度进展报告制度，各责任单位每年向领导小组报告任务落实情况。适时组织开展规划实施中期评估和总结评估，评估结果报师市党委和政府并向社会公布。加强</w:t>
      </w:r>
      <w:r>
        <w:rPr>
          <w:rFonts w:hint="eastAsia" w:ascii="Times New Roman" w:hAnsi="Times New Roman" w:eastAsia="仿宋_GB2312" w:cs="Times New Roman"/>
          <w:color w:val="auto"/>
          <w:sz w:val="32"/>
          <w:szCs w:val="32"/>
          <w:highlight w:val="none"/>
          <w:lang w:eastAsia="zh-CN"/>
        </w:rPr>
        <w:t>人大、政协</w:t>
      </w:r>
      <w:r>
        <w:rPr>
          <w:rFonts w:ascii="Times New Roman" w:hAnsi="Times New Roman" w:eastAsia="仿宋_GB2312" w:cs="Times New Roman"/>
          <w:color w:val="auto"/>
          <w:sz w:val="32"/>
          <w:szCs w:val="32"/>
          <w:highlight w:val="none"/>
        </w:rPr>
        <w:t>和纪检监察对规划落实的监督，确保政府承诺的民生实事落到实处。加强规划实施宣传引导，调动社会公众参与监督的积极性，营造良好舆论氛围。对工作推进有力、成效显著的单位和个人予以表扬奖励；对重视不够、行动迟缓的予以通报批评，并限期整改。通过严格的监督评估，推动规划目标如期实现，切实增强</w:t>
      </w:r>
      <w:r>
        <w:rPr>
          <w:rFonts w:hint="eastAsia" w:ascii="Times New Roman" w:hAnsi="Times New Roman" w:eastAsia="仿宋_GB2312" w:cs="Times New Roman"/>
          <w:color w:val="auto"/>
          <w:sz w:val="32"/>
          <w:szCs w:val="32"/>
          <w:highlight w:val="none"/>
        </w:rPr>
        <w:t>辖区职工</w:t>
      </w:r>
      <w:r>
        <w:rPr>
          <w:rFonts w:ascii="Times New Roman" w:hAnsi="Times New Roman" w:eastAsia="仿宋_GB2312" w:cs="Times New Roman"/>
          <w:color w:val="auto"/>
          <w:sz w:val="32"/>
          <w:szCs w:val="32"/>
          <w:highlight w:val="none"/>
        </w:rPr>
        <w:t>群众对卫生健康发展的获得感和满意度。</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05651A0D-C246-4F6B-B06A-1A818F61D5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7A"/>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embedRegular r:id="rId2" w:fontKey="{7E50E881-8A14-42F8-87DA-96A3357C844A}"/>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3" w:fontKey="{30E31BF2-7459-451E-9B5C-873648C502ED}"/>
  </w:font>
  <w:font w:name="仿宋_GB2312">
    <w:panose1 w:val="02010609030101010101"/>
    <w:charset w:val="86"/>
    <w:family w:val="modern"/>
    <w:pitch w:val="default"/>
    <w:sig w:usb0="00000001" w:usb1="080E0000" w:usb2="00000000" w:usb3="00000000" w:csb0="00040000" w:csb1="00000000"/>
    <w:embedRegular r:id="rId4" w:fontKey="{27D12A16-6E3C-4E0A-9A2B-144D5028A031}"/>
  </w:font>
  <w:font w:name="微软雅黑">
    <w:panose1 w:val="020B0503020204020204"/>
    <w:charset w:val="86"/>
    <w:family w:val="auto"/>
    <w:pitch w:val="default"/>
    <w:sig w:usb0="80000287" w:usb1="2ACF3C50" w:usb2="00000016" w:usb3="00000000" w:csb0="0004001F" w:csb1="00000000"/>
    <w:embedRegular r:id="rId5" w:fontKey="{40515512-F578-4FA6-9FD5-5FD7B2D23115}"/>
  </w:font>
  <w:font w:name="楷体_GB2312">
    <w:panose1 w:val="02010609030101010101"/>
    <w:charset w:val="86"/>
    <w:family w:val="auto"/>
    <w:pitch w:val="default"/>
    <w:sig w:usb0="00000001" w:usb1="080E0000" w:usb2="00000000" w:usb3="00000000" w:csb0="00040000" w:csb1="00000000"/>
    <w:embedRegular r:id="rId6" w:fontKey="{E5875635-BD27-4252-8895-98BE99F5529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1EF37">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0D590C">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0D590C">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5FFAD"/>
    <w:multiLevelType w:val="singleLevel"/>
    <w:tmpl w:val="82D5FFAD"/>
    <w:lvl w:ilvl="0" w:tentative="0">
      <w:start w:val="1"/>
      <w:numFmt w:val="chineseCounting"/>
      <w:suff w:val="space"/>
      <w:lvlText w:val="第%1节"/>
      <w:lvlJc w:val="left"/>
      <w:rPr>
        <w:rFonts w:hint="eastAsia"/>
      </w:rPr>
    </w:lvl>
  </w:abstractNum>
  <w:abstractNum w:abstractNumId="1">
    <w:nsid w:val="FD60DE22"/>
    <w:multiLevelType w:val="singleLevel"/>
    <w:tmpl w:val="FD60DE22"/>
    <w:lvl w:ilvl="0" w:tentative="0">
      <w:start w:val="1"/>
      <w:numFmt w:val="chineseCounting"/>
      <w:suff w:val="space"/>
      <w:lvlText w:val="第%1节"/>
      <w:lvlJc w:val="left"/>
      <w:rPr>
        <w:rFonts w:hint="eastAsia"/>
      </w:rPr>
    </w:lvl>
  </w:abstractNum>
  <w:abstractNum w:abstractNumId="2">
    <w:nsid w:val="0451A8A0"/>
    <w:multiLevelType w:val="singleLevel"/>
    <w:tmpl w:val="0451A8A0"/>
    <w:lvl w:ilvl="0" w:tentative="0">
      <w:start w:val="1"/>
      <w:numFmt w:val="decimal"/>
      <w:lvlText w:val="%1."/>
      <w:lvlJc w:val="left"/>
      <w:pPr>
        <w:tabs>
          <w:tab w:val="left" w:pos="312"/>
        </w:tabs>
      </w:pPr>
      <w:rPr>
        <w:rFonts w:hint="default"/>
        <w:sz w:val="32"/>
        <w:szCs w:val="32"/>
      </w:rPr>
    </w:lvl>
  </w:abstractNum>
  <w:abstractNum w:abstractNumId="3">
    <w:nsid w:val="12D49121"/>
    <w:multiLevelType w:val="singleLevel"/>
    <w:tmpl w:val="12D49121"/>
    <w:lvl w:ilvl="0" w:tentative="0">
      <w:start w:val="1"/>
      <w:numFmt w:val="decimal"/>
      <w:suff w:val="space"/>
      <w:lvlText w:val="%1."/>
      <w:lvlJc w:val="left"/>
    </w:lvl>
  </w:abstractNum>
  <w:abstractNum w:abstractNumId="4">
    <w:nsid w:val="156D4147"/>
    <w:multiLevelType w:val="singleLevel"/>
    <w:tmpl w:val="156D4147"/>
    <w:lvl w:ilvl="0" w:tentative="0">
      <w:start w:val="1"/>
      <w:numFmt w:val="decimal"/>
      <w:lvlText w:val="%1."/>
      <w:lvlJc w:val="left"/>
      <w:pPr>
        <w:tabs>
          <w:tab w:val="left" w:pos="312"/>
        </w:tabs>
      </w:pPr>
      <w:rPr>
        <w:rFonts w:hint="default"/>
        <w:color w:val="auto"/>
      </w:rPr>
    </w:lvl>
  </w:abstractNum>
  <w:abstractNum w:abstractNumId="5">
    <w:nsid w:val="54668A8D"/>
    <w:multiLevelType w:val="singleLevel"/>
    <w:tmpl w:val="54668A8D"/>
    <w:lvl w:ilvl="0" w:tentative="0">
      <w:start w:val="1"/>
      <w:numFmt w:val="decimal"/>
      <w:lvlText w:val="%1."/>
      <w:lvlJc w:val="left"/>
      <w:pPr>
        <w:tabs>
          <w:tab w:val="left" w:pos="312"/>
        </w:tabs>
      </w:pPr>
    </w:lvl>
  </w:abstractNum>
  <w:abstractNum w:abstractNumId="6">
    <w:nsid w:val="60369AF3"/>
    <w:multiLevelType w:val="singleLevel"/>
    <w:tmpl w:val="60369AF3"/>
    <w:lvl w:ilvl="0" w:tentative="0">
      <w:start w:val="1"/>
      <w:numFmt w:val="chineseCounting"/>
      <w:suff w:val="space"/>
      <w:lvlText w:val="第%1节"/>
      <w:lvlJc w:val="left"/>
      <w:rPr>
        <w:rFonts w:hint="eastAsia"/>
      </w:rPr>
    </w:lvl>
  </w:abstractNum>
  <w:abstractNum w:abstractNumId="7">
    <w:nsid w:val="6C1CF392"/>
    <w:multiLevelType w:val="singleLevel"/>
    <w:tmpl w:val="6C1CF392"/>
    <w:lvl w:ilvl="0" w:tentative="0">
      <w:start w:val="1"/>
      <w:numFmt w:val="chineseCounting"/>
      <w:suff w:val="space"/>
      <w:lvlText w:val="第%1节"/>
      <w:lvlJc w:val="left"/>
      <w:rPr>
        <w:rFonts w:hint="eastAsia"/>
      </w:rPr>
    </w:lvl>
  </w:abstractNum>
  <w:num w:numId="1">
    <w:abstractNumId w:val="6"/>
  </w:num>
  <w:num w:numId="2">
    <w:abstractNumId w:val="0"/>
  </w:num>
  <w:num w:numId="3">
    <w:abstractNumId w:val="1"/>
  </w:num>
  <w:num w:numId="4">
    <w:abstractNumId w:val="3"/>
  </w:num>
  <w:num w:numId="5">
    <w:abstractNumId w:val="4"/>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mOTA3ZTE0ZjRkNGU0ZDhiM2NiZGY5Njg4ZGEwYzUifQ=="/>
  </w:docVars>
  <w:rsids>
    <w:rsidRoot w:val="186379A5"/>
    <w:rsid w:val="002F7C5D"/>
    <w:rsid w:val="01561D2D"/>
    <w:rsid w:val="017A2B5E"/>
    <w:rsid w:val="02125282"/>
    <w:rsid w:val="02293F32"/>
    <w:rsid w:val="02F76F90"/>
    <w:rsid w:val="030149D9"/>
    <w:rsid w:val="033A2150"/>
    <w:rsid w:val="048117FE"/>
    <w:rsid w:val="04B14F1D"/>
    <w:rsid w:val="050F63D5"/>
    <w:rsid w:val="05166A15"/>
    <w:rsid w:val="05370E56"/>
    <w:rsid w:val="05D66BE2"/>
    <w:rsid w:val="06994D63"/>
    <w:rsid w:val="06C54CB0"/>
    <w:rsid w:val="07504A8E"/>
    <w:rsid w:val="083D6FFB"/>
    <w:rsid w:val="08BD0334"/>
    <w:rsid w:val="090668DC"/>
    <w:rsid w:val="093E76C7"/>
    <w:rsid w:val="09AB4334"/>
    <w:rsid w:val="09EB137E"/>
    <w:rsid w:val="0A254C81"/>
    <w:rsid w:val="0AC350E8"/>
    <w:rsid w:val="0B6E024A"/>
    <w:rsid w:val="0BB377CC"/>
    <w:rsid w:val="0CD6715B"/>
    <w:rsid w:val="0D13116D"/>
    <w:rsid w:val="0DB84BA2"/>
    <w:rsid w:val="0DC857B1"/>
    <w:rsid w:val="0DD16A15"/>
    <w:rsid w:val="0DEB0B56"/>
    <w:rsid w:val="0DF53A68"/>
    <w:rsid w:val="0E8721A0"/>
    <w:rsid w:val="0EA802C8"/>
    <w:rsid w:val="0EFB3F5D"/>
    <w:rsid w:val="0FB72B2C"/>
    <w:rsid w:val="10050441"/>
    <w:rsid w:val="108922D4"/>
    <w:rsid w:val="10A67900"/>
    <w:rsid w:val="111725AC"/>
    <w:rsid w:val="115354E3"/>
    <w:rsid w:val="11572614"/>
    <w:rsid w:val="11B52D8B"/>
    <w:rsid w:val="126056F0"/>
    <w:rsid w:val="12A35FC9"/>
    <w:rsid w:val="12DE46E5"/>
    <w:rsid w:val="12F61533"/>
    <w:rsid w:val="13C43A4B"/>
    <w:rsid w:val="13FA0F31"/>
    <w:rsid w:val="147F2942"/>
    <w:rsid w:val="14B01E5C"/>
    <w:rsid w:val="14BB62BC"/>
    <w:rsid w:val="14E86739"/>
    <w:rsid w:val="154716B1"/>
    <w:rsid w:val="1576076C"/>
    <w:rsid w:val="15AB431C"/>
    <w:rsid w:val="15DF0850"/>
    <w:rsid w:val="172B6FA2"/>
    <w:rsid w:val="18296FFA"/>
    <w:rsid w:val="186379A5"/>
    <w:rsid w:val="18CB585A"/>
    <w:rsid w:val="19597164"/>
    <w:rsid w:val="199D3AE2"/>
    <w:rsid w:val="19B5301F"/>
    <w:rsid w:val="19CF7EC7"/>
    <w:rsid w:val="1AAC0209"/>
    <w:rsid w:val="1B206AFF"/>
    <w:rsid w:val="1B4346C9"/>
    <w:rsid w:val="1B5A636A"/>
    <w:rsid w:val="1B612DA1"/>
    <w:rsid w:val="1B704071"/>
    <w:rsid w:val="1C93342E"/>
    <w:rsid w:val="1D671466"/>
    <w:rsid w:val="1E095AED"/>
    <w:rsid w:val="1E2307E2"/>
    <w:rsid w:val="1EB41B08"/>
    <w:rsid w:val="1EDD4203"/>
    <w:rsid w:val="1F7D3F22"/>
    <w:rsid w:val="1FA157CF"/>
    <w:rsid w:val="1FB0517C"/>
    <w:rsid w:val="1FD004F5"/>
    <w:rsid w:val="2031241C"/>
    <w:rsid w:val="203E486F"/>
    <w:rsid w:val="205B4045"/>
    <w:rsid w:val="209F1F5A"/>
    <w:rsid w:val="20F956A3"/>
    <w:rsid w:val="215711D0"/>
    <w:rsid w:val="22066002"/>
    <w:rsid w:val="221C689D"/>
    <w:rsid w:val="2249268A"/>
    <w:rsid w:val="233D77F4"/>
    <w:rsid w:val="23521C49"/>
    <w:rsid w:val="23A91789"/>
    <w:rsid w:val="23D9206E"/>
    <w:rsid w:val="2453393F"/>
    <w:rsid w:val="2461579D"/>
    <w:rsid w:val="24F627AC"/>
    <w:rsid w:val="25BB47EF"/>
    <w:rsid w:val="25D03739"/>
    <w:rsid w:val="25D972BF"/>
    <w:rsid w:val="265A6375"/>
    <w:rsid w:val="266D6A9E"/>
    <w:rsid w:val="268F67F9"/>
    <w:rsid w:val="26CF59AB"/>
    <w:rsid w:val="26E41E89"/>
    <w:rsid w:val="26EE59E0"/>
    <w:rsid w:val="27004514"/>
    <w:rsid w:val="278542BB"/>
    <w:rsid w:val="278B041B"/>
    <w:rsid w:val="27B70919"/>
    <w:rsid w:val="28A2355E"/>
    <w:rsid w:val="294C0C84"/>
    <w:rsid w:val="29872D04"/>
    <w:rsid w:val="29DE3D0C"/>
    <w:rsid w:val="29F02501"/>
    <w:rsid w:val="2A685EFA"/>
    <w:rsid w:val="2A6F3102"/>
    <w:rsid w:val="2B3F74DE"/>
    <w:rsid w:val="2B41674B"/>
    <w:rsid w:val="2CCB2770"/>
    <w:rsid w:val="2D5B3A91"/>
    <w:rsid w:val="2D7828F8"/>
    <w:rsid w:val="2DBF2F11"/>
    <w:rsid w:val="2E76670C"/>
    <w:rsid w:val="2F5145FC"/>
    <w:rsid w:val="2FAB6FA5"/>
    <w:rsid w:val="2FBE1379"/>
    <w:rsid w:val="2FFD70E5"/>
    <w:rsid w:val="30F027A5"/>
    <w:rsid w:val="31450A35"/>
    <w:rsid w:val="314A7761"/>
    <w:rsid w:val="32075C1D"/>
    <w:rsid w:val="32A77884"/>
    <w:rsid w:val="32FA54CA"/>
    <w:rsid w:val="330B3F60"/>
    <w:rsid w:val="33267DFA"/>
    <w:rsid w:val="34580D8D"/>
    <w:rsid w:val="34B60429"/>
    <w:rsid w:val="34C60CFA"/>
    <w:rsid w:val="34DB4AAA"/>
    <w:rsid w:val="34E6798C"/>
    <w:rsid w:val="34FA0397"/>
    <w:rsid w:val="35166335"/>
    <w:rsid w:val="354F1F48"/>
    <w:rsid w:val="35617062"/>
    <w:rsid w:val="36346A47"/>
    <w:rsid w:val="36463673"/>
    <w:rsid w:val="36590DED"/>
    <w:rsid w:val="373F0576"/>
    <w:rsid w:val="37587B3D"/>
    <w:rsid w:val="37873738"/>
    <w:rsid w:val="37B037CE"/>
    <w:rsid w:val="37DE44CE"/>
    <w:rsid w:val="381C311D"/>
    <w:rsid w:val="385D62E1"/>
    <w:rsid w:val="38FE486E"/>
    <w:rsid w:val="39246F12"/>
    <w:rsid w:val="39563E6C"/>
    <w:rsid w:val="39725D37"/>
    <w:rsid w:val="39C40C73"/>
    <w:rsid w:val="3A0A7835"/>
    <w:rsid w:val="3A3758E9"/>
    <w:rsid w:val="3A9551FB"/>
    <w:rsid w:val="3AB22DD9"/>
    <w:rsid w:val="3AD47419"/>
    <w:rsid w:val="3AD71B60"/>
    <w:rsid w:val="3B011F11"/>
    <w:rsid w:val="3B0F1416"/>
    <w:rsid w:val="3B20637D"/>
    <w:rsid w:val="3C126670"/>
    <w:rsid w:val="3C4275B2"/>
    <w:rsid w:val="3CFA0A80"/>
    <w:rsid w:val="3D8305DD"/>
    <w:rsid w:val="3D9D1F07"/>
    <w:rsid w:val="3DEE5CFD"/>
    <w:rsid w:val="3DF05182"/>
    <w:rsid w:val="3DFF227A"/>
    <w:rsid w:val="3E56604B"/>
    <w:rsid w:val="3EA96884"/>
    <w:rsid w:val="3F3C2E98"/>
    <w:rsid w:val="3F483BB0"/>
    <w:rsid w:val="3F4E7094"/>
    <w:rsid w:val="3FB6105E"/>
    <w:rsid w:val="3FCF3ECE"/>
    <w:rsid w:val="402B55A8"/>
    <w:rsid w:val="402E4FF6"/>
    <w:rsid w:val="40E947C5"/>
    <w:rsid w:val="411502A2"/>
    <w:rsid w:val="41DE297F"/>
    <w:rsid w:val="42002A64"/>
    <w:rsid w:val="42030DE9"/>
    <w:rsid w:val="426128AD"/>
    <w:rsid w:val="433C5E3D"/>
    <w:rsid w:val="444C4836"/>
    <w:rsid w:val="44EC0F3D"/>
    <w:rsid w:val="4523005F"/>
    <w:rsid w:val="45292F26"/>
    <w:rsid w:val="453C2005"/>
    <w:rsid w:val="461567E1"/>
    <w:rsid w:val="46405FA5"/>
    <w:rsid w:val="464E783B"/>
    <w:rsid w:val="465A4E85"/>
    <w:rsid w:val="465B295F"/>
    <w:rsid w:val="468C0D6B"/>
    <w:rsid w:val="46C81799"/>
    <w:rsid w:val="46FD7572"/>
    <w:rsid w:val="470D2223"/>
    <w:rsid w:val="4723738D"/>
    <w:rsid w:val="47775577"/>
    <w:rsid w:val="482A25E9"/>
    <w:rsid w:val="48CE2AA5"/>
    <w:rsid w:val="48F409DE"/>
    <w:rsid w:val="4902630D"/>
    <w:rsid w:val="496B110B"/>
    <w:rsid w:val="49F37E4F"/>
    <w:rsid w:val="4A0D314C"/>
    <w:rsid w:val="4A292A70"/>
    <w:rsid w:val="4A3512CC"/>
    <w:rsid w:val="4A3A2589"/>
    <w:rsid w:val="4A914926"/>
    <w:rsid w:val="4AB464C1"/>
    <w:rsid w:val="4AB639F5"/>
    <w:rsid w:val="4B033732"/>
    <w:rsid w:val="4B08477A"/>
    <w:rsid w:val="4B404C9B"/>
    <w:rsid w:val="4B850674"/>
    <w:rsid w:val="4B866896"/>
    <w:rsid w:val="4B9A2A2C"/>
    <w:rsid w:val="4C20600F"/>
    <w:rsid w:val="4C667A6D"/>
    <w:rsid w:val="4CF42AC0"/>
    <w:rsid w:val="4E3F6C7A"/>
    <w:rsid w:val="4E437F61"/>
    <w:rsid w:val="4E802D22"/>
    <w:rsid w:val="4EEC58C8"/>
    <w:rsid w:val="4F3C61F7"/>
    <w:rsid w:val="4F797E29"/>
    <w:rsid w:val="4FAA727E"/>
    <w:rsid w:val="4FAC7407"/>
    <w:rsid w:val="4FE66833"/>
    <w:rsid w:val="50980A97"/>
    <w:rsid w:val="50B82E88"/>
    <w:rsid w:val="50ED7854"/>
    <w:rsid w:val="51660F42"/>
    <w:rsid w:val="518B234A"/>
    <w:rsid w:val="520D5BFF"/>
    <w:rsid w:val="52124AD1"/>
    <w:rsid w:val="52304DEC"/>
    <w:rsid w:val="52471F64"/>
    <w:rsid w:val="525E180D"/>
    <w:rsid w:val="52BC0F07"/>
    <w:rsid w:val="53210238"/>
    <w:rsid w:val="53254E69"/>
    <w:rsid w:val="544B754F"/>
    <w:rsid w:val="544C3B39"/>
    <w:rsid w:val="54A53299"/>
    <w:rsid w:val="54AA1425"/>
    <w:rsid w:val="54B95421"/>
    <w:rsid w:val="54F447E9"/>
    <w:rsid w:val="55357A15"/>
    <w:rsid w:val="556E6A57"/>
    <w:rsid w:val="5591338B"/>
    <w:rsid w:val="55AA4D69"/>
    <w:rsid w:val="55D54B6A"/>
    <w:rsid w:val="5661108B"/>
    <w:rsid w:val="56F14886"/>
    <w:rsid w:val="56F67A99"/>
    <w:rsid w:val="56FB3ACE"/>
    <w:rsid w:val="588A1B09"/>
    <w:rsid w:val="58C61EBA"/>
    <w:rsid w:val="59A05075"/>
    <w:rsid w:val="59DC1A0A"/>
    <w:rsid w:val="5A1530F9"/>
    <w:rsid w:val="5A1804F3"/>
    <w:rsid w:val="5A976DF5"/>
    <w:rsid w:val="5AB80B28"/>
    <w:rsid w:val="5AE42ACB"/>
    <w:rsid w:val="5B2E481C"/>
    <w:rsid w:val="5B90055D"/>
    <w:rsid w:val="5BE059A9"/>
    <w:rsid w:val="5CCC3817"/>
    <w:rsid w:val="5D7E2D63"/>
    <w:rsid w:val="5D942587"/>
    <w:rsid w:val="5DDA20E8"/>
    <w:rsid w:val="5E032CC8"/>
    <w:rsid w:val="5ED0067D"/>
    <w:rsid w:val="5F4A53DD"/>
    <w:rsid w:val="5FBD5FF8"/>
    <w:rsid w:val="5FCA06C3"/>
    <w:rsid w:val="6010799F"/>
    <w:rsid w:val="606F214A"/>
    <w:rsid w:val="61273B37"/>
    <w:rsid w:val="61715801"/>
    <w:rsid w:val="618D7C2F"/>
    <w:rsid w:val="61A41D3E"/>
    <w:rsid w:val="61CA1A26"/>
    <w:rsid w:val="6220258A"/>
    <w:rsid w:val="626956DF"/>
    <w:rsid w:val="636D667E"/>
    <w:rsid w:val="6408782B"/>
    <w:rsid w:val="641E46F9"/>
    <w:rsid w:val="64367613"/>
    <w:rsid w:val="645F101E"/>
    <w:rsid w:val="64655A6D"/>
    <w:rsid w:val="64731FA6"/>
    <w:rsid w:val="64925EC1"/>
    <w:rsid w:val="64A8387F"/>
    <w:rsid w:val="64E5191A"/>
    <w:rsid w:val="64F87A88"/>
    <w:rsid w:val="65052950"/>
    <w:rsid w:val="65AD31D3"/>
    <w:rsid w:val="65ED27DB"/>
    <w:rsid w:val="663F32AC"/>
    <w:rsid w:val="66700961"/>
    <w:rsid w:val="667677C7"/>
    <w:rsid w:val="66EF5709"/>
    <w:rsid w:val="670562A3"/>
    <w:rsid w:val="671D651E"/>
    <w:rsid w:val="67287CA8"/>
    <w:rsid w:val="680A047E"/>
    <w:rsid w:val="683A2C65"/>
    <w:rsid w:val="68BA4E6C"/>
    <w:rsid w:val="68E90AAC"/>
    <w:rsid w:val="69B47B0D"/>
    <w:rsid w:val="69E212C9"/>
    <w:rsid w:val="6A4C406A"/>
    <w:rsid w:val="6A847FEF"/>
    <w:rsid w:val="6AC70653"/>
    <w:rsid w:val="6B2E4BA8"/>
    <w:rsid w:val="6B306C1C"/>
    <w:rsid w:val="6BB113D2"/>
    <w:rsid w:val="6C30112B"/>
    <w:rsid w:val="6C955B85"/>
    <w:rsid w:val="6C9A33EA"/>
    <w:rsid w:val="6CE73757"/>
    <w:rsid w:val="6E423939"/>
    <w:rsid w:val="6E95617E"/>
    <w:rsid w:val="6F077A85"/>
    <w:rsid w:val="6F2E492E"/>
    <w:rsid w:val="6F79782E"/>
    <w:rsid w:val="6F975F07"/>
    <w:rsid w:val="702D60AF"/>
    <w:rsid w:val="70343755"/>
    <w:rsid w:val="724707A0"/>
    <w:rsid w:val="7315161C"/>
    <w:rsid w:val="73C451D5"/>
    <w:rsid w:val="73D814AC"/>
    <w:rsid w:val="740864CE"/>
    <w:rsid w:val="747B74EE"/>
    <w:rsid w:val="748A6785"/>
    <w:rsid w:val="75363671"/>
    <w:rsid w:val="75504B8E"/>
    <w:rsid w:val="75B44500"/>
    <w:rsid w:val="75B657A3"/>
    <w:rsid w:val="75F1661A"/>
    <w:rsid w:val="76145C7A"/>
    <w:rsid w:val="773E7BB3"/>
    <w:rsid w:val="776D5ECB"/>
    <w:rsid w:val="79414B61"/>
    <w:rsid w:val="79A61220"/>
    <w:rsid w:val="7A7D71F8"/>
    <w:rsid w:val="7B116B6D"/>
    <w:rsid w:val="7B6B0126"/>
    <w:rsid w:val="7B6C38A4"/>
    <w:rsid w:val="7BA33E4A"/>
    <w:rsid w:val="7BF47B09"/>
    <w:rsid w:val="7C6A5B2D"/>
    <w:rsid w:val="7C934907"/>
    <w:rsid w:val="7CEE0A31"/>
    <w:rsid w:val="7E0935CE"/>
    <w:rsid w:val="7F3A3295"/>
    <w:rsid w:val="7FA36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Indent"/>
    <w:basedOn w:val="1"/>
    <w:qFormat/>
    <w:uiPriority w:val="0"/>
    <w:pPr>
      <w:spacing w:line="360" w:lineRule="auto"/>
      <w:ind w:firstLine="640" w:firstLineChars="200"/>
    </w:pPr>
    <w:rPr>
      <w:rFonts w:ascii="Calibri" w:hAnsi="Calibri" w:eastAsia="方正仿宋_GB2312" w:cs="Calibri"/>
      <w:sz w:val="24"/>
      <w:szCs w:val="24"/>
    </w:rPr>
  </w:style>
  <w:style w:type="paragraph" w:styleId="7">
    <w:name w:val="Body Text Indent 2"/>
    <w:basedOn w:val="1"/>
    <w:next w:val="1"/>
    <w:qFormat/>
    <w:uiPriority w:val="0"/>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tabs>
        <w:tab w:val="center" w:pos="4153"/>
        <w:tab w:val="right" w:pos="8306"/>
      </w:tabs>
      <w:snapToGrid w:val="0"/>
      <w:jc w:val="center"/>
    </w:pPr>
    <w:rPr>
      <w:sz w:val="18"/>
      <w:szCs w:val="18"/>
    </w:rPr>
  </w:style>
  <w:style w:type="paragraph" w:styleId="10">
    <w:name w:val="toc 1"/>
    <w:basedOn w:val="1"/>
    <w:next w:val="1"/>
    <w:qFormat/>
    <w:uiPriority w:val="39"/>
    <w:pPr>
      <w:tabs>
        <w:tab w:val="right" w:leader="dot" w:pos="8296"/>
      </w:tabs>
      <w:spacing w:line="480" w:lineRule="auto"/>
    </w:pPr>
  </w:style>
  <w:style w:type="paragraph" w:styleId="11">
    <w:name w:val="toc 2"/>
    <w:basedOn w:val="1"/>
    <w:next w:val="1"/>
    <w:qFormat/>
    <w:uiPriority w:val="39"/>
    <w:pPr>
      <w:ind w:left="420" w:leftChars="200"/>
    </w:pPr>
  </w:style>
  <w:style w:type="paragraph" w:styleId="12">
    <w:name w:val="Normal (Web)"/>
    <w:basedOn w:val="1"/>
    <w:qFormat/>
    <w:uiPriority w:val="99"/>
    <w:pPr>
      <w:spacing w:beforeAutospacing="1" w:afterAutospacing="1"/>
      <w:jc w:val="left"/>
    </w:pPr>
    <w:rPr>
      <w:rFonts w:cs="Times New Roman"/>
      <w:kern w:val="0"/>
      <w:sz w:val="24"/>
    </w:rPr>
  </w:style>
  <w:style w:type="paragraph" w:styleId="13">
    <w:name w:val="Body Text First Indent 2"/>
    <w:basedOn w:val="6"/>
    <w:qFormat/>
    <w:uiPriority w:val="0"/>
    <w:pPr>
      <w:ind w:firstLine="420" w:firstLineChars="200"/>
    </w:pPr>
    <w:rPr>
      <w:rFonts w:ascii="Calibri" w:hAnsi="Calibri" w:eastAsia="宋体" w:cs="Times New Roman"/>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54A1" w:themeColor="accent1" w:themeShade="BF"/>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9cd62a93-7d38-469b-87f5-6e25e553c9c6</errorID>
      <errorWord>0-6岁</errorWord>
      <group>L1_Punc</group>
      <groupName>标点问题</groupName>
      <ability>L2_Punc_CN</ability>
      <abilityName/>
      <candidateList>
        <item>0—6岁</item>
      </candidateList>
      <explain/>
      <paraID>318D5BBB</paraID>
      <start>511</start>
      <end>515</end>
      <status>unmodified</status>
      <modifiedWord/>
      <trackRevisions>false</trackRevisions>
    </reviewItem>
    <reviewItem>
      <errorID>91a4cd2d-0642-49be-8f03-9d48845b4057</errorID>
      <errorWord>了</errorWord>
      <group>L1_Word</group>
      <groupName>字词问题</groupName>
      <ability>L2_Typo</ability>
      <abilityName>字词错误</abilityName>
      <candidateList>
        <item>了第</item>
      </candidateList>
      <explain/>
      <paraID>53F0071D</paraID>
      <start>64</start>
      <end>65</end>
      <status>unmodified</status>
      <modifiedWord/>
      <trackRevisions>false</trackRevisions>
    </reviewItem>
    <reviewItem>
      <errorID>00f3e875-13fd-4146-a9e6-48fe74d5c879</errorID>
      <errorWord>&gt;</errorWord>
      <group>L1_Punc</group>
      <groupName>标点问题</groupName>
      <ability>L2_Punc_CN</ability>
      <abilityName/>
      <candidateList/>
      <explain/>
      <paraID> CB071A1</paraID>
      <start>0</start>
      <end>1</end>
      <status>unmodified</status>
      <modifiedWord/>
      <trackRevisions>false</trackRevisions>
    </reviewItem>
    <reviewItem>
      <errorID>fa805331-da31-420b-b9af-e29d607e3407</errorID>
      <errorWord>＞</errorWord>
      <group>L1_Format</group>
      <groupName>格式问题</groupName>
      <ability>L2_HalfPunc_CN</ability>
      <abilityName/>
      <candidateList>
        <item>&gt;</item>
      </candidateList>
      <explain>文本全半角错误。</explain>
      <paraID>137C897C</paraID>
      <start>0</start>
      <end>1</end>
      <status>unmodified</status>
      <modifiedWord/>
      <trackRevisions>false</trackRevisions>
    </reviewItem>
    <reviewItem>
      <errorID>9e7745c2-3527-4cdc-9446-dc332271f6b3</errorID>
      <errorWord>紧密型师域医共体建设</errorWord>
      <group>L1_Political</group>
      <groupName>政治性问题</groupName>
      <ability>L2_Keyword</ability>
      <abilityName>固定表述</abilityName>
      <candidateList>
        <item>紧密型县域医共体建设</item>
      </candidateList>
      <explain>词汇“紧密型县域医共体建设”在特定场景下为固定表述形式，请确认此处的“紧密型师域医共体建设”是否存在不当。</explain>
      <paraID>176ACC83</paraID>
      <start>107</start>
      <end>117</end>
      <status>unmodified</status>
      <modifiedWord/>
      <trackRevisions>false</trackRevisions>
    </reviewItem>
    <reviewItem>
      <errorID>c79de427-c179-4592-9177-abc065227b50</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176ACC83</paraID>
      <start>496</start>
      <end>497</end>
      <status>unmodified</status>
      <modifiedWord/>
      <trackRevisions>false</trackRevisions>
    </reviewItem>
    <reviewItem>
      <errorID>af2cabb4-2290-4dea-a0a5-6e376c190422</errorID>
      <errorWord>十五五</errorWord>
      <group>L1_Political</group>
      <groupName>政治性问题</groupName>
      <ability>L2_Keyword</ability>
      <abilityName>固定表述</abilityName>
      <candidateList>
        <item>“十五五”</item>
      </candidateList>
      <explain>注意检查当前固定表述标点是否使用规范。</explain>
      <paraID>378EF422</paraID>
      <start>98</start>
      <end>101</end>
      <status>unmodified</status>
      <modifiedWord/>
      <trackRevisions>false</trackRevisions>
    </reviewItem>
    <reviewItem>
      <errorID>c2417d4f-5f5d-4954-9643-68f1f5665ace</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378EF422</paraID>
      <start>171</start>
      <end>172</end>
      <status>unmodified</status>
      <modifiedWord/>
      <trackRevisions>false</trackRevisions>
    </reviewItem>
    <reviewItem>
      <errorID>0756cc27-9873-402f-9e01-82691aa618d5</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378EF422</paraID>
      <start>183</start>
      <end>184</end>
      <status>unmodified</status>
      <modifiedWord/>
      <trackRevisions>false</trackRevisions>
    </reviewItem>
    <reviewItem>
      <errorID>ca0be5ba-b6f4-4e33-8401-a164d8f0dd61</errorID>
      <errorWord>-</errorWord>
      <group>L1_Format</group>
      <groupName>格式问题</groupName>
      <ability>L2_HalfPunc_CN</ability>
      <abilityName/>
      <candidateList>
        <item>－</item>
      </candidateList>
      <explain>文本全半角错误。</explain>
      <paraID>378EF422</paraID>
      <start>268</start>
      <end>269</end>
      <status>unmodified</status>
      <modifiedWord/>
      <trackRevisions>false</trackRevisions>
    </reviewItem>
    <reviewItem>
      <errorID>3de5a7bb-ab99-45ac-a68f-325217442f34</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1CC799F0</paraID>
      <start>21</start>
      <end>22</end>
      <status>unmodified</status>
      <modifiedWord/>
      <trackRevisions>false</trackRevisions>
    </reviewItem>
    <reviewItem>
      <errorID>8b51603b-97a6-45f8-967b-7fa0f82c5def</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1CC799F0</paraID>
      <start>33</start>
      <end>34</end>
      <status>unmodified</status>
      <modifiedWord/>
      <trackRevisions>false</trackRevisions>
    </reviewItem>
    <reviewItem>
      <errorID>8fbcc576-cd8a-4025-8d11-f12a3cc44387</errorID>
      <errorWord>严障</errorWord>
      <group>L1_Word</group>
      <groupName>字词问题</groupName>
      <ability>L2_Typo</ability>
      <abilityName>字词错误</abilityName>
      <candidateList>
        <item>保障</item>
      </candidateList>
      <explain/>
      <paraID>77A51EB5</paraID>
      <start>351</start>
      <end>353</end>
      <status>unmodified</status>
      <modifiedWord/>
      <trackRevisions>false</trackRevisions>
    </reviewItem>
    <reviewItem>
      <errorID>c34e884b-cf57-44f6-bbf6-0fdc894eacd4</errorID>
      <errorWord>症候群</errorWord>
      <group>L1_Word</group>
      <groupName>字词问题</groupName>
      <ability>L2_Typo</ability>
      <abilityName>字词错误</abilityName>
      <candidateList>
        <item>综合征</item>
      </candidateList>
      <explain/>
      <paraID>7BD31E6A</paraID>
      <start>129</start>
      <end>132</end>
      <status>unmodified</status>
      <modifiedWord/>
      <trackRevisions>false</trackRevisions>
    </reviewItem>
    <reviewItem>
      <errorID>ca313f14-65b4-4424-b868-b304e6353f27</errorID>
      <errorWord>0-6岁</errorWord>
      <group>L1_Punc</group>
      <groupName>标点问题</groupName>
      <ability>L2_Punc_CN</ability>
      <abilityName/>
      <candidateList>
        <item>0—6岁</item>
      </candidateList>
      <explain/>
      <paraID>7A90E7A8</paraID>
      <start>115</start>
      <end>119</end>
      <status>unmodified</status>
      <modifiedWord/>
      <trackRevisions>false</trackRevisions>
    </reviewItem>
    <reviewItem>
      <errorID>f335299b-e673-478e-82e3-ff08ed113294</errorID>
      <errorWord>-</errorWord>
      <group>L1_Format</group>
      <groupName>格式问题</groupName>
      <ability>L2_HalfPunc_CN</ability>
      <abilityName/>
      <candidateList>
        <item>－</item>
      </candidateList>
      <explain>文本全半角错误。</explain>
      <paraID>60D27938</paraID>
      <start>168</start>
      <end>169</end>
      <status>unmodified</status>
      <modifiedWord/>
      <trackRevisions>false</trackRevisions>
    </reviewItem>
    <reviewItem>
      <errorID>33e63d98-7a4c-41d9-9f17-50b88939f4d5</errorID>
      <errorWord>内生发展动能</errorWord>
      <group>L1_Word</group>
      <groupName>字词问题</groupName>
      <ability>L2_Typo</ability>
      <abilityName>字词错误</abilityName>
      <candidateList>
        <item>内生发展动力</item>
      </candidateList>
      <explain/>
      <paraID>53477D94</paraID>
      <start>11</start>
      <end>17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a136e4-6ce1-4957-96d4-5bd7aeb9dfe6}">
  <ds:schemaRefs/>
</ds:datastoreItem>
</file>

<file path=docProps/app.xml><?xml version="1.0" encoding="utf-8"?>
<Properties xmlns="http://schemas.openxmlformats.org/officeDocument/2006/extended-properties" xmlns:vt="http://schemas.openxmlformats.org/officeDocument/2006/docPropsVTypes">
  <Template>Normal.dotm</Template>
  <Pages>51</Pages>
  <Words>9505</Words>
  <Characters>9883</Characters>
  <Lines>0</Lines>
  <Paragraphs>0</Paragraphs>
  <TotalTime>102</TotalTime>
  <ScaleCrop>false</ScaleCrop>
  <LinksUpToDate>false</LinksUpToDate>
  <CharactersWithSpaces>9953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2026-01-06T07:56:00Z</dcterms:created>
  <dc:creator>世界和平</dc:creator>
  <cp:lastModifiedBy>痕迹</cp:lastModifiedBy>
  <cp:lastPrinted>2026-05-18T10:16:00Z</cp:lastPrinted>
  <dcterms:modified xsi:type="dcterms:W3CDTF">2026-07-13T10:37:04Z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F7C6E71D7C66459180F9A2B45AF67166_13</vt:lpwstr>
  </property>
  <property fmtid="{D5CDD505-2E9C-101B-9397-08002B2CF9AE}" pid="4" name="KSOTemplateDocerSaveRecord">
    <vt:lpwstr>eyJoZGlkIjoiYzk1Yzk5YzFhMGMxNzAwZDg3Mjg4YWUwNDU4ZjA2YjIiLCJ1c2VySWQiOiIzODM5NDc1MTcifQ==</vt:lpwstr>
  </property>
</Properties>
</file>