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DAB39">
      <w:pPr>
        <w:spacing w:line="600" w:lineRule="exact"/>
        <w:ind w:firstLine="0" w:firstLineChars="0"/>
        <w:jc w:val="center"/>
        <w:outlineLvl w:val="0"/>
        <w:rPr>
          <w:rFonts w:hint="eastAsia" w:ascii="方正小标宋_GBK" w:hAnsi="方正小标宋_GBK" w:eastAsia="方正小标宋_GBK" w:cs="方正小标宋_GBK"/>
          <w:caps/>
          <w:sz w:val="36"/>
          <w:szCs w:val="36"/>
          <w:lang w:val="en-US" w:eastAsia="zh-CN"/>
        </w:rPr>
      </w:pPr>
      <w:bookmarkStart w:id="0" w:name="_Toc26687"/>
      <w:bookmarkStart w:id="1" w:name="_Toc1186847305"/>
      <w:bookmarkStart w:id="2" w:name="_Toc1656563149"/>
      <w:bookmarkStart w:id="3" w:name="_Toc1208471863"/>
    </w:p>
    <w:p w14:paraId="6CB3237B">
      <w:pPr>
        <w:spacing w:line="600" w:lineRule="exact"/>
        <w:ind w:firstLine="0" w:firstLineChars="0"/>
        <w:jc w:val="center"/>
        <w:outlineLvl w:val="0"/>
        <w:rPr>
          <w:rFonts w:hint="eastAsia" w:ascii="方正小标宋_GBK" w:hAnsi="方正小标宋_GBK" w:eastAsia="方正小标宋_GBK" w:cs="方正小标宋_GBK"/>
          <w:caps/>
          <w:sz w:val="36"/>
          <w:szCs w:val="36"/>
          <w:lang w:val="en-US" w:eastAsia="zh-CN"/>
        </w:rPr>
      </w:pPr>
    </w:p>
    <w:p w14:paraId="21E175E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方正小标宋_GBK" w:cs="Times New Roman"/>
          <w:b/>
          <w:bCs/>
          <w:snapToGrid w:val="0"/>
          <w:color w:val="000000"/>
          <w:kern w:val="0"/>
          <w:sz w:val="52"/>
          <w:szCs w:val="24"/>
          <w:highlight w:val="none"/>
          <w:lang w:val="en-US" w:eastAsia="zh-CN"/>
        </w:rPr>
      </w:pPr>
      <w:r>
        <w:rPr>
          <w:rFonts w:hint="eastAsia" w:ascii="Times New Roman" w:hAnsi="Times New Roman" w:eastAsia="方正小标宋_GBK" w:cs="Times New Roman"/>
          <w:b/>
          <w:bCs/>
          <w:snapToGrid w:val="0"/>
          <w:color w:val="000000"/>
          <w:kern w:val="0"/>
          <w:sz w:val="52"/>
          <w:szCs w:val="24"/>
          <w:highlight w:val="none"/>
          <w:lang w:val="en-US" w:eastAsia="zh-CN"/>
        </w:rPr>
        <w:t>第</w:t>
      </w:r>
      <w:r>
        <w:rPr>
          <w:rFonts w:hint="eastAsia" w:eastAsia="方正小标宋_GBK" w:cs="Times New Roman"/>
          <w:b/>
          <w:bCs/>
          <w:snapToGrid w:val="0"/>
          <w:color w:val="000000"/>
          <w:kern w:val="0"/>
          <w:sz w:val="52"/>
          <w:szCs w:val="24"/>
          <w:highlight w:val="none"/>
          <w:lang w:val="en-US" w:eastAsia="zh-CN"/>
        </w:rPr>
        <w:t>五</w:t>
      </w:r>
      <w:r>
        <w:rPr>
          <w:rFonts w:hint="eastAsia" w:ascii="Times New Roman" w:hAnsi="Times New Roman" w:eastAsia="方正小标宋_GBK" w:cs="Times New Roman"/>
          <w:b/>
          <w:bCs/>
          <w:snapToGrid w:val="0"/>
          <w:color w:val="000000"/>
          <w:kern w:val="0"/>
          <w:sz w:val="52"/>
          <w:szCs w:val="24"/>
          <w:highlight w:val="none"/>
          <w:lang w:val="en-US" w:eastAsia="zh-CN"/>
        </w:rPr>
        <w:t>师</w:t>
      </w:r>
      <w:r>
        <w:rPr>
          <w:rFonts w:hint="eastAsia" w:eastAsia="方正小标宋_GBK" w:cs="Times New Roman"/>
          <w:b/>
          <w:bCs/>
          <w:snapToGrid w:val="0"/>
          <w:color w:val="000000"/>
          <w:kern w:val="0"/>
          <w:sz w:val="52"/>
          <w:szCs w:val="24"/>
          <w:highlight w:val="none"/>
          <w:lang w:val="en-US" w:eastAsia="zh-CN"/>
        </w:rPr>
        <w:t>双河</w:t>
      </w:r>
      <w:r>
        <w:rPr>
          <w:rFonts w:hint="eastAsia" w:ascii="Times New Roman" w:hAnsi="Times New Roman" w:eastAsia="方正小标宋_GBK" w:cs="Times New Roman"/>
          <w:b/>
          <w:bCs/>
          <w:snapToGrid w:val="0"/>
          <w:color w:val="000000"/>
          <w:kern w:val="0"/>
          <w:sz w:val="52"/>
          <w:szCs w:val="24"/>
          <w:highlight w:val="none"/>
          <w:lang w:val="en-US" w:eastAsia="zh-CN"/>
        </w:rPr>
        <w:t>市成品油零售体系</w:t>
      </w:r>
    </w:p>
    <w:p w14:paraId="2B27DE9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方正小标宋_GBK" w:cs="Times New Roman"/>
          <w:b/>
          <w:bCs/>
          <w:snapToGrid w:val="0"/>
          <w:color w:val="000000"/>
          <w:kern w:val="0"/>
          <w:sz w:val="52"/>
          <w:szCs w:val="24"/>
          <w:highlight w:val="none"/>
          <w:lang w:val="en-US" w:eastAsia="zh-CN"/>
        </w:rPr>
      </w:pPr>
      <w:r>
        <w:rPr>
          <w:rFonts w:hint="eastAsia" w:ascii="Times New Roman" w:hAnsi="Times New Roman" w:eastAsia="方正小标宋_GBK" w:cs="Times New Roman"/>
          <w:b/>
          <w:bCs/>
          <w:snapToGrid w:val="0"/>
          <w:color w:val="000000"/>
          <w:kern w:val="0"/>
          <w:sz w:val="52"/>
          <w:szCs w:val="24"/>
          <w:highlight w:val="none"/>
          <w:lang w:val="en-US" w:eastAsia="zh-CN"/>
        </w:rPr>
        <w:t>“十五五”</w:t>
      </w:r>
      <w:bookmarkEnd w:id="0"/>
      <w:bookmarkEnd w:id="1"/>
      <w:bookmarkEnd w:id="2"/>
      <w:bookmarkEnd w:id="3"/>
      <w:r>
        <w:rPr>
          <w:rFonts w:hint="eastAsia" w:ascii="Times New Roman" w:hAnsi="Times New Roman" w:eastAsia="方正小标宋_GBK" w:cs="Times New Roman"/>
          <w:b/>
          <w:bCs/>
          <w:snapToGrid w:val="0"/>
          <w:color w:val="000000"/>
          <w:kern w:val="0"/>
          <w:sz w:val="52"/>
          <w:szCs w:val="24"/>
          <w:highlight w:val="none"/>
          <w:lang w:val="en-US" w:eastAsia="zh-CN"/>
        </w:rPr>
        <w:t>发展规划</w:t>
      </w:r>
    </w:p>
    <w:p w14:paraId="09776E2B">
      <w:pPr>
        <w:autoSpaceDE w:val="0"/>
        <w:autoSpaceDN w:val="0"/>
        <w:adjustRightInd w:val="0"/>
        <w:ind w:firstLine="0" w:firstLineChars="0"/>
        <w:jc w:val="center"/>
        <w:rPr>
          <w:rFonts w:hint="eastAsia" w:ascii="黑体" w:eastAsia="黑体" w:cs="黑体" w:hAnsiTheme="minorHAnsi"/>
          <w:kern w:val="0"/>
          <w:highlight w:val="none"/>
        </w:rPr>
      </w:pPr>
    </w:p>
    <w:p w14:paraId="67E114F6">
      <w:pPr>
        <w:autoSpaceDE w:val="0"/>
        <w:autoSpaceDN w:val="0"/>
        <w:adjustRightInd w:val="0"/>
        <w:ind w:firstLine="0" w:firstLineChars="0"/>
        <w:jc w:val="center"/>
        <w:rPr>
          <w:rFonts w:hint="eastAsia" w:ascii="黑体" w:eastAsia="黑体" w:cs="黑体" w:hAnsiTheme="minorHAnsi"/>
          <w:kern w:val="0"/>
          <w:highlight w:val="none"/>
        </w:rPr>
      </w:pPr>
    </w:p>
    <w:p w14:paraId="4CB748F4">
      <w:pPr>
        <w:autoSpaceDE w:val="0"/>
        <w:autoSpaceDN w:val="0"/>
        <w:adjustRightInd w:val="0"/>
        <w:ind w:firstLine="0" w:firstLineChars="0"/>
        <w:jc w:val="center"/>
        <w:rPr>
          <w:rFonts w:hint="eastAsia" w:ascii="黑体" w:eastAsia="黑体" w:cs="黑体" w:hAnsiTheme="minorHAnsi"/>
          <w:kern w:val="0"/>
          <w:highlight w:val="none"/>
        </w:rPr>
      </w:pPr>
    </w:p>
    <w:p w14:paraId="18ED11B1">
      <w:pPr>
        <w:autoSpaceDE w:val="0"/>
        <w:autoSpaceDN w:val="0"/>
        <w:adjustRightInd w:val="0"/>
        <w:ind w:firstLine="0" w:firstLineChars="0"/>
        <w:jc w:val="center"/>
        <w:rPr>
          <w:rFonts w:hint="eastAsia" w:ascii="黑体" w:eastAsia="黑体" w:cs="黑体" w:hAnsiTheme="minorHAnsi"/>
          <w:kern w:val="0"/>
          <w:highlight w:val="none"/>
        </w:rPr>
      </w:pPr>
    </w:p>
    <w:p w14:paraId="51CB0673">
      <w:pPr>
        <w:autoSpaceDE w:val="0"/>
        <w:autoSpaceDN w:val="0"/>
        <w:adjustRightInd w:val="0"/>
        <w:ind w:firstLine="0" w:firstLineChars="0"/>
        <w:jc w:val="center"/>
        <w:rPr>
          <w:rFonts w:hint="eastAsia" w:ascii="黑体" w:eastAsia="黑体" w:cs="黑体" w:hAnsiTheme="minorHAnsi"/>
          <w:kern w:val="0"/>
          <w:highlight w:val="none"/>
        </w:rPr>
      </w:pPr>
    </w:p>
    <w:p w14:paraId="5AE0BE4C">
      <w:pPr>
        <w:autoSpaceDE w:val="0"/>
        <w:autoSpaceDN w:val="0"/>
        <w:adjustRightInd w:val="0"/>
        <w:ind w:firstLine="0" w:firstLineChars="0"/>
        <w:jc w:val="center"/>
        <w:rPr>
          <w:rFonts w:hint="eastAsia" w:ascii="黑体" w:eastAsia="黑体" w:cs="黑体" w:hAnsiTheme="minorHAnsi"/>
          <w:kern w:val="0"/>
          <w:highlight w:val="none"/>
        </w:rPr>
      </w:pPr>
    </w:p>
    <w:p w14:paraId="09929158">
      <w:pPr>
        <w:autoSpaceDE w:val="0"/>
        <w:autoSpaceDN w:val="0"/>
        <w:adjustRightInd w:val="0"/>
        <w:ind w:firstLine="0" w:firstLineChars="0"/>
        <w:jc w:val="center"/>
        <w:rPr>
          <w:rFonts w:hint="eastAsia" w:ascii="黑体" w:eastAsia="黑体" w:cs="黑体" w:hAnsiTheme="minorHAnsi"/>
          <w:kern w:val="0"/>
          <w:highlight w:val="none"/>
        </w:rPr>
      </w:pPr>
    </w:p>
    <w:p w14:paraId="7C57E887">
      <w:pPr>
        <w:autoSpaceDE w:val="0"/>
        <w:autoSpaceDN w:val="0"/>
        <w:adjustRightInd w:val="0"/>
        <w:ind w:firstLine="0" w:firstLineChars="0"/>
        <w:jc w:val="center"/>
        <w:rPr>
          <w:rFonts w:hint="eastAsia" w:ascii="黑体" w:eastAsia="黑体" w:cs="黑体" w:hAnsiTheme="minorHAnsi"/>
          <w:kern w:val="0"/>
          <w:highlight w:val="none"/>
        </w:rPr>
      </w:pPr>
    </w:p>
    <w:p w14:paraId="08CA91BB">
      <w:pPr>
        <w:autoSpaceDE w:val="0"/>
        <w:autoSpaceDN w:val="0"/>
        <w:adjustRightInd w:val="0"/>
        <w:ind w:firstLine="0" w:firstLineChars="0"/>
        <w:jc w:val="center"/>
        <w:rPr>
          <w:rFonts w:hint="eastAsia" w:ascii="黑体" w:eastAsia="黑体" w:cs="黑体" w:hAnsiTheme="minorHAnsi"/>
          <w:kern w:val="0"/>
          <w:highlight w:val="none"/>
        </w:rPr>
      </w:pPr>
    </w:p>
    <w:p w14:paraId="5030932C">
      <w:pPr>
        <w:autoSpaceDE w:val="0"/>
        <w:autoSpaceDN w:val="0"/>
        <w:adjustRightInd w:val="0"/>
        <w:ind w:firstLine="0" w:firstLineChars="0"/>
        <w:jc w:val="center"/>
        <w:rPr>
          <w:rFonts w:hint="eastAsia" w:ascii="黑体" w:eastAsia="黑体" w:cs="黑体" w:hAnsiTheme="minorHAnsi"/>
          <w:kern w:val="0"/>
          <w:highlight w:val="none"/>
        </w:rPr>
      </w:pPr>
    </w:p>
    <w:p w14:paraId="6A6EF74A">
      <w:pPr>
        <w:autoSpaceDE w:val="0"/>
        <w:autoSpaceDN w:val="0"/>
        <w:adjustRightInd w:val="0"/>
        <w:ind w:firstLine="0" w:firstLineChars="0"/>
        <w:jc w:val="center"/>
        <w:rPr>
          <w:rFonts w:hint="eastAsia" w:ascii="黑体" w:eastAsia="黑体" w:cs="黑体" w:hAnsiTheme="minorHAnsi"/>
          <w:kern w:val="0"/>
          <w:highlight w:val="none"/>
        </w:rPr>
      </w:pPr>
    </w:p>
    <w:p w14:paraId="59F6E5EF">
      <w:pPr>
        <w:pStyle w:val="5"/>
        <w:ind w:left="0" w:leftChars="0" w:firstLine="0" w:firstLineChars="0"/>
        <w:rPr>
          <w:rFonts w:hint="eastAsia"/>
        </w:rPr>
      </w:pPr>
    </w:p>
    <w:p w14:paraId="657554E1">
      <w:pPr>
        <w:pStyle w:val="3"/>
        <w:ind w:left="0" w:leftChars="0" w:firstLineChars="0"/>
        <w:rPr>
          <w:rFonts w:hint="eastAsia"/>
        </w:rPr>
      </w:pPr>
    </w:p>
    <w:p w14:paraId="23A414D0">
      <w:pPr>
        <w:bidi w:val="0"/>
        <w:ind w:left="0" w:leftChars="0" w:firstLine="0" w:firstLineChars="0"/>
        <w:jc w:val="center"/>
        <w:rPr>
          <w:rFonts w:hint="eastAsia" w:ascii="黑体" w:hAnsi="黑体" w:eastAsia="黑体" w:cs="黑体"/>
        </w:rPr>
      </w:pPr>
      <w:r>
        <w:rPr>
          <w:rFonts w:hint="eastAsia" w:ascii="黑体" w:hAnsi="黑体" w:eastAsia="黑体" w:cs="黑体"/>
        </w:rPr>
        <w:t>第</w:t>
      </w:r>
      <w:r>
        <w:rPr>
          <w:rFonts w:hint="eastAsia" w:ascii="黑体" w:hAnsi="黑体" w:eastAsia="黑体" w:cs="黑体"/>
          <w:lang w:val="en-US" w:eastAsia="zh-CN"/>
        </w:rPr>
        <w:t>五</w:t>
      </w:r>
      <w:r>
        <w:rPr>
          <w:rFonts w:hint="eastAsia" w:ascii="黑体" w:hAnsi="黑体" w:eastAsia="黑体" w:cs="黑体"/>
        </w:rPr>
        <w:t>师</w:t>
      </w:r>
      <w:r>
        <w:rPr>
          <w:rFonts w:hint="eastAsia" w:ascii="黑体" w:hAnsi="黑体" w:eastAsia="黑体" w:cs="黑体"/>
          <w:lang w:val="en-US" w:eastAsia="zh-CN"/>
        </w:rPr>
        <w:t>双河市商务</w:t>
      </w:r>
      <w:r>
        <w:rPr>
          <w:rFonts w:hint="eastAsia" w:ascii="黑体" w:hAnsi="黑体" w:eastAsia="黑体" w:cs="黑体"/>
        </w:rPr>
        <w:t>局</w:t>
      </w:r>
    </w:p>
    <w:p w14:paraId="68BF2848">
      <w:pPr>
        <w:bidi w:val="0"/>
        <w:ind w:left="0" w:leftChars="0" w:firstLine="0" w:firstLineChars="0"/>
        <w:jc w:val="center"/>
        <w:rPr>
          <w:rFonts w:ascii="黑体" w:eastAsia="黑体" w:cs="黑体" w:hAnsiTheme="minorHAnsi"/>
          <w:kern w:val="0"/>
          <w:highlight w:val="none"/>
        </w:rPr>
      </w:pPr>
      <w:r>
        <w:rPr>
          <w:rFonts w:hint="eastAsia" w:ascii="黑体" w:hAnsi="黑体" w:eastAsia="黑体" w:cs="黑体"/>
        </w:rPr>
        <w:fldChar w:fldCharType="begin"/>
      </w:r>
      <w:r>
        <w:rPr>
          <w:rFonts w:hint="eastAsia" w:ascii="黑体" w:hAnsi="黑体" w:eastAsia="黑体" w:cs="黑体"/>
        </w:rPr>
        <w:instrText xml:space="preserve"> TIME \@ "EEEE年O月" </w:instrText>
      </w:r>
      <w:r>
        <w:rPr>
          <w:rFonts w:hint="eastAsia" w:ascii="黑体" w:hAnsi="黑体" w:eastAsia="黑体" w:cs="黑体"/>
        </w:rPr>
        <w:fldChar w:fldCharType="separate"/>
      </w:r>
      <w:r>
        <w:rPr>
          <w:rFonts w:hint="eastAsia" w:ascii="黑体" w:hAnsi="黑体" w:eastAsia="黑体" w:cs="黑体"/>
        </w:rPr>
        <w:t>二〇二六年六月</w:t>
      </w:r>
      <w:r>
        <w:rPr>
          <w:rFonts w:hint="eastAsia" w:ascii="黑体" w:hAnsi="黑体" w:eastAsia="黑体" w:cs="黑体"/>
        </w:rPr>
        <w:fldChar w:fldCharType="end"/>
      </w:r>
      <w:r>
        <w:rPr>
          <w:rFonts w:ascii="黑体" w:eastAsia="黑体" w:cs="黑体" w:hAnsiTheme="minorHAnsi"/>
          <w:kern w:val="0"/>
          <w:highlight w:val="none"/>
        </w:rPr>
        <w:br w:type="page"/>
      </w:r>
    </w:p>
    <w:p w14:paraId="2D944564">
      <w:pPr>
        <w:rPr>
          <w:rFonts w:hint="eastAsia"/>
          <w:lang w:val="en-US" w:eastAsia="zh-CN"/>
        </w:rPr>
        <w:sectPr>
          <w:headerReference r:id="rId5" w:type="default"/>
          <w:pgSz w:w="11906" w:h="16838"/>
          <w:pgMar w:top="1440" w:right="1800" w:bottom="1440" w:left="1800" w:header="851" w:footer="992" w:gutter="0"/>
          <w:pgNumType w:fmt="decimal"/>
          <w:cols w:space="425" w:num="1"/>
          <w:titlePg/>
          <w:docGrid w:type="lines" w:linePitch="312" w:charSpace="0"/>
        </w:sectPr>
      </w:pPr>
    </w:p>
    <w:p w14:paraId="77331943">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TOC \o "1-2" \h \u </w:instrText>
      </w:r>
      <w:r>
        <w:rPr>
          <w:rFonts w:hint="eastAsia" w:ascii="仿宋_GB2312" w:hAnsi="仿宋_GB2312" w:eastAsia="仿宋_GB2312" w:cs="仿宋_GB2312"/>
        </w:rPr>
        <w:fldChar w:fldCharType="separate"/>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_Toc4637 </w:instrText>
      </w:r>
      <w:r>
        <w:rPr>
          <w:rFonts w:hint="eastAsia" w:ascii="仿宋_GB2312" w:hAnsi="仿宋_GB2312" w:eastAsia="仿宋_GB2312" w:cs="仿宋_GB2312"/>
        </w:rPr>
        <w:fldChar w:fldCharType="separate"/>
      </w:r>
      <w:r>
        <w:rPr>
          <w:rFonts w:hint="eastAsia"/>
          <w:lang w:val="en-US" w:eastAsia="zh-CN"/>
        </w:rPr>
        <w:t>前 言</w:t>
      </w:r>
      <w:r>
        <w:tab/>
      </w:r>
      <w:r>
        <w:fldChar w:fldCharType="begin"/>
      </w:r>
      <w:r>
        <w:instrText xml:space="preserve"> PAGEREF _Toc4637 \h </w:instrText>
      </w:r>
      <w:r>
        <w:fldChar w:fldCharType="separate"/>
      </w:r>
      <w:r>
        <w:t>1</w:t>
      </w:r>
      <w:r>
        <w:fldChar w:fldCharType="end"/>
      </w:r>
      <w:r>
        <w:rPr>
          <w:rFonts w:hint="eastAsia" w:ascii="仿宋_GB2312" w:hAnsi="仿宋_GB2312" w:eastAsia="仿宋_GB2312" w:cs="仿宋_GB2312"/>
        </w:rPr>
        <w:fldChar w:fldCharType="end"/>
      </w:r>
    </w:p>
    <w:p w14:paraId="0C461E7A">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_Toc1365 </w:instrText>
      </w:r>
      <w:r>
        <w:rPr>
          <w:rFonts w:hint="eastAsia" w:ascii="仿宋_GB2312" w:hAnsi="仿宋_GB2312" w:eastAsia="仿宋_GB2312" w:cs="仿宋_GB2312"/>
        </w:rPr>
        <w:fldChar w:fldCharType="separate"/>
      </w:r>
      <w:r>
        <w:rPr>
          <w:rFonts w:hint="eastAsia"/>
          <w:lang w:val="en-US" w:eastAsia="zh-CN"/>
        </w:rPr>
        <w:t>第一章 概 述</w:t>
      </w:r>
      <w:r>
        <w:tab/>
      </w:r>
      <w:r>
        <w:fldChar w:fldCharType="begin"/>
      </w:r>
      <w:r>
        <w:instrText xml:space="preserve"> PAGEREF _Toc1365 \h </w:instrText>
      </w:r>
      <w:r>
        <w:fldChar w:fldCharType="separate"/>
      </w:r>
      <w:r>
        <w:t>3</w:t>
      </w:r>
      <w:r>
        <w:fldChar w:fldCharType="end"/>
      </w:r>
      <w:r>
        <w:rPr>
          <w:rFonts w:hint="eastAsia" w:ascii="仿宋_GB2312" w:hAnsi="仿宋_GB2312" w:eastAsia="仿宋_GB2312" w:cs="仿宋_GB2312"/>
        </w:rPr>
        <w:fldChar w:fldCharType="end"/>
      </w:r>
    </w:p>
    <w:p w14:paraId="049FEE33">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_Toc3007 </w:instrText>
      </w:r>
      <w:r>
        <w:rPr>
          <w:rFonts w:hint="eastAsia" w:ascii="仿宋_GB2312" w:hAnsi="仿宋_GB2312" w:eastAsia="仿宋_GB2312" w:cs="仿宋_GB2312"/>
        </w:rPr>
        <w:fldChar w:fldCharType="separate"/>
      </w:r>
      <w:r>
        <w:rPr>
          <w:rFonts w:hint="eastAsia"/>
          <w:lang w:val="en-US" w:eastAsia="zh-CN"/>
        </w:rPr>
        <w:t>一、规划背景</w:t>
      </w:r>
      <w:r>
        <w:tab/>
      </w:r>
      <w:r>
        <w:fldChar w:fldCharType="begin"/>
      </w:r>
      <w:r>
        <w:instrText xml:space="preserve"> PAGEREF _Toc3007 \h </w:instrText>
      </w:r>
      <w:r>
        <w:fldChar w:fldCharType="separate"/>
      </w:r>
      <w:r>
        <w:t>3</w:t>
      </w:r>
      <w:r>
        <w:fldChar w:fldCharType="end"/>
      </w:r>
      <w:r>
        <w:rPr>
          <w:rFonts w:hint="eastAsia" w:ascii="仿宋_GB2312" w:hAnsi="仿宋_GB2312" w:eastAsia="仿宋_GB2312" w:cs="仿宋_GB2312"/>
        </w:rPr>
        <w:fldChar w:fldCharType="end"/>
      </w:r>
    </w:p>
    <w:p w14:paraId="368E4A2F">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_Toc895 </w:instrText>
      </w:r>
      <w:r>
        <w:rPr>
          <w:rFonts w:hint="eastAsia" w:ascii="仿宋_GB2312" w:hAnsi="仿宋_GB2312" w:eastAsia="仿宋_GB2312" w:cs="仿宋_GB2312"/>
        </w:rPr>
        <w:fldChar w:fldCharType="separate"/>
      </w:r>
      <w:r>
        <w:rPr>
          <w:rFonts w:hint="eastAsia"/>
          <w:lang w:val="en-US" w:eastAsia="zh-CN"/>
        </w:rPr>
        <w:t>二、规划依据</w:t>
      </w:r>
      <w:r>
        <w:tab/>
      </w:r>
      <w:r>
        <w:fldChar w:fldCharType="begin"/>
      </w:r>
      <w:r>
        <w:instrText xml:space="preserve"> PAGEREF _Toc895 \h </w:instrText>
      </w:r>
      <w:r>
        <w:fldChar w:fldCharType="separate"/>
      </w:r>
      <w:r>
        <w:t>4</w:t>
      </w:r>
      <w:r>
        <w:fldChar w:fldCharType="end"/>
      </w:r>
      <w:r>
        <w:rPr>
          <w:rFonts w:hint="eastAsia" w:ascii="仿宋_GB2312" w:hAnsi="仿宋_GB2312" w:eastAsia="仿宋_GB2312" w:cs="仿宋_GB2312"/>
        </w:rPr>
        <w:fldChar w:fldCharType="end"/>
      </w:r>
    </w:p>
    <w:p w14:paraId="396EECAB">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_Toc14776 </w:instrText>
      </w:r>
      <w:r>
        <w:rPr>
          <w:rFonts w:hint="eastAsia" w:ascii="仿宋_GB2312" w:hAnsi="仿宋_GB2312" w:eastAsia="仿宋_GB2312" w:cs="仿宋_GB2312"/>
        </w:rPr>
        <w:fldChar w:fldCharType="separate"/>
      </w:r>
      <w:r>
        <w:rPr>
          <w:rFonts w:hint="eastAsia"/>
          <w:strike w:val="0"/>
          <w:lang w:val="en-US" w:eastAsia="zh-CN"/>
        </w:rPr>
        <w:t>三、规划范围年限</w:t>
      </w:r>
      <w:r>
        <w:tab/>
      </w:r>
      <w:r>
        <w:fldChar w:fldCharType="begin"/>
      </w:r>
      <w:r>
        <w:instrText xml:space="preserve"> PAGEREF _Toc14776 \h </w:instrText>
      </w:r>
      <w:r>
        <w:fldChar w:fldCharType="separate"/>
      </w:r>
      <w:r>
        <w:t>5</w:t>
      </w:r>
      <w:r>
        <w:fldChar w:fldCharType="end"/>
      </w:r>
      <w:r>
        <w:rPr>
          <w:rFonts w:hint="eastAsia" w:ascii="仿宋_GB2312" w:hAnsi="仿宋_GB2312" w:eastAsia="仿宋_GB2312" w:cs="仿宋_GB2312"/>
        </w:rPr>
        <w:fldChar w:fldCharType="end"/>
      </w:r>
    </w:p>
    <w:p w14:paraId="2080A415">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_Toc17234 </w:instrText>
      </w:r>
      <w:r>
        <w:rPr>
          <w:rFonts w:hint="eastAsia" w:ascii="仿宋_GB2312" w:hAnsi="仿宋_GB2312" w:eastAsia="仿宋_GB2312" w:cs="仿宋_GB2312"/>
        </w:rPr>
        <w:fldChar w:fldCharType="separate"/>
      </w:r>
      <w:r>
        <w:rPr>
          <w:rFonts w:hint="eastAsia"/>
          <w:lang w:val="en-US" w:eastAsia="zh-CN"/>
        </w:rPr>
        <w:t xml:space="preserve">第二章 </w:t>
      </w:r>
      <w:r>
        <w:rPr>
          <w:rFonts w:hint="default"/>
          <w:lang w:val="en-US" w:eastAsia="zh-CN"/>
        </w:rPr>
        <w:t>发展现状及</w:t>
      </w:r>
      <w:r>
        <w:rPr>
          <w:rFonts w:hint="eastAsia"/>
          <w:lang w:val="en-US" w:eastAsia="zh-CN"/>
        </w:rPr>
        <w:t>形势</w:t>
      </w:r>
      <w:r>
        <w:tab/>
      </w:r>
      <w:r>
        <w:fldChar w:fldCharType="begin"/>
      </w:r>
      <w:r>
        <w:instrText xml:space="preserve"> PAGEREF _Toc17234 \h </w:instrText>
      </w:r>
      <w:r>
        <w:fldChar w:fldCharType="separate"/>
      </w:r>
      <w:r>
        <w:t>7</w:t>
      </w:r>
      <w:r>
        <w:fldChar w:fldCharType="end"/>
      </w:r>
      <w:r>
        <w:rPr>
          <w:rFonts w:hint="eastAsia" w:ascii="仿宋_GB2312" w:hAnsi="仿宋_GB2312" w:eastAsia="仿宋_GB2312" w:cs="仿宋_GB2312"/>
        </w:rPr>
        <w:fldChar w:fldCharType="end"/>
      </w:r>
    </w:p>
    <w:p w14:paraId="58A183CF">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_Toc21415 </w:instrText>
      </w:r>
      <w:r>
        <w:rPr>
          <w:rFonts w:hint="eastAsia" w:ascii="仿宋_GB2312" w:hAnsi="仿宋_GB2312" w:eastAsia="仿宋_GB2312" w:cs="仿宋_GB2312"/>
        </w:rPr>
        <w:fldChar w:fldCharType="separate"/>
      </w:r>
      <w:r>
        <w:rPr>
          <w:rFonts w:hint="eastAsia"/>
          <w:lang w:val="en-US" w:eastAsia="zh-CN"/>
        </w:rPr>
        <w:t>一、</w:t>
      </w:r>
      <w:r>
        <w:rPr>
          <w:rFonts w:hint="default"/>
          <w:lang w:val="en-US" w:eastAsia="zh-CN"/>
        </w:rPr>
        <w:t>经济社会发展情况</w:t>
      </w:r>
      <w:r>
        <w:tab/>
      </w:r>
      <w:r>
        <w:fldChar w:fldCharType="begin"/>
      </w:r>
      <w:r>
        <w:instrText xml:space="preserve"> PAGEREF _Toc21415 \h </w:instrText>
      </w:r>
      <w:r>
        <w:fldChar w:fldCharType="separate"/>
      </w:r>
      <w:r>
        <w:t>7</w:t>
      </w:r>
      <w:r>
        <w:fldChar w:fldCharType="end"/>
      </w:r>
      <w:r>
        <w:rPr>
          <w:rFonts w:hint="eastAsia" w:ascii="仿宋_GB2312" w:hAnsi="仿宋_GB2312" w:eastAsia="仿宋_GB2312" w:cs="仿宋_GB2312"/>
        </w:rPr>
        <w:fldChar w:fldCharType="end"/>
      </w:r>
    </w:p>
    <w:p w14:paraId="754DD2CD">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_Toc17769 </w:instrText>
      </w:r>
      <w:r>
        <w:rPr>
          <w:rFonts w:hint="eastAsia" w:ascii="仿宋_GB2312" w:hAnsi="仿宋_GB2312" w:eastAsia="仿宋_GB2312" w:cs="仿宋_GB2312"/>
        </w:rPr>
        <w:fldChar w:fldCharType="separate"/>
      </w:r>
      <w:r>
        <w:rPr>
          <w:rFonts w:hint="eastAsia"/>
          <w:lang w:val="en-US" w:eastAsia="zh-CN"/>
        </w:rPr>
        <w:t>二、</w:t>
      </w:r>
      <w:r>
        <w:rPr>
          <w:rFonts w:hint="default"/>
          <w:lang w:val="en-US" w:eastAsia="zh-CN"/>
        </w:rPr>
        <w:t>交通发展状况</w:t>
      </w:r>
      <w:r>
        <w:tab/>
      </w:r>
      <w:r>
        <w:fldChar w:fldCharType="begin"/>
      </w:r>
      <w:r>
        <w:instrText xml:space="preserve"> PAGEREF _Toc17769 \h </w:instrText>
      </w:r>
      <w:r>
        <w:fldChar w:fldCharType="separate"/>
      </w:r>
      <w:r>
        <w:t>8</w:t>
      </w:r>
      <w:r>
        <w:fldChar w:fldCharType="end"/>
      </w:r>
      <w:r>
        <w:rPr>
          <w:rFonts w:hint="eastAsia" w:ascii="仿宋_GB2312" w:hAnsi="仿宋_GB2312" w:eastAsia="仿宋_GB2312" w:cs="仿宋_GB2312"/>
        </w:rPr>
        <w:fldChar w:fldCharType="end"/>
      </w:r>
    </w:p>
    <w:p w14:paraId="05416AA3">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_Toc18766 </w:instrText>
      </w:r>
      <w:r>
        <w:rPr>
          <w:rFonts w:hint="eastAsia" w:ascii="仿宋_GB2312" w:hAnsi="仿宋_GB2312" w:eastAsia="仿宋_GB2312" w:cs="仿宋_GB2312"/>
        </w:rPr>
        <w:fldChar w:fldCharType="separate"/>
      </w:r>
      <w:r>
        <w:rPr>
          <w:rFonts w:hint="eastAsia"/>
          <w:highlight w:val="none"/>
          <w:lang w:val="en-US" w:eastAsia="zh-CN"/>
        </w:rPr>
        <w:t>三、</w:t>
      </w:r>
      <w:r>
        <w:rPr>
          <w:rFonts w:hint="default"/>
          <w:highlight w:val="none"/>
          <w:lang w:val="en-US" w:eastAsia="zh-CN"/>
        </w:rPr>
        <w:t>加油站现状分析</w:t>
      </w:r>
      <w:r>
        <w:tab/>
      </w:r>
      <w:r>
        <w:fldChar w:fldCharType="begin"/>
      </w:r>
      <w:r>
        <w:instrText xml:space="preserve"> PAGEREF _Toc18766 \h </w:instrText>
      </w:r>
      <w:r>
        <w:fldChar w:fldCharType="separate"/>
      </w:r>
      <w:r>
        <w:t>9</w:t>
      </w:r>
      <w:r>
        <w:fldChar w:fldCharType="end"/>
      </w:r>
      <w:r>
        <w:rPr>
          <w:rFonts w:hint="eastAsia" w:ascii="仿宋_GB2312" w:hAnsi="仿宋_GB2312" w:eastAsia="仿宋_GB2312" w:cs="仿宋_GB2312"/>
        </w:rPr>
        <w:fldChar w:fldCharType="end"/>
      </w:r>
    </w:p>
    <w:p w14:paraId="4FE2A03B">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_Toc11726 </w:instrText>
      </w:r>
      <w:r>
        <w:rPr>
          <w:rFonts w:hint="eastAsia" w:ascii="仿宋_GB2312" w:hAnsi="仿宋_GB2312" w:eastAsia="仿宋_GB2312" w:cs="仿宋_GB2312"/>
        </w:rPr>
        <w:fldChar w:fldCharType="separate"/>
      </w:r>
      <w:r>
        <w:rPr>
          <w:rFonts w:hint="eastAsia"/>
          <w:bCs/>
          <w:lang w:val="en-US" w:eastAsia="zh-CN"/>
        </w:rPr>
        <w:t>四、</w:t>
      </w:r>
      <w:r>
        <w:rPr>
          <w:rFonts w:hint="default"/>
          <w:bCs/>
          <w:lang w:val="en-US" w:eastAsia="zh-CN"/>
        </w:rPr>
        <w:t>“十四五”规划执行成效</w:t>
      </w:r>
      <w:r>
        <w:tab/>
      </w:r>
      <w:r>
        <w:fldChar w:fldCharType="begin"/>
      </w:r>
      <w:r>
        <w:instrText xml:space="preserve"> PAGEREF _Toc11726 \h </w:instrText>
      </w:r>
      <w:r>
        <w:fldChar w:fldCharType="separate"/>
      </w:r>
      <w:r>
        <w:t>11</w:t>
      </w:r>
      <w:r>
        <w:fldChar w:fldCharType="end"/>
      </w:r>
      <w:r>
        <w:rPr>
          <w:rFonts w:hint="eastAsia" w:ascii="仿宋_GB2312" w:hAnsi="仿宋_GB2312" w:eastAsia="仿宋_GB2312" w:cs="仿宋_GB2312"/>
        </w:rPr>
        <w:fldChar w:fldCharType="end"/>
      </w:r>
    </w:p>
    <w:p w14:paraId="7CB94FDB">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_Toc31923 </w:instrText>
      </w:r>
      <w:r>
        <w:rPr>
          <w:rFonts w:hint="eastAsia" w:ascii="仿宋_GB2312" w:hAnsi="仿宋_GB2312" w:eastAsia="仿宋_GB2312" w:cs="仿宋_GB2312"/>
        </w:rPr>
        <w:fldChar w:fldCharType="separate"/>
      </w:r>
      <w:r>
        <w:rPr>
          <w:rFonts w:hint="eastAsia"/>
          <w:lang w:val="en-US" w:eastAsia="zh-CN"/>
        </w:rPr>
        <w:t>五、</w:t>
      </w:r>
      <w:r>
        <w:rPr>
          <w:rFonts w:hint="default"/>
          <w:lang w:val="en-US" w:eastAsia="zh-CN"/>
        </w:rPr>
        <w:t>存在问题</w:t>
      </w:r>
      <w:r>
        <w:tab/>
      </w:r>
      <w:r>
        <w:fldChar w:fldCharType="begin"/>
      </w:r>
      <w:r>
        <w:instrText xml:space="preserve"> PAGEREF _Toc31923 \h </w:instrText>
      </w:r>
      <w:r>
        <w:fldChar w:fldCharType="separate"/>
      </w:r>
      <w:r>
        <w:t>11</w:t>
      </w:r>
      <w:r>
        <w:fldChar w:fldCharType="end"/>
      </w:r>
      <w:r>
        <w:rPr>
          <w:rFonts w:hint="eastAsia" w:ascii="仿宋_GB2312" w:hAnsi="仿宋_GB2312" w:eastAsia="仿宋_GB2312" w:cs="仿宋_GB2312"/>
        </w:rPr>
        <w:fldChar w:fldCharType="end"/>
      </w:r>
    </w:p>
    <w:p w14:paraId="283BC775">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_Toc29702 </w:instrText>
      </w:r>
      <w:r>
        <w:rPr>
          <w:rFonts w:hint="eastAsia" w:ascii="仿宋_GB2312" w:hAnsi="仿宋_GB2312" w:eastAsia="仿宋_GB2312" w:cs="仿宋_GB2312"/>
        </w:rPr>
        <w:fldChar w:fldCharType="separate"/>
      </w:r>
      <w:r>
        <w:rPr>
          <w:rFonts w:hint="eastAsia"/>
          <w:lang w:val="en-US" w:eastAsia="zh-CN"/>
        </w:rPr>
        <w:t>六、</w:t>
      </w:r>
      <w:r>
        <w:rPr>
          <w:rFonts w:hint="default"/>
          <w:lang w:val="en-US" w:eastAsia="zh-CN"/>
        </w:rPr>
        <w:t>“十五五”时期面临的形势</w:t>
      </w:r>
      <w:r>
        <w:tab/>
      </w:r>
      <w:r>
        <w:fldChar w:fldCharType="begin"/>
      </w:r>
      <w:r>
        <w:instrText xml:space="preserve"> PAGEREF _Toc29702 \h </w:instrText>
      </w:r>
      <w:r>
        <w:fldChar w:fldCharType="separate"/>
      </w:r>
      <w:r>
        <w:t>12</w:t>
      </w:r>
      <w:r>
        <w:fldChar w:fldCharType="end"/>
      </w:r>
      <w:r>
        <w:rPr>
          <w:rFonts w:hint="eastAsia" w:ascii="仿宋_GB2312" w:hAnsi="仿宋_GB2312" w:eastAsia="仿宋_GB2312" w:cs="仿宋_GB2312"/>
        </w:rPr>
        <w:fldChar w:fldCharType="end"/>
      </w:r>
    </w:p>
    <w:p w14:paraId="127E818B">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_Toc5749 </w:instrText>
      </w:r>
      <w:r>
        <w:rPr>
          <w:rFonts w:hint="eastAsia" w:ascii="仿宋_GB2312" w:hAnsi="仿宋_GB2312" w:eastAsia="仿宋_GB2312" w:cs="仿宋_GB2312"/>
        </w:rPr>
        <w:fldChar w:fldCharType="separate"/>
      </w:r>
      <w:r>
        <w:rPr>
          <w:rFonts w:hint="eastAsia"/>
          <w:lang w:val="en-US" w:eastAsia="zh-CN"/>
        </w:rPr>
        <w:t>第三章 总体要求</w:t>
      </w:r>
      <w:r>
        <w:tab/>
      </w:r>
      <w:r>
        <w:fldChar w:fldCharType="begin"/>
      </w:r>
      <w:r>
        <w:instrText xml:space="preserve"> PAGEREF _Toc5749 \h </w:instrText>
      </w:r>
      <w:r>
        <w:fldChar w:fldCharType="separate"/>
      </w:r>
      <w:r>
        <w:t>16</w:t>
      </w:r>
      <w:r>
        <w:fldChar w:fldCharType="end"/>
      </w:r>
      <w:r>
        <w:rPr>
          <w:rFonts w:hint="eastAsia" w:ascii="仿宋_GB2312" w:hAnsi="仿宋_GB2312" w:eastAsia="仿宋_GB2312" w:cs="仿宋_GB2312"/>
        </w:rPr>
        <w:fldChar w:fldCharType="end"/>
      </w:r>
    </w:p>
    <w:p w14:paraId="531AD803">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_Toc14494 </w:instrText>
      </w:r>
      <w:r>
        <w:rPr>
          <w:rFonts w:hint="eastAsia" w:ascii="仿宋_GB2312" w:hAnsi="仿宋_GB2312" w:eastAsia="仿宋_GB2312" w:cs="仿宋_GB2312"/>
        </w:rPr>
        <w:fldChar w:fldCharType="separate"/>
      </w:r>
      <w:r>
        <w:rPr>
          <w:rFonts w:hint="default"/>
          <w:lang w:val="en-US" w:eastAsia="zh-CN"/>
        </w:rPr>
        <w:t>一</w:t>
      </w:r>
      <w:r>
        <w:rPr>
          <w:rFonts w:hint="eastAsia"/>
          <w:lang w:val="en-US" w:eastAsia="zh-CN"/>
        </w:rPr>
        <w:t>、</w:t>
      </w:r>
      <w:r>
        <w:rPr>
          <w:rFonts w:hint="default"/>
          <w:lang w:val="en-US" w:eastAsia="zh-CN"/>
        </w:rPr>
        <w:t>指导思想</w:t>
      </w:r>
      <w:r>
        <w:tab/>
      </w:r>
      <w:r>
        <w:fldChar w:fldCharType="begin"/>
      </w:r>
      <w:r>
        <w:instrText xml:space="preserve"> PAGEREF _Toc14494 \h </w:instrText>
      </w:r>
      <w:r>
        <w:fldChar w:fldCharType="separate"/>
      </w:r>
      <w:r>
        <w:t>16</w:t>
      </w:r>
      <w:r>
        <w:fldChar w:fldCharType="end"/>
      </w:r>
      <w:r>
        <w:rPr>
          <w:rFonts w:hint="eastAsia" w:ascii="仿宋_GB2312" w:hAnsi="仿宋_GB2312" w:eastAsia="仿宋_GB2312" w:cs="仿宋_GB2312"/>
        </w:rPr>
        <w:fldChar w:fldCharType="end"/>
      </w:r>
    </w:p>
    <w:p w14:paraId="7FCF68A3">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_Toc3509 </w:instrText>
      </w:r>
      <w:r>
        <w:rPr>
          <w:rFonts w:hint="eastAsia" w:ascii="仿宋_GB2312" w:hAnsi="仿宋_GB2312" w:eastAsia="仿宋_GB2312" w:cs="仿宋_GB2312"/>
        </w:rPr>
        <w:fldChar w:fldCharType="separate"/>
      </w:r>
      <w:r>
        <w:rPr>
          <w:rFonts w:hint="eastAsia"/>
          <w:lang w:val="en-US" w:eastAsia="zh-CN"/>
        </w:rPr>
        <w:t>二、规划原则</w:t>
      </w:r>
      <w:r>
        <w:tab/>
      </w:r>
      <w:r>
        <w:fldChar w:fldCharType="begin"/>
      </w:r>
      <w:r>
        <w:instrText xml:space="preserve"> PAGEREF _Toc3509 \h </w:instrText>
      </w:r>
      <w:r>
        <w:fldChar w:fldCharType="separate"/>
      </w:r>
      <w:r>
        <w:t>16</w:t>
      </w:r>
      <w:r>
        <w:fldChar w:fldCharType="end"/>
      </w:r>
      <w:r>
        <w:rPr>
          <w:rFonts w:hint="eastAsia" w:ascii="仿宋_GB2312" w:hAnsi="仿宋_GB2312" w:eastAsia="仿宋_GB2312" w:cs="仿宋_GB2312"/>
        </w:rPr>
        <w:fldChar w:fldCharType="end"/>
      </w:r>
    </w:p>
    <w:p w14:paraId="1453917D">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_Toc5101 </w:instrText>
      </w:r>
      <w:r>
        <w:rPr>
          <w:rFonts w:hint="eastAsia" w:ascii="仿宋_GB2312" w:hAnsi="仿宋_GB2312" w:eastAsia="仿宋_GB2312" w:cs="仿宋_GB2312"/>
        </w:rPr>
        <w:fldChar w:fldCharType="separate"/>
      </w:r>
      <w:r>
        <w:rPr>
          <w:rFonts w:hint="default"/>
          <w:lang w:val="en-US" w:eastAsia="zh-CN"/>
        </w:rPr>
        <w:t>三</w:t>
      </w:r>
      <w:r>
        <w:rPr>
          <w:rFonts w:hint="eastAsia"/>
          <w:lang w:val="en-US" w:eastAsia="zh-CN"/>
        </w:rPr>
        <w:t>、</w:t>
      </w:r>
      <w:r>
        <w:rPr>
          <w:rFonts w:hint="default"/>
          <w:lang w:val="en-US" w:eastAsia="zh-CN"/>
        </w:rPr>
        <w:t>发展目标</w:t>
      </w:r>
      <w:r>
        <w:tab/>
      </w:r>
      <w:r>
        <w:fldChar w:fldCharType="begin"/>
      </w:r>
      <w:r>
        <w:instrText xml:space="preserve"> PAGEREF _Toc5101 \h </w:instrText>
      </w:r>
      <w:r>
        <w:fldChar w:fldCharType="separate"/>
      </w:r>
      <w:r>
        <w:t>18</w:t>
      </w:r>
      <w:r>
        <w:fldChar w:fldCharType="end"/>
      </w:r>
      <w:r>
        <w:rPr>
          <w:rFonts w:hint="eastAsia" w:ascii="仿宋_GB2312" w:hAnsi="仿宋_GB2312" w:eastAsia="仿宋_GB2312" w:cs="仿宋_GB2312"/>
        </w:rPr>
        <w:fldChar w:fldCharType="end"/>
      </w:r>
    </w:p>
    <w:p w14:paraId="6C4C643A">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_Toc2104 </w:instrText>
      </w:r>
      <w:r>
        <w:rPr>
          <w:rFonts w:hint="eastAsia" w:ascii="仿宋_GB2312" w:hAnsi="仿宋_GB2312" w:eastAsia="仿宋_GB2312" w:cs="仿宋_GB2312"/>
        </w:rPr>
        <w:fldChar w:fldCharType="separate"/>
      </w:r>
      <w:r>
        <w:rPr>
          <w:rFonts w:hint="eastAsia"/>
          <w:lang w:val="en-US" w:eastAsia="zh-CN"/>
        </w:rPr>
        <w:t>第四章 需求预测</w:t>
      </w:r>
      <w:r>
        <w:tab/>
      </w:r>
      <w:r>
        <w:fldChar w:fldCharType="begin"/>
      </w:r>
      <w:r>
        <w:instrText xml:space="preserve"> PAGEREF _Toc2104 \h </w:instrText>
      </w:r>
      <w:r>
        <w:fldChar w:fldCharType="separate"/>
      </w:r>
      <w:r>
        <w:t>19</w:t>
      </w:r>
      <w:r>
        <w:fldChar w:fldCharType="end"/>
      </w:r>
      <w:r>
        <w:rPr>
          <w:rFonts w:hint="eastAsia" w:ascii="仿宋_GB2312" w:hAnsi="仿宋_GB2312" w:eastAsia="仿宋_GB2312" w:cs="仿宋_GB2312"/>
        </w:rPr>
        <w:fldChar w:fldCharType="end"/>
      </w:r>
    </w:p>
    <w:p w14:paraId="51CED9FB">
      <w:pPr>
        <w:pStyle w:val="14"/>
        <w:tabs>
          <w:tab w:val="right" w:leader="dot" w:pos="8732"/>
        </w:tabs>
        <w:rPr>
          <w:rFonts w:hint="eastAsia"/>
        </w:rPr>
      </w:pPr>
      <w:r>
        <w:rPr>
          <w:rFonts w:hint="eastAsia" w:ascii="Times New Roman" w:hAnsi="Times New Roman" w:eastAsia="仿宋_GB2312" w:cs="Times New Roman"/>
        </w:rPr>
        <w:fldChar w:fldCharType="begin"/>
      </w:r>
      <w:r>
        <w:rPr>
          <w:rFonts w:hint="eastAsia" w:ascii="Times New Roman" w:hAnsi="Times New Roman" w:eastAsia="仿宋_GB2312" w:cs="Times New Roman"/>
        </w:rPr>
        <w:instrText xml:space="preserve"> HYPERLINK \l _Toc4143 </w:instrText>
      </w:r>
      <w:r>
        <w:rPr>
          <w:rFonts w:hint="eastAsia" w:ascii="Times New Roman" w:hAnsi="Times New Roman" w:eastAsia="仿宋_GB2312" w:cs="Times New Roman"/>
        </w:rPr>
        <w:fldChar w:fldCharType="separate"/>
      </w:r>
      <w:r>
        <w:rPr>
          <w:rFonts w:hint="eastAsia" w:ascii="Times New Roman" w:hAnsi="Times New Roman" w:cs="Times New Roman"/>
          <w:szCs w:val="32"/>
          <w:lang w:val="en-US" w:eastAsia="zh-CN"/>
        </w:rPr>
        <w:t>一、</w:t>
      </w:r>
      <w:r>
        <w:rPr>
          <w:rFonts w:hint="eastAsia" w:ascii="Times New Roman" w:hAnsi="Times New Roman" w:eastAsia="仿宋_GB2312" w:cs="Times New Roman"/>
          <w:szCs w:val="32"/>
          <w:lang w:val="en-US" w:eastAsia="zh-CN"/>
        </w:rPr>
        <w:t>经济社会发展趋势预测</w:t>
      </w:r>
      <w:r>
        <w:rPr>
          <w:rFonts w:hint="eastAsia"/>
        </w:rPr>
        <w:tab/>
      </w:r>
      <w:r>
        <w:rPr>
          <w:rFonts w:hint="eastAsia"/>
        </w:rPr>
        <w:fldChar w:fldCharType="begin"/>
      </w:r>
      <w:r>
        <w:rPr>
          <w:rFonts w:hint="eastAsia"/>
        </w:rPr>
        <w:instrText xml:space="preserve"> PAGEREF _Toc4143 \h </w:instrText>
      </w:r>
      <w:r>
        <w:rPr>
          <w:rFonts w:hint="eastAsia"/>
        </w:rPr>
        <w:fldChar w:fldCharType="separate"/>
      </w:r>
      <w:r>
        <w:rPr>
          <w:rFonts w:hint="eastAsia"/>
        </w:rPr>
        <w:t>19</w:t>
      </w:r>
      <w:r>
        <w:rPr>
          <w:rFonts w:hint="eastAsia"/>
        </w:rPr>
        <w:fldChar w:fldCharType="end"/>
      </w:r>
      <w:r>
        <w:rPr>
          <w:rFonts w:hint="eastAsia" w:ascii="Times New Roman" w:hAnsi="Times New Roman" w:eastAsia="仿宋_GB2312" w:cs="Times New Roman"/>
        </w:rPr>
        <w:fldChar w:fldCharType="end"/>
      </w:r>
    </w:p>
    <w:p w14:paraId="71D45A86">
      <w:pPr>
        <w:pStyle w:val="14"/>
        <w:tabs>
          <w:tab w:val="right" w:leader="dot" w:pos="8732"/>
        </w:tabs>
        <w:rPr>
          <w:rFonts w:hint="eastAsia"/>
        </w:rPr>
      </w:pPr>
      <w:r>
        <w:rPr>
          <w:rFonts w:hint="eastAsia" w:ascii="Times New Roman" w:hAnsi="Times New Roman" w:eastAsia="仿宋_GB2312" w:cs="Times New Roman"/>
        </w:rPr>
        <w:fldChar w:fldCharType="begin"/>
      </w:r>
      <w:r>
        <w:rPr>
          <w:rFonts w:hint="eastAsia" w:ascii="Times New Roman" w:hAnsi="Times New Roman" w:eastAsia="仿宋_GB2312" w:cs="Times New Roman"/>
        </w:rPr>
        <w:instrText xml:space="preserve"> HYPERLINK \l _Toc7346 </w:instrText>
      </w:r>
      <w:r>
        <w:rPr>
          <w:rFonts w:hint="eastAsia" w:ascii="Times New Roman" w:hAnsi="Times New Roman" w:eastAsia="仿宋_GB2312" w:cs="Times New Roman"/>
        </w:rPr>
        <w:fldChar w:fldCharType="separate"/>
      </w:r>
      <w:r>
        <w:rPr>
          <w:rFonts w:hint="eastAsia" w:ascii="Times New Roman" w:hAnsi="Times New Roman" w:cs="Times New Roman"/>
          <w:szCs w:val="32"/>
          <w:lang w:val="en-US" w:eastAsia="zh-CN"/>
        </w:rPr>
        <w:t>二、</w:t>
      </w:r>
      <w:r>
        <w:rPr>
          <w:rFonts w:hint="eastAsia" w:ascii="Times New Roman" w:hAnsi="Times New Roman" w:eastAsia="仿宋_GB2312" w:cs="Times New Roman"/>
          <w:szCs w:val="32"/>
          <w:lang w:val="en-US" w:eastAsia="zh-CN"/>
        </w:rPr>
        <w:t>交通运输发展趋势</w:t>
      </w:r>
      <w:r>
        <w:rPr>
          <w:rFonts w:hint="eastAsia" w:ascii="Times New Roman" w:hAnsi="Times New Roman" w:cs="Times New Roman"/>
          <w:szCs w:val="32"/>
          <w:lang w:val="en-US" w:eastAsia="zh-CN"/>
        </w:rPr>
        <w:t>预测</w:t>
      </w:r>
      <w:r>
        <w:rPr>
          <w:rFonts w:hint="eastAsia"/>
        </w:rPr>
        <w:tab/>
      </w:r>
      <w:r>
        <w:rPr>
          <w:rFonts w:hint="eastAsia"/>
        </w:rPr>
        <w:fldChar w:fldCharType="begin"/>
      </w:r>
      <w:r>
        <w:rPr>
          <w:rFonts w:hint="eastAsia"/>
        </w:rPr>
        <w:instrText xml:space="preserve"> PAGEREF _Toc7346 \h </w:instrText>
      </w:r>
      <w:r>
        <w:rPr>
          <w:rFonts w:hint="eastAsia"/>
        </w:rPr>
        <w:fldChar w:fldCharType="separate"/>
      </w:r>
      <w:r>
        <w:rPr>
          <w:rFonts w:hint="eastAsia"/>
        </w:rPr>
        <w:t>20</w:t>
      </w:r>
      <w:r>
        <w:rPr>
          <w:rFonts w:hint="eastAsia"/>
        </w:rPr>
        <w:fldChar w:fldCharType="end"/>
      </w:r>
      <w:r>
        <w:rPr>
          <w:rFonts w:hint="eastAsia" w:ascii="Times New Roman" w:hAnsi="Times New Roman" w:eastAsia="仿宋_GB2312" w:cs="Times New Roman"/>
        </w:rPr>
        <w:fldChar w:fldCharType="end"/>
      </w:r>
    </w:p>
    <w:p w14:paraId="2CB49DF6">
      <w:pPr>
        <w:pStyle w:val="14"/>
        <w:tabs>
          <w:tab w:val="right" w:leader="dot" w:pos="8732"/>
        </w:tabs>
        <w:rPr>
          <w:rFonts w:hint="eastAsia"/>
        </w:rPr>
      </w:pPr>
      <w:r>
        <w:rPr>
          <w:rFonts w:hint="eastAsia" w:ascii="Times New Roman" w:hAnsi="Times New Roman" w:eastAsia="仿宋_GB2312" w:cs="Times New Roman"/>
        </w:rPr>
        <w:fldChar w:fldCharType="begin"/>
      </w:r>
      <w:r>
        <w:rPr>
          <w:rFonts w:hint="eastAsia" w:ascii="Times New Roman" w:hAnsi="Times New Roman" w:eastAsia="仿宋_GB2312" w:cs="Times New Roman"/>
        </w:rPr>
        <w:instrText xml:space="preserve"> HYPERLINK \l _Toc20769 </w:instrText>
      </w:r>
      <w:r>
        <w:rPr>
          <w:rFonts w:hint="eastAsia" w:ascii="Times New Roman" w:hAnsi="Times New Roman" w:eastAsia="仿宋_GB2312" w:cs="Times New Roman"/>
        </w:rPr>
        <w:fldChar w:fldCharType="separate"/>
      </w:r>
      <w:r>
        <w:rPr>
          <w:rFonts w:hint="eastAsia" w:ascii="Times New Roman" w:hAnsi="Times New Roman" w:cs="Times New Roman"/>
          <w:szCs w:val="32"/>
          <w:lang w:val="en-US" w:eastAsia="zh-CN"/>
        </w:rPr>
        <w:t>三、机动车增长趋势预测</w:t>
      </w:r>
      <w:r>
        <w:rPr>
          <w:rFonts w:hint="eastAsia"/>
        </w:rPr>
        <w:tab/>
      </w:r>
      <w:r>
        <w:rPr>
          <w:rFonts w:hint="eastAsia"/>
        </w:rPr>
        <w:fldChar w:fldCharType="begin"/>
      </w:r>
      <w:r>
        <w:rPr>
          <w:rFonts w:hint="eastAsia"/>
        </w:rPr>
        <w:instrText xml:space="preserve"> PAGEREF _Toc20769 \h </w:instrText>
      </w:r>
      <w:r>
        <w:rPr>
          <w:rFonts w:hint="eastAsia"/>
        </w:rPr>
        <w:fldChar w:fldCharType="separate"/>
      </w:r>
      <w:r>
        <w:rPr>
          <w:rFonts w:hint="eastAsia"/>
        </w:rPr>
        <w:t>21</w:t>
      </w:r>
      <w:r>
        <w:rPr>
          <w:rFonts w:hint="eastAsia"/>
        </w:rPr>
        <w:fldChar w:fldCharType="end"/>
      </w:r>
      <w:r>
        <w:rPr>
          <w:rFonts w:hint="eastAsia" w:ascii="Times New Roman" w:hAnsi="Times New Roman" w:eastAsia="仿宋_GB2312" w:cs="Times New Roman"/>
        </w:rPr>
        <w:fldChar w:fldCharType="end"/>
      </w:r>
    </w:p>
    <w:p w14:paraId="3962E675">
      <w:pPr>
        <w:pStyle w:val="14"/>
        <w:tabs>
          <w:tab w:val="right" w:leader="dot" w:pos="8732"/>
        </w:tabs>
        <w:rPr>
          <w:rFonts w:hint="eastAsia"/>
        </w:rPr>
      </w:pPr>
      <w:r>
        <w:rPr>
          <w:rFonts w:hint="eastAsia" w:ascii="Times New Roman" w:hAnsi="Times New Roman" w:eastAsia="仿宋_GB2312" w:cs="Times New Roman"/>
        </w:rPr>
        <w:fldChar w:fldCharType="begin"/>
      </w:r>
      <w:r>
        <w:rPr>
          <w:rFonts w:hint="eastAsia" w:ascii="Times New Roman" w:hAnsi="Times New Roman" w:eastAsia="仿宋_GB2312" w:cs="Times New Roman"/>
        </w:rPr>
        <w:instrText xml:space="preserve"> HYPERLINK \l _Toc4189 </w:instrText>
      </w:r>
      <w:r>
        <w:rPr>
          <w:rFonts w:hint="eastAsia" w:ascii="Times New Roman" w:hAnsi="Times New Roman" w:eastAsia="仿宋_GB2312" w:cs="Times New Roman"/>
        </w:rPr>
        <w:fldChar w:fldCharType="separate"/>
      </w:r>
      <w:r>
        <w:rPr>
          <w:rFonts w:hint="eastAsia" w:ascii="Times New Roman" w:hAnsi="Times New Roman" w:cs="Times New Roman"/>
          <w:szCs w:val="32"/>
          <w:lang w:val="en-US" w:eastAsia="zh-CN"/>
        </w:rPr>
        <w:t>四、</w:t>
      </w:r>
      <w:r>
        <w:rPr>
          <w:rFonts w:hint="eastAsia" w:ascii="Times New Roman" w:hAnsi="Times New Roman" w:eastAsia="仿宋_GB2312" w:cs="Times New Roman"/>
          <w:szCs w:val="32"/>
          <w:lang w:val="en-US" w:eastAsia="zh-CN"/>
        </w:rPr>
        <w:t>成品油零售企业销售量预测分析</w:t>
      </w:r>
      <w:r>
        <w:rPr>
          <w:rFonts w:hint="eastAsia"/>
        </w:rPr>
        <w:tab/>
      </w:r>
      <w:r>
        <w:rPr>
          <w:rFonts w:hint="eastAsia"/>
        </w:rPr>
        <w:fldChar w:fldCharType="begin"/>
      </w:r>
      <w:r>
        <w:rPr>
          <w:rFonts w:hint="eastAsia"/>
        </w:rPr>
        <w:instrText xml:space="preserve"> PAGEREF _Toc4189 \h </w:instrText>
      </w:r>
      <w:r>
        <w:rPr>
          <w:rFonts w:hint="eastAsia"/>
        </w:rPr>
        <w:fldChar w:fldCharType="separate"/>
      </w:r>
      <w:r>
        <w:rPr>
          <w:rFonts w:hint="eastAsia"/>
        </w:rPr>
        <w:t>21</w:t>
      </w:r>
      <w:r>
        <w:rPr>
          <w:rFonts w:hint="eastAsia"/>
        </w:rPr>
        <w:fldChar w:fldCharType="end"/>
      </w:r>
      <w:r>
        <w:rPr>
          <w:rFonts w:hint="eastAsia" w:ascii="Times New Roman" w:hAnsi="Times New Roman" w:eastAsia="仿宋_GB2312" w:cs="Times New Roman"/>
        </w:rPr>
        <w:fldChar w:fldCharType="end"/>
      </w:r>
    </w:p>
    <w:p w14:paraId="7142983E">
      <w:pPr>
        <w:pStyle w:val="14"/>
        <w:tabs>
          <w:tab w:val="right" w:leader="dot" w:pos="8732"/>
        </w:tabs>
      </w:pPr>
      <w:r>
        <w:rPr>
          <w:rFonts w:hint="eastAsia" w:ascii="Times New Roman" w:hAnsi="Times New Roman" w:eastAsia="仿宋_GB2312" w:cs="Times New Roman"/>
        </w:rPr>
        <w:fldChar w:fldCharType="begin"/>
      </w:r>
      <w:r>
        <w:rPr>
          <w:rFonts w:hint="eastAsia" w:ascii="Times New Roman" w:hAnsi="Times New Roman" w:eastAsia="仿宋_GB2312" w:cs="Times New Roman"/>
        </w:rPr>
        <w:instrText xml:space="preserve"> HYPERLINK \l _Toc15808 </w:instrText>
      </w:r>
      <w:r>
        <w:rPr>
          <w:rFonts w:hint="eastAsia" w:ascii="Times New Roman" w:hAnsi="Times New Roman" w:eastAsia="仿宋_GB2312" w:cs="Times New Roman"/>
        </w:rPr>
        <w:fldChar w:fldCharType="separate"/>
      </w:r>
      <w:r>
        <w:rPr>
          <w:rFonts w:hint="eastAsia" w:ascii="Times New Roman" w:hAnsi="Times New Roman" w:cs="Times New Roman"/>
          <w:szCs w:val="32"/>
          <w:lang w:val="en-US" w:eastAsia="zh-CN"/>
        </w:rPr>
        <w:t>五、</w:t>
      </w:r>
      <w:r>
        <w:rPr>
          <w:rFonts w:hint="eastAsia" w:ascii="Times New Roman" w:hAnsi="Times New Roman" w:eastAsia="仿宋_GB2312" w:cs="Times New Roman"/>
          <w:szCs w:val="32"/>
          <w:lang w:val="en-US" w:eastAsia="zh-CN"/>
        </w:rPr>
        <w:t>成品油</w:t>
      </w:r>
      <w:r>
        <w:rPr>
          <w:rFonts w:hint="eastAsia" w:ascii="Times New Roman" w:hAnsi="Times New Roman" w:cs="Times New Roman"/>
          <w:szCs w:val="32"/>
          <w:lang w:val="en-US" w:eastAsia="zh-CN"/>
        </w:rPr>
        <w:t>零售站点预测</w:t>
      </w:r>
      <w:r>
        <w:rPr>
          <w:rFonts w:hint="eastAsia"/>
        </w:rPr>
        <w:tab/>
      </w:r>
      <w:r>
        <w:rPr>
          <w:rFonts w:hint="eastAsia"/>
        </w:rPr>
        <w:fldChar w:fldCharType="begin"/>
      </w:r>
      <w:r>
        <w:rPr>
          <w:rFonts w:hint="eastAsia"/>
        </w:rPr>
        <w:instrText xml:space="preserve"> PAGEREF _Toc15808 \h </w:instrText>
      </w:r>
      <w:r>
        <w:rPr>
          <w:rFonts w:hint="eastAsia"/>
        </w:rPr>
        <w:fldChar w:fldCharType="separate"/>
      </w:r>
      <w:r>
        <w:rPr>
          <w:rFonts w:hint="eastAsia"/>
        </w:rPr>
        <w:t>23</w:t>
      </w:r>
      <w:r>
        <w:rPr>
          <w:rFonts w:hint="eastAsia"/>
        </w:rPr>
        <w:fldChar w:fldCharType="end"/>
      </w:r>
      <w:r>
        <w:rPr>
          <w:rFonts w:hint="eastAsia" w:ascii="Times New Roman" w:hAnsi="Times New Roman" w:eastAsia="仿宋_GB2312" w:cs="Times New Roman"/>
        </w:rPr>
        <w:fldChar w:fldCharType="end"/>
      </w:r>
    </w:p>
    <w:p w14:paraId="76CEA40E">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_Toc12867 </w:instrText>
      </w:r>
      <w:r>
        <w:rPr>
          <w:rFonts w:hint="eastAsia" w:ascii="仿宋_GB2312" w:hAnsi="仿宋_GB2312" w:eastAsia="仿宋_GB2312" w:cs="仿宋_GB2312"/>
        </w:rPr>
        <w:fldChar w:fldCharType="separate"/>
      </w:r>
      <w:r>
        <w:rPr>
          <w:rFonts w:hint="eastAsia" w:ascii="Times New Roman" w:hAnsi="Times New Roman" w:cs="Times New Roman"/>
          <w:szCs w:val="32"/>
          <w:lang w:val="en-US" w:eastAsia="zh-CN"/>
        </w:rPr>
        <w:t>五、</w:t>
      </w:r>
      <w:r>
        <w:rPr>
          <w:rFonts w:hint="eastAsia" w:ascii="Times New Roman" w:hAnsi="Times New Roman" w:eastAsia="仿宋_GB2312" w:cs="Times New Roman"/>
          <w:szCs w:val="32"/>
          <w:lang w:val="en-US" w:eastAsia="zh-CN"/>
        </w:rPr>
        <w:t>预测结论</w:t>
      </w:r>
      <w:r>
        <w:tab/>
      </w:r>
      <w:r>
        <w:fldChar w:fldCharType="begin"/>
      </w:r>
      <w:r>
        <w:instrText xml:space="preserve"> PAGEREF _Toc12867 \h </w:instrText>
      </w:r>
      <w:r>
        <w:fldChar w:fldCharType="separate"/>
      </w:r>
      <w:r>
        <w:t>24</w:t>
      </w:r>
      <w:r>
        <w:fldChar w:fldCharType="end"/>
      </w:r>
      <w:r>
        <w:rPr>
          <w:rFonts w:hint="eastAsia" w:ascii="仿宋_GB2312" w:hAnsi="仿宋_GB2312" w:eastAsia="仿宋_GB2312" w:cs="仿宋_GB2312"/>
        </w:rPr>
        <w:fldChar w:fldCharType="end"/>
      </w:r>
    </w:p>
    <w:p w14:paraId="536C6981">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_Toc25829 </w:instrText>
      </w:r>
      <w:r>
        <w:rPr>
          <w:rFonts w:hint="eastAsia" w:ascii="仿宋_GB2312" w:hAnsi="仿宋_GB2312" w:eastAsia="仿宋_GB2312" w:cs="仿宋_GB2312"/>
        </w:rPr>
        <w:fldChar w:fldCharType="separate"/>
      </w:r>
      <w:r>
        <w:rPr>
          <w:rFonts w:hint="eastAsia"/>
          <w:lang w:val="en-US" w:eastAsia="zh-CN"/>
        </w:rPr>
        <w:t>第五章 空间布局</w:t>
      </w:r>
      <w:r>
        <w:tab/>
      </w:r>
      <w:r>
        <w:fldChar w:fldCharType="begin"/>
      </w:r>
      <w:r>
        <w:instrText xml:space="preserve"> PAGEREF _Toc25829 \h </w:instrText>
      </w:r>
      <w:r>
        <w:fldChar w:fldCharType="separate"/>
      </w:r>
      <w:r>
        <w:t>25</w:t>
      </w:r>
      <w:r>
        <w:fldChar w:fldCharType="end"/>
      </w:r>
      <w:r>
        <w:rPr>
          <w:rFonts w:hint="eastAsia" w:ascii="仿宋_GB2312" w:hAnsi="仿宋_GB2312" w:eastAsia="仿宋_GB2312" w:cs="仿宋_GB2312"/>
        </w:rPr>
        <w:fldChar w:fldCharType="end"/>
      </w:r>
    </w:p>
    <w:p w14:paraId="59998548">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_Toc18922 </w:instrText>
      </w:r>
      <w:r>
        <w:rPr>
          <w:rFonts w:hint="eastAsia" w:ascii="仿宋_GB2312" w:hAnsi="仿宋_GB2312" w:eastAsia="仿宋_GB2312" w:cs="仿宋_GB2312"/>
        </w:rPr>
        <w:fldChar w:fldCharType="separate"/>
      </w:r>
      <w:r>
        <w:rPr>
          <w:rFonts w:hint="eastAsia"/>
          <w:lang w:val="en-US" w:eastAsia="zh-CN"/>
        </w:rPr>
        <w:t>一、布局原则</w:t>
      </w:r>
      <w:r>
        <w:tab/>
      </w:r>
      <w:r>
        <w:fldChar w:fldCharType="begin"/>
      </w:r>
      <w:r>
        <w:instrText xml:space="preserve"> PAGEREF _Toc18922 \h </w:instrText>
      </w:r>
      <w:r>
        <w:fldChar w:fldCharType="separate"/>
      </w:r>
      <w:r>
        <w:t>25</w:t>
      </w:r>
      <w:r>
        <w:fldChar w:fldCharType="end"/>
      </w:r>
      <w:r>
        <w:rPr>
          <w:rFonts w:hint="eastAsia" w:ascii="仿宋_GB2312" w:hAnsi="仿宋_GB2312" w:eastAsia="仿宋_GB2312" w:cs="仿宋_GB2312"/>
        </w:rPr>
        <w:fldChar w:fldCharType="end"/>
      </w:r>
    </w:p>
    <w:p w14:paraId="698B23B9">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_Toc23502 </w:instrText>
      </w:r>
      <w:r>
        <w:rPr>
          <w:rFonts w:hint="eastAsia" w:ascii="仿宋_GB2312" w:hAnsi="仿宋_GB2312" w:eastAsia="仿宋_GB2312" w:cs="仿宋_GB2312"/>
        </w:rPr>
        <w:fldChar w:fldCharType="separate"/>
      </w:r>
      <w:r>
        <w:rPr>
          <w:rFonts w:hint="eastAsia"/>
          <w:highlight w:val="none"/>
          <w:lang w:val="en-US" w:eastAsia="zh-CN"/>
        </w:rPr>
        <w:t>二、总体布局方案</w:t>
      </w:r>
      <w:r>
        <w:tab/>
      </w:r>
      <w:r>
        <w:fldChar w:fldCharType="begin"/>
      </w:r>
      <w:r>
        <w:instrText xml:space="preserve"> PAGEREF _Toc23502 \h </w:instrText>
      </w:r>
      <w:r>
        <w:fldChar w:fldCharType="separate"/>
      </w:r>
      <w:r>
        <w:t>27</w:t>
      </w:r>
      <w:r>
        <w:fldChar w:fldCharType="end"/>
      </w:r>
      <w:r>
        <w:rPr>
          <w:rFonts w:hint="eastAsia" w:ascii="仿宋_GB2312" w:hAnsi="仿宋_GB2312" w:eastAsia="仿宋_GB2312" w:cs="仿宋_GB2312"/>
        </w:rPr>
        <w:fldChar w:fldCharType="end"/>
      </w:r>
    </w:p>
    <w:p w14:paraId="368EBB40">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_Toc31803 </w:instrText>
      </w:r>
      <w:r>
        <w:rPr>
          <w:rFonts w:hint="eastAsia" w:ascii="仿宋_GB2312" w:hAnsi="仿宋_GB2312" w:eastAsia="仿宋_GB2312" w:cs="仿宋_GB2312"/>
        </w:rPr>
        <w:fldChar w:fldCharType="separate"/>
      </w:r>
      <w:r>
        <w:rPr>
          <w:rFonts w:hint="eastAsia"/>
          <w:lang w:val="en-US" w:eastAsia="zh-CN"/>
        </w:rPr>
        <w:t>三、布局标准及要求</w:t>
      </w:r>
      <w:r>
        <w:tab/>
      </w:r>
      <w:r>
        <w:fldChar w:fldCharType="begin"/>
      </w:r>
      <w:r>
        <w:instrText xml:space="preserve"> PAGEREF _Toc31803 \h </w:instrText>
      </w:r>
      <w:r>
        <w:fldChar w:fldCharType="separate"/>
      </w:r>
      <w:r>
        <w:t>29</w:t>
      </w:r>
      <w:r>
        <w:fldChar w:fldCharType="end"/>
      </w:r>
      <w:r>
        <w:rPr>
          <w:rFonts w:hint="eastAsia" w:ascii="仿宋_GB2312" w:hAnsi="仿宋_GB2312" w:eastAsia="仿宋_GB2312" w:cs="仿宋_GB2312"/>
        </w:rPr>
        <w:fldChar w:fldCharType="end"/>
      </w:r>
    </w:p>
    <w:p w14:paraId="49C8325A">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_Toc3538 </w:instrText>
      </w:r>
      <w:r>
        <w:rPr>
          <w:rFonts w:hint="eastAsia" w:ascii="仿宋_GB2312" w:hAnsi="仿宋_GB2312" w:eastAsia="仿宋_GB2312" w:cs="仿宋_GB2312"/>
        </w:rPr>
        <w:fldChar w:fldCharType="separate"/>
      </w:r>
      <w:r>
        <w:rPr>
          <w:rFonts w:hint="eastAsia"/>
          <w:lang w:val="en-US" w:eastAsia="zh-CN"/>
        </w:rPr>
        <w:t>四、燃油品质及环保要求</w:t>
      </w:r>
      <w:r>
        <w:tab/>
      </w:r>
      <w:r>
        <w:fldChar w:fldCharType="begin"/>
      </w:r>
      <w:r>
        <w:instrText xml:space="preserve"> PAGEREF _Toc3538 \h </w:instrText>
      </w:r>
      <w:r>
        <w:fldChar w:fldCharType="separate"/>
      </w:r>
      <w:r>
        <w:t>37</w:t>
      </w:r>
      <w:r>
        <w:fldChar w:fldCharType="end"/>
      </w:r>
      <w:r>
        <w:rPr>
          <w:rFonts w:hint="eastAsia" w:ascii="仿宋_GB2312" w:hAnsi="仿宋_GB2312" w:eastAsia="仿宋_GB2312" w:cs="仿宋_GB2312"/>
        </w:rPr>
        <w:fldChar w:fldCharType="end"/>
      </w:r>
    </w:p>
    <w:p w14:paraId="22429258">
      <w:pPr>
        <w:pStyle w:val="14"/>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_Toc24807 </w:instrText>
      </w:r>
      <w:r>
        <w:rPr>
          <w:rFonts w:hint="eastAsia" w:ascii="仿宋_GB2312" w:hAnsi="仿宋_GB2312" w:eastAsia="仿宋_GB2312" w:cs="仿宋_GB2312"/>
        </w:rPr>
        <w:fldChar w:fldCharType="separate"/>
      </w:r>
      <w:r>
        <w:rPr>
          <w:rFonts w:hint="eastAsia"/>
          <w:lang w:val="en-US" w:eastAsia="zh-CN"/>
        </w:rPr>
        <w:t>五、风险环境管控要求</w:t>
      </w:r>
      <w:r>
        <w:tab/>
      </w:r>
      <w:r>
        <w:fldChar w:fldCharType="begin"/>
      </w:r>
      <w:r>
        <w:instrText xml:space="preserve"> PAGEREF _Toc24807 \h </w:instrText>
      </w:r>
      <w:r>
        <w:fldChar w:fldCharType="separate"/>
      </w:r>
      <w:r>
        <w:t>38</w:t>
      </w:r>
      <w:r>
        <w:fldChar w:fldCharType="end"/>
      </w:r>
      <w:r>
        <w:rPr>
          <w:rFonts w:hint="eastAsia" w:ascii="仿宋_GB2312" w:hAnsi="仿宋_GB2312" w:eastAsia="仿宋_GB2312" w:cs="仿宋_GB2312"/>
        </w:rPr>
        <w:fldChar w:fldCharType="end"/>
      </w:r>
    </w:p>
    <w:p w14:paraId="2D25C18D">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_Toc28368 </w:instrText>
      </w:r>
      <w:r>
        <w:rPr>
          <w:rFonts w:hint="eastAsia" w:ascii="仿宋_GB2312" w:hAnsi="仿宋_GB2312" w:eastAsia="仿宋_GB2312" w:cs="仿宋_GB2312"/>
        </w:rPr>
        <w:fldChar w:fldCharType="separate"/>
      </w:r>
      <w:r>
        <w:rPr>
          <w:rFonts w:hint="default"/>
          <w:lang w:val="en-US" w:eastAsia="zh-CN"/>
        </w:rPr>
        <w:t>第</w:t>
      </w:r>
      <w:r>
        <w:rPr>
          <w:rFonts w:hint="eastAsia"/>
          <w:lang w:val="en-US" w:eastAsia="zh-CN"/>
        </w:rPr>
        <w:t>六</w:t>
      </w:r>
      <w:r>
        <w:rPr>
          <w:rFonts w:hint="default"/>
          <w:lang w:val="en-US" w:eastAsia="zh-CN"/>
        </w:rPr>
        <w:t>章 实施保障措施</w:t>
      </w:r>
      <w:r>
        <w:tab/>
      </w:r>
      <w:r>
        <w:fldChar w:fldCharType="begin"/>
      </w:r>
      <w:r>
        <w:instrText xml:space="preserve"> PAGEREF _Toc28368 \h </w:instrText>
      </w:r>
      <w:r>
        <w:fldChar w:fldCharType="separate"/>
      </w:r>
      <w:r>
        <w:t>40</w:t>
      </w:r>
      <w:r>
        <w:fldChar w:fldCharType="end"/>
      </w:r>
      <w:r>
        <w:rPr>
          <w:rFonts w:hint="eastAsia" w:ascii="仿宋_GB2312" w:hAnsi="仿宋_GB2312" w:eastAsia="仿宋_GB2312" w:cs="仿宋_GB2312"/>
        </w:rPr>
        <w:fldChar w:fldCharType="end"/>
      </w:r>
    </w:p>
    <w:p w14:paraId="640E48F4">
      <w:pPr>
        <w:pStyle w:val="11"/>
        <w:tabs>
          <w:tab w:val="right" w:leader="dot" w:pos="8732"/>
        </w:tabs>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\l _Toc5002 </w:instrText>
      </w:r>
      <w:r>
        <w:rPr>
          <w:rFonts w:hint="eastAsia" w:ascii="仿宋_GB2312" w:hAnsi="仿宋_GB2312" w:eastAsia="仿宋_GB2312" w:cs="仿宋_GB2312"/>
        </w:rPr>
        <w:fldChar w:fldCharType="separate"/>
      </w:r>
      <w:r>
        <w:rPr>
          <w:rFonts w:hint="eastAsia"/>
          <w:lang w:val="en-US" w:eastAsia="zh-CN"/>
        </w:rPr>
        <w:t>第七章 规划附件</w:t>
      </w:r>
      <w:r>
        <w:tab/>
      </w:r>
      <w:r>
        <w:fldChar w:fldCharType="begin"/>
      </w:r>
      <w:r>
        <w:instrText xml:space="preserve"> PAGEREF _Toc5002 \h </w:instrText>
      </w:r>
      <w:r>
        <w:fldChar w:fldCharType="separate"/>
      </w:r>
      <w:r>
        <w:t>43</w:t>
      </w:r>
      <w:r>
        <w:fldChar w:fldCharType="end"/>
      </w:r>
      <w:r>
        <w:rPr>
          <w:rFonts w:hint="eastAsia" w:ascii="仿宋_GB2312" w:hAnsi="仿宋_GB2312" w:eastAsia="仿宋_GB2312" w:cs="仿宋_GB2312"/>
        </w:rPr>
        <w:fldChar w:fldCharType="end"/>
      </w:r>
    </w:p>
    <w:p w14:paraId="5EFBB691">
      <w:r>
        <w:rPr>
          <w:rFonts w:hint="eastAsia" w:ascii="仿宋_GB2312" w:hAnsi="仿宋_GB2312" w:eastAsia="仿宋_GB2312" w:cs="仿宋_GB2312"/>
        </w:rPr>
        <w:fldChar w:fldCharType="end"/>
      </w:r>
    </w:p>
    <w:p w14:paraId="599B2BCD">
      <w:pPr>
        <w:pStyle w:val="2"/>
        <w:bidi w:val="0"/>
        <w:rPr>
          <w:rFonts w:hint="eastAsia"/>
          <w:lang w:val="en-US" w:eastAsia="zh-CN"/>
        </w:rPr>
        <w:sectPr>
          <w:footerReference r:id="rId6" w:type="default"/>
          <w:pgSz w:w="11906" w:h="16838"/>
          <w:pgMar w:top="2098" w:right="1587" w:bottom="2098" w:left="1587" w:header="1191" w:footer="964" w:gutter="0"/>
          <w:pgNumType w:fmt="decimal" w:start="1"/>
          <w:cols w:space="425" w:num="1"/>
          <w:docGrid w:type="lines" w:linePitch="312" w:charSpace="0"/>
        </w:sectPr>
      </w:pPr>
      <w:bookmarkStart w:id="4" w:name="_Toc8702"/>
      <w:bookmarkStart w:id="5" w:name="_Toc18012"/>
    </w:p>
    <w:p w14:paraId="6A85C93A">
      <w:pPr>
        <w:pStyle w:val="2"/>
        <w:bidi w:val="0"/>
        <w:rPr>
          <w:rFonts w:hint="default"/>
          <w:lang w:val="en-US" w:eastAsia="zh-CN"/>
        </w:rPr>
      </w:pPr>
      <w:bookmarkStart w:id="6" w:name="_Toc4637"/>
      <w:bookmarkStart w:id="7" w:name="_Toc28858"/>
      <w:r>
        <w:rPr>
          <w:rFonts w:hint="eastAsia"/>
          <w:lang w:val="en-US" w:eastAsia="zh-CN"/>
        </w:rPr>
        <w:t>前 言</w:t>
      </w:r>
      <w:bookmarkEnd w:id="4"/>
      <w:bookmarkEnd w:id="5"/>
      <w:bookmarkEnd w:id="6"/>
      <w:bookmarkEnd w:id="7"/>
    </w:p>
    <w:p w14:paraId="09AFF782">
      <w:pPr>
        <w:bidi w:val="0"/>
      </w:pPr>
      <w:r>
        <w:rPr>
          <w:rFonts w:hint="eastAsia"/>
          <w:lang w:val="en-US" w:eastAsia="zh-CN"/>
        </w:rPr>
        <w:t>成品油作为关系国计民生的基础性和战略性资源，是保障国民经济平稳运行、支撑职工群众生产生活的重要能源，成品油零售体系建设直接关联市场秩序、能源安全与民生服务质量，对推动经济社会高质量发展意义重大。</w:t>
      </w:r>
    </w:p>
    <w:p w14:paraId="1C2F57A8">
      <w:pPr>
        <w:bidi w:val="0"/>
        <w:rPr>
          <w:rFonts w:hint="default"/>
          <w:lang w:val="en-US" w:eastAsia="zh-CN"/>
        </w:rPr>
      </w:pPr>
      <w:r>
        <w:rPr>
          <w:rFonts w:hint="eastAsia"/>
          <w:lang w:val="en-US" w:eastAsia="zh-CN"/>
        </w:rPr>
        <w:t>“十四五”时期，在师市党委的坚强领导及师市统筹部署下，师市商务局严格落实《第五师双河市成品油零售体系“十四五”发展规划》，持续强化成品油市场监管、优化网点布局、提升服务效能，保障了师市成品油市场规范有序运行。“十五五”时期，</w:t>
      </w:r>
      <w:r>
        <w:rPr>
          <w:rFonts w:hint="default"/>
          <w:lang w:val="en-US" w:eastAsia="zh-CN"/>
        </w:rPr>
        <w:t>随着</w:t>
      </w:r>
      <w:r>
        <w:rPr>
          <w:rFonts w:hint="eastAsia"/>
          <w:lang w:val="en-US" w:eastAsia="zh-CN"/>
        </w:rPr>
        <w:t>经济社会持续发展和“双碳”目标推进，成品油零售经营体系面临新的挑战，</w:t>
      </w:r>
      <w:r>
        <w:rPr>
          <w:rFonts w:hint="default"/>
          <w:lang w:val="en-US" w:eastAsia="zh-CN"/>
        </w:rPr>
        <w:t>为顺应师市国民经济和社会发展总体规划要求，对接能源革命、车辆升级、道路建设等趋势，进一步健全布局合理、安全高效的成品油零售服务网络，扩大优质成品油供给，更好满足</w:t>
      </w:r>
      <w:r>
        <w:rPr>
          <w:rFonts w:hint="eastAsia"/>
          <w:lang w:val="en-US" w:eastAsia="zh-CN"/>
        </w:rPr>
        <w:t>职工</w:t>
      </w:r>
      <w:r>
        <w:rPr>
          <w:rFonts w:hint="default"/>
          <w:lang w:val="en-US" w:eastAsia="zh-CN"/>
        </w:rPr>
        <w:t>群众多元化消费需求，</w:t>
      </w:r>
      <w:r>
        <w:rPr>
          <w:rFonts w:hint="eastAsia"/>
          <w:lang w:val="en-US" w:eastAsia="zh-CN"/>
        </w:rPr>
        <w:t>依</w:t>
      </w:r>
      <w:r>
        <w:rPr>
          <w:rFonts w:hint="default"/>
          <w:lang w:val="en-US" w:eastAsia="zh-CN"/>
        </w:rPr>
        <w:t>据《国务院办公厅关于推动成品油流通高质量发展的意见》（国办发〔2025〕5号）</w:t>
      </w:r>
      <w:r>
        <w:rPr>
          <w:rFonts w:hint="eastAsia"/>
          <w:lang w:val="en-US" w:eastAsia="zh-CN"/>
        </w:rPr>
        <w:t>、</w:t>
      </w:r>
      <w:r>
        <w:rPr>
          <w:rFonts w:hint="default"/>
          <w:lang w:val="en-US" w:eastAsia="zh-CN"/>
        </w:rPr>
        <w:t>《成品油流通管理办法》（中华人民共和国商务部令〔2025〕4号），编制《第</w:t>
      </w:r>
      <w:r>
        <w:rPr>
          <w:rFonts w:hint="eastAsia"/>
          <w:lang w:val="en-US" w:eastAsia="zh-CN"/>
        </w:rPr>
        <w:t>五</w:t>
      </w:r>
      <w:r>
        <w:rPr>
          <w:rFonts w:hint="default"/>
          <w:lang w:val="en-US" w:eastAsia="zh-CN"/>
        </w:rPr>
        <w:t>师</w:t>
      </w:r>
      <w:r>
        <w:rPr>
          <w:rFonts w:hint="eastAsia"/>
          <w:lang w:val="en-US" w:eastAsia="zh-CN"/>
        </w:rPr>
        <w:t>双河</w:t>
      </w:r>
      <w:r>
        <w:rPr>
          <w:rFonts w:hint="default"/>
          <w:lang w:val="en-US" w:eastAsia="zh-CN"/>
        </w:rPr>
        <w:t>市成品油零售经营体系“十五五”发展规划（2026—2030年）》（以下简称《规划》）。</w:t>
      </w:r>
    </w:p>
    <w:p w14:paraId="0DAD7F0D">
      <w:pPr>
        <w:bidi w:val="0"/>
        <w:rPr>
          <w:rFonts w:hint="eastAsia"/>
        </w:rPr>
      </w:pPr>
      <w:r>
        <w:rPr>
          <w:rFonts w:hint="eastAsia"/>
          <w:lang w:val="en-US" w:eastAsia="zh-CN"/>
        </w:rPr>
        <w:t>《规划》重点回顾“十四五”规划执行成效，系统总结实践经验，精准查摆存在不足并明确整改措施；深入分析“十五五”时期行业发展新形势，确立核心发展理念与总体布局，明确重点任务及保障举措；</w:t>
      </w:r>
      <w:r>
        <w:rPr>
          <w:rFonts w:hint="eastAsia"/>
        </w:rPr>
        <w:t>结合能源结构、汽车保有量等</w:t>
      </w:r>
      <w:r>
        <w:rPr>
          <w:rFonts w:hint="eastAsia"/>
          <w:lang w:val="en-US" w:eastAsia="zh-CN"/>
        </w:rPr>
        <w:t>关键</w:t>
      </w:r>
      <w:r>
        <w:rPr>
          <w:rFonts w:hint="eastAsia"/>
        </w:rPr>
        <w:t>因素</w:t>
      </w:r>
      <w:r>
        <w:rPr>
          <w:rFonts w:hint="eastAsia"/>
          <w:lang w:eastAsia="zh-CN"/>
        </w:rPr>
        <w:t>，科学预测市场供求态势，统筹平衡消费端与企业端需求，</w:t>
      </w:r>
      <w:r>
        <w:rPr>
          <w:rFonts w:hint="eastAsia"/>
          <w:lang w:val="en-US" w:eastAsia="zh-CN"/>
        </w:rPr>
        <w:t>遵循</w:t>
      </w:r>
      <w:r>
        <w:rPr>
          <w:rFonts w:hint="eastAsia"/>
        </w:rPr>
        <w:t>“优化存量、按需增量”原则，着力构建适配师市国民经济发展、竞争有序、布局合理、安全高效、绿色低碳的成品油零售体系，为保障能源安全、服务民生需求、推动师市经济社会高质量发展提供坚实支撑。</w:t>
      </w:r>
    </w:p>
    <w:p w14:paraId="7671527C">
      <w:pPr>
        <w:bidi w:val="0"/>
        <w:rPr>
          <w:rFonts w:hint="default"/>
          <w:lang w:val="en-US" w:eastAsia="zh-CN"/>
        </w:rPr>
        <w:sectPr>
          <w:footerReference r:id="rId7" w:type="default"/>
          <w:pgSz w:w="11906" w:h="16838"/>
          <w:pgMar w:top="2098" w:right="1587" w:bottom="2098" w:left="1587" w:header="1191" w:footer="964" w:gutter="0"/>
          <w:pgNumType w:fmt="decimal" w:start="1"/>
          <w:cols w:space="425" w:num="1"/>
          <w:docGrid w:type="lines" w:linePitch="312" w:charSpace="0"/>
        </w:sectPr>
      </w:pPr>
    </w:p>
    <w:p w14:paraId="3F71304F">
      <w:pPr>
        <w:pStyle w:val="2"/>
        <w:bidi w:val="0"/>
        <w:rPr>
          <w:rFonts w:hint="eastAsia"/>
          <w:lang w:val="en-US" w:eastAsia="zh-CN"/>
        </w:rPr>
      </w:pPr>
      <w:bookmarkStart w:id="8" w:name="_Toc1365"/>
      <w:bookmarkStart w:id="9" w:name="_Toc20005"/>
      <w:bookmarkStart w:id="10" w:name="_Toc23357"/>
      <w:bookmarkStart w:id="11" w:name="_Toc31540"/>
      <w:r>
        <w:rPr>
          <w:rFonts w:hint="eastAsia"/>
          <w:lang w:val="en-US" w:eastAsia="zh-CN"/>
        </w:rPr>
        <w:t>第一章 概 述</w:t>
      </w:r>
      <w:bookmarkEnd w:id="8"/>
      <w:bookmarkEnd w:id="9"/>
    </w:p>
    <w:p w14:paraId="7A7A85EC">
      <w:pPr>
        <w:pStyle w:val="3"/>
        <w:bidi w:val="0"/>
        <w:rPr>
          <w:rFonts w:hint="eastAsia"/>
          <w:lang w:val="en-US" w:eastAsia="zh-CN"/>
        </w:rPr>
      </w:pPr>
      <w:bookmarkStart w:id="12" w:name="_Toc3007"/>
      <w:bookmarkStart w:id="13" w:name="_Toc11706"/>
      <w:r>
        <w:rPr>
          <w:rFonts w:hint="eastAsia"/>
          <w:lang w:val="en-US" w:eastAsia="zh-CN"/>
        </w:rPr>
        <w:t>一、规划背景</w:t>
      </w:r>
      <w:bookmarkEnd w:id="12"/>
      <w:bookmarkEnd w:id="13"/>
    </w:p>
    <w:p w14:paraId="3AFE6949">
      <w:pPr>
        <w:bidi w:val="0"/>
        <w:rPr>
          <w:rFonts w:hint="eastAsia"/>
          <w:lang w:val="en-US" w:eastAsia="zh-CN"/>
        </w:rPr>
      </w:pPr>
      <w:r>
        <w:rPr>
          <w:rFonts w:hint="eastAsia"/>
          <w:lang w:val="en-US" w:eastAsia="zh-CN"/>
        </w:rPr>
        <w:t>“十五五”时期，是我国锚定第二个百年奋斗目标、全面推进社会主义现代化建设的关键五年，更是深入贯彻习近平总书记关于新疆工作和兵团工作重要讲话重要指示精神，推动兵团维稳戍边职责使命与高质量发展深度融合的重要阶段。在国家“双碳”目标纵深推进、新型能源体系加快构建的大背景下，新能源的应用对成品油零售行业产生明显影响。2020年10月9日，国务院常务会议通过《新能源汽车产业发展规划》，进一步明确了对于未来5年、15年的新能源汽车的发展目标：到2025年新能源汽车新车销量占比要达到*％左右，到2035年国内公共领域用车全面实现电动化。政策驱动下“十四五”期间我国新能源汽车销售占比从2020年的*%飙升至2025年的*%，销量从*万辆跃升至*万辆左右，行业迎来需求结构重塑的关键拐点。</w:t>
      </w:r>
    </w:p>
    <w:p w14:paraId="6D42FC94">
      <w:pPr>
        <w:bidi w:val="0"/>
        <w:rPr>
          <w:rFonts w:hint="eastAsia"/>
          <w:lang w:eastAsia="zh-CN"/>
        </w:rPr>
      </w:pPr>
      <w:r>
        <w:rPr>
          <w:rFonts w:hint="eastAsia"/>
          <w:lang w:val="en-US" w:eastAsia="zh-CN"/>
        </w:rPr>
        <w:t>能源消费革命与数字经济转型双轮驱动，既为成品油零售行业带来“清洁化、智慧化、综合化”转型机遇，也提出适配区域发展、服务战略需求的新要求。</w:t>
      </w:r>
      <w:r>
        <w:rPr>
          <w:rFonts w:hint="eastAsia"/>
        </w:rPr>
        <w:t>作为兵团重要战略支点，第五师双河市</w:t>
      </w:r>
      <w:r>
        <w:rPr>
          <w:rFonts w:hint="eastAsia"/>
          <w:lang w:val="en-US" w:eastAsia="zh-CN"/>
        </w:rPr>
        <w:t>货物运输</w:t>
      </w:r>
      <w:r>
        <w:rPr>
          <w:rFonts w:hint="eastAsia"/>
        </w:rPr>
        <w:t>、团场农业机械作业、工业生产、旅游观光等领域对成品油的刚性需求仍将长期存在，零售体系仍是保障师市能源安全、维系经济社会运转的基础性支撑</w:t>
      </w:r>
      <w:r>
        <w:rPr>
          <w:rFonts w:hint="eastAsia"/>
          <w:lang w:eastAsia="zh-CN"/>
        </w:rPr>
        <w:t>。</w:t>
      </w:r>
    </w:p>
    <w:p w14:paraId="0DEE49E9">
      <w:pPr>
        <w:keepNext w:val="0"/>
        <w:keepLines w:val="0"/>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r>
        <w:rPr>
          <w:rFonts w:hint="eastAsia"/>
        </w:rPr>
        <w:t>师市紧密</w:t>
      </w:r>
      <w:r>
        <w:rPr>
          <w:rFonts w:hint="eastAsia"/>
          <w:lang w:val="en-US" w:eastAsia="zh-CN"/>
        </w:rPr>
        <w:t>衔接</w:t>
      </w:r>
      <w:r>
        <w:rPr>
          <w:rFonts w:hint="eastAsia"/>
        </w:rPr>
        <w:t>自治区“五大战略定位”，结合自身资源禀赋与发展</w:t>
      </w:r>
      <w:r>
        <w:rPr>
          <w:rFonts w:hint="eastAsia"/>
          <w:color w:val="auto"/>
          <w:highlight w:val="none"/>
        </w:rPr>
        <w:t>实际，</w:t>
      </w:r>
      <w:r>
        <w:rPr>
          <w:rFonts w:hint="default"/>
          <w:color w:val="auto"/>
          <w:highlight w:val="none"/>
          <w:lang w:val="en-US" w:eastAsia="zh-CN"/>
        </w:rPr>
        <w:t>明确</w:t>
      </w:r>
      <w:r>
        <w:rPr>
          <w:rFonts w:hint="eastAsia"/>
          <w:color w:val="auto"/>
          <w:highlight w:val="none"/>
          <w:lang w:val="en-US" w:eastAsia="zh-CN"/>
        </w:rPr>
        <w:t>“</w:t>
      </w:r>
      <w:r>
        <w:rPr>
          <w:rFonts w:hint="default"/>
          <w:color w:val="auto"/>
          <w:highlight w:val="none"/>
          <w:lang w:val="en-US" w:eastAsia="zh-CN"/>
        </w:rPr>
        <w:t>十五五</w:t>
      </w:r>
      <w:r>
        <w:rPr>
          <w:rFonts w:hint="eastAsia"/>
          <w:color w:val="auto"/>
          <w:highlight w:val="none"/>
          <w:lang w:val="en-US" w:eastAsia="zh-CN"/>
        </w:rPr>
        <w:t>”</w:t>
      </w:r>
      <w:r>
        <w:rPr>
          <w:rFonts w:hint="default"/>
          <w:color w:val="auto"/>
          <w:highlight w:val="none"/>
          <w:lang w:val="en-US" w:eastAsia="zh-CN"/>
        </w:rPr>
        <w:t>期间将</w:t>
      </w:r>
      <w:r>
        <w:rPr>
          <w:rFonts w:hint="eastAsia"/>
          <w:color w:val="auto"/>
          <w:highlight w:val="none"/>
          <w:lang w:val="en-US" w:eastAsia="zh-CN"/>
        </w:rPr>
        <w:t>深入实施“新质农业筑基、口岸工业强链、古道文旅兴城、绿色智慧赋能”发展战略，加快构建“3+3+3”现代化产业体系，全力实现“四基两区”目标。</w:t>
      </w:r>
      <w:r>
        <w:rPr>
          <w:rFonts w:hint="eastAsia"/>
          <w:color w:val="auto"/>
          <w:highlight w:val="none"/>
        </w:rPr>
        <w:t>但对照高质量发展要求，</w:t>
      </w:r>
      <w:r>
        <w:rPr>
          <w:rFonts w:hint="eastAsia"/>
          <w:color w:val="auto"/>
          <w:highlight w:val="none"/>
          <w:lang w:eastAsia="zh-CN"/>
        </w:rPr>
        <w:t>目前</w:t>
      </w:r>
      <w:r>
        <w:rPr>
          <w:rFonts w:hint="eastAsia"/>
          <w:color w:val="auto"/>
          <w:highlight w:val="none"/>
        </w:rPr>
        <w:t>仍存在部分短板弱项</w:t>
      </w:r>
      <w:r>
        <w:rPr>
          <w:rFonts w:hint="eastAsia"/>
          <w:color w:val="auto"/>
          <w:highlight w:val="none"/>
          <w:lang w:val="en-US" w:eastAsia="zh-CN"/>
        </w:rPr>
        <w:t>，部分加油站规模偏小、站容陈旧、档次不高、设施相对落后与经营模式单一等问题较为突出，</w:t>
      </w:r>
      <w:r>
        <w:rPr>
          <w:rFonts w:hint="eastAsia"/>
          <w:color w:val="auto"/>
          <w:highlight w:val="none"/>
        </w:rPr>
        <w:t>制约了</w:t>
      </w:r>
      <w:r>
        <w:rPr>
          <w:rFonts w:hint="eastAsia"/>
          <w:color w:val="auto"/>
          <w:highlight w:val="none"/>
          <w:lang w:val="en-US" w:eastAsia="zh-CN"/>
        </w:rPr>
        <w:t>行业</w:t>
      </w:r>
      <w:r>
        <w:rPr>
          <w:rFonts w:hint="eastAsia"/>
          <w:color w:val="auto"/>
          <w:highlight w:val="none"/>
        </w:rPr>
        <w:t>效益提升与</w:t>
      </w:r>
      <w:r>
        <w:rPr>
          <w:rFonts w:hint="eastAsia"/>
          <w:color w:val="auto"/>
          <w:highlight w:val="none"/>
          <w:lang w:val="en-US" w:eastAsia="zh-CN"/>
        </w:rPr>
        <w:t>功能升级。基于此，“十五五”时期师市成品油零售体系以规范发展为基础，以</w:t>
      </w:r>
      <w:r>
        <w:rPr>
          <w:rFonts w:hint="eastAsia"/>
        </w:rPr>
        <w:t>高质量发展为导向，</w:t>
      </w:r>
      <w:r>
        <w:rPr>
          <w:rFonts w:hint="eastAsia"/>
          <w:lang w:val="en-US" w:eastAsia="zh-CN"/>
        </w:rPr>
        <w:t>通过布局优化、绿能融合、智慧赋能三轮驱动，</w:t>
      </w:r>
      <w:r>
        <w:rPr>
          <w:rFonts w:hint="eastAsia"/>
        </w:rPr>
        <w:t>推动加油站从传统能源供应节点向多功能综合服务平台转型</w:t>
      </w:r>
      <w:r>
        <w:rPr>
          <w:rFonts w:hint="eastAsia"/>
          <w:lang w:eastAsia="zh-CN"/>
        </w:rPr>
        <w:t>，</w:t>
      </w:r>
      <w:r>
        <w:rPr>
          <w:rFonts w:hint="eastAsia"/>
        </w:rPr>
        <w:t>既适配新能源汽车普及带来的充电设施补短板需求，也强化对口岸经济、现代农业等重点领域的能源保障能力，将其打造为服务团场振兴、支撑产业升级的重要引擎，为兵团现代化建设提供坚实可靠的能源支撑。</w:t>
      </w:r>
    </w:p>
    <w:p w14:paraId="16F055D5">
      <w:pPr>
        <w:pStyle w:val="3"/>
        <w:bidi w:val="0"/>
        <w:rPr>
          <w:rFonts w:hint="eastAsia"/>
          <w:lang w:val="en-US" w:eastAsia="zh-CN"/>
        </w:rPr>
      </w:pPr>
      <w:bookmarkStart w:id="14" w:name="_Toc895"/>
      <w:bookmarkStart w:id="15" w:name="_Toc10542"/>
      <w:r>
        <w:rPr>
          <w:rFonts w:hint="eastAsia"/>
          <w:lang w:val="en-US" w:eastAsia="zh-CN"/>
        </w:rPr>
        <w:t>二、规划依据</w:t>
      </w:r>
      <w:bookmarkEnd w:id="14"/>
      <w:bookmarkEnd w:id="15"/>
    </w:p>
    <w:p w14:paraId="66149B56">
      <w:pPr>
        <w:bidi w:val="0"/>
        <w:rPr>
          <w:rFonts w:hint="eastAsia"/>
          <w:lang w:val="en-US" w:eastAsia="zh-CN"/>
        </w:rPr>
      </w:pPr>
      <w:r>
        <w:rPr>
          <w:rFonts w:hint="eastAsia"/>
          <w:lang w:val="en-US" w:eastAsia="zh-CN"/>
        </w:rPr>
        <w:t>1.《中华人民共和国行政许可法（2019修正）》（2019年4月23日）；</w:t>
      </w:r>
    </w:p>
    <w:p w14:paraId="5DFE3D23">
      <w:pPr>
        <w:rPr>
          <w:rFonts w:hint="eastAsia"/>
          <w:lang w:val="en-US" w:eastAsia="zh-CN"/>
        </w:rPr>
      </w:pPr>
      <w:r>
        <w:rPr>
          <w:rFonts w:hint="eastAsia"/>
          <w:lang w:val="en-US" w:eastAsia="zh-CN"/>
        </w:rPr>
        <w:t>2.《中华人民共和国消防法（2019修正）》（2019年4月23日）；</w:t>
      </w:r>
    </w:p>
    <w:p w14:paraId="65E8A7E2">
      <w:pPr>
        <w:rPr>
          <w:rFonts w:hint="eastAsia"/>
          <w:lang w:val="en-US" w:eastAsia="zh-CN"/>
        </w:rPr>
      </w:pPr>
      <w:r>
        <w:rPr>
          <w:rFonts w:hint="eastAsia"/>
          <w:lang w:val="en-US" w:eastAsia="zh-CN"/>
        </w:rPr>
        <w:t>3.《成品油流通管理办法》（中华人民共和国商务部令〔2025〕4号）；</w:t>
      </w:r>
    </w:p>
    <w:p w14:paraId="0A4CE190">
      <w:pPr>
        <w:rPr>
          <w:rFonts w:hint="eastAsia"/>
          <w:lang w:val="en-US" w:eastAsia="zh-CN"/>
        </w:rPr>
      </w:pPr>
      <w:r>
        <w:rPr>
          <w:rFonts w:hint="eastAsia"/>
          <w:lang w:val="en-US" w:eastAsia="zh-CN"/>
        </w:rPr>
        <w:t>4.《城市用地分类与规划建设用地标准》（GB50137-2011）；</w:t>
      </w:r>
    </w:p>
    <w:p w14:paraId="30C641F2">
      <w:pPr>
        <w:rPr>
          <w:rFonts w:hint="eastAsia"/>
          <w:lang w:val="en-US" w:eastAsia="zh-CN"/>
        </w:rPr>
      </w:pPr>
      <w:r>
        <w:rPr>
          <w:rFonts w:hint="eastAsia"/>
          <w:lang w:val="en-US" w:eastAsia="zh-CN"/>
        </w:rPr>
        <w:t>5.</w:t>
      </w:r>
      <w:r>
        <w:rPr>
          <w:rFonts w:hint="eastAsia"/>
        </w:rPr>
        <w:t>《汽车加油加气站设计与施工规范》</w:t>
      </w:r>
      <w:r>
        <w:rPr>
          <w:rFonts w:hint="eastAsia"/>
          <w:lang w:eastAsia="zh-CN"/>
        </w:rPr>
        <w:t>（</w:t>
      </w:r>
      <w:r>
        <w:rPr>
          <w:rFonts w:hint="eastAsia"/>
        </w:rPr>
        <w:t>GB50156-2021</w:t>
      </w:r>
      <w:r>
        <w:rPr>
          <w:rFonts w:hint="eastAsia"/>
          <w:lang w:eastAsia="zh-CN"/>
        </w:rPr>
        <w:t>）；</w:t>
      </w:r>
    </w:p>
    <w:p w14:paraId="7968A884">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6.《成品油零售企业管理技术规范》（SB/T10390-2004）；</w:t>
      </w:r>
    </w:p>
    <w:p w14:paraId="7EFB6FC3">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7.《加油站大气污染物排放标准》（GB 20952—2020）；</w:t>
      </w:r>
    </w:p>
    <w:p w14:paraId="66847E78">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8.《建筑防火通用规范》（GB 55037-2022）；</w:t>
      </w:r>
    </w:p>
    <w:p w14:paraId="4BDFD474">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9.《国务院办公厅发布关于加快发展流通促进商业消费的意见》（国办发〔2019〕42号）；</w:t>
      </w:r>
    </w:p>
    <w:p w14:paraId="19551E7A">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10.《国务院办公厅关于印发新能源汽车产业发展规划（2021—2035年）的通知》（国办发〔2020〕39号）；</w:t>
      </w:r>
    </w:p>
    <w:p w14:paraId="54EA5EA2">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11.《国务院办公厅关于推动成品油流通高质量发展的意见》（国办发〔2025〕5号）；</w:t>
      </w:r>
    </w:p>
    <w:p w14:paraId="5F0BA63E">
      <w:pPr>
        <w:pageBreakBefore w:val="0"/>
        <w:widowControl w:val="0"/>
        <w:kinsoku/>
        <w:wordWrap/>
        <w:overflowPunct w:val="0"/>
        <w:topLinePunct w:val="0"/>
        <w:autoSpaceDE/>
        <w:autoSpaceDN/>
        <w:bidi w:val="0"/>
        <w:adjustRightInd/>
        <w:snapToGrid/>
        <w:spacing w:line="520" w:lineRule="exact"/>
        <w:textAlignment w:val="auto"/>
        <w:rPr>
          <w:rFonts w:hint="eastAsia"/>
          <w:lang w:val="en-US" w:eastAsia="zh-CN"/>
        </w:rPr>
      </w:pPr>
      <w:r>
        <w:rPr>
          <w:rFonts w:hint="eastAsia"/>
          <w:lang w:val="en-US" w:eastAsia="zh-CN"/>
        </w:rPr>
        <w:t>12.关于印发《兵团关于加快发展流通促进商业消费的实施方案》的通知（新兵办发〔2019〕75号）；</w:t>
      </w:r>
    </w:p>
    <w:p w14:paraId="24A09064">
      <w:pPr>
        <w:pageBreakBefore w:val="0"/>
        <w:widowControl w:val="0"/>
        <w:kinsoku/>
        <w:wordWrap/>
        <w:overflowPunct w:val="0"/>
        <w:topLinePunct w:val="0"/>
        <w:autoSpaceDE/>
        <w:autoSpaceDN/>
        <w:bidi w:val="0"/>
        <w:adjustRightInd/>
        <w:snapToGrid/>
        <w:spacing w:line="520" w:lineRule="exact"/>
        <w:textAlignment w:val="auto"/>
        <w:rPr>
          <w:rFonts w:hint="eastAsia"/>
          <w:highlight w:val="none"/>
          <w:lang w:val="en-US" w:eastAsia="zh-CN"/>
        </w:rPr>
      </w:pPr>
      <w:r>
        <w:rPr>
          <w:rFonts w:hint="eastAsia"/>
          <w:lang w:val="en-US" w:eastAsia="zh-CN"/>
        </w:rPr>
        <w:t>13.《新疆生产建设兵团石油成品油零售经营资格审批管理办</w:t>
      </w:r>
      <w:r>
        <w:rPr>
          <w:rFonts w:hint="eastAsia"/>
          <w:highlight w:val="none"/>
          <w:lang w:val="en-US" w:eastAsia="zh-CN"/>
        </w:rPr>
        <w:t>法》（兵商规〔2022〕1号）；</w:t>
      </w:r>
    </w:p>
    <w:p w14:paraId="017DC514">
      <w:pPr>
        <w:pageBreakBefore w:val="0"/>
        <w:widowControl w:val="0"/>
        <w:kinsoku/>
        <w:wordWrap/>
        <w:overflowPunct w:val="0"/>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14.《第五师国土空间总体规划（2021—2035年）》；</w:t>
      </w:r>
    </w:p>
    <w:p w14:paraId="00B2489C">
      <w:pPr>
        <w:pageBreakBefore w:val="0"/>
        <w:widowControl w:val="0"/>
        <w:kinsoku/>
        <w:wordWrap/>
        <w:overflowPunct w:val="0"/>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15.《双河市国土空间总体规划（2021—2035年）》；</w:t>
      </w:r>
    </w:p>
    <w:p w14:paraId="1F78A131">
      <w:pPr>
        <w:pageBreakBefore w:val="0"/>
        <w:widowControl w:val="0"/>
        <w:kinsoku/>
        <w:wordWrap/>
        <w:overflowPunct w:val="0"/>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16.自治区、第五师双河市待批、在编的片区控制性详细规划等。</w:t>
      </w:r>
    </w:p>
    <w:p w14:paraId="6AF64631">
      <w:pPr>
        <w:pStyle w:val="3"/>
        <w:pageBreakBefore w:val="0"/>
        <w:widowControl w:val="0"/>
        <w:kinsoku/>
        <w:wordWrap/>
        <w:overflowPunct w:val="0"/>
        <w:topLinePunct w:val="0"/>
        <w:autoSpaceDE/>
        <w:autoSpaceDN/>
        <w:bidi w:val="0"/>
        <w:adjustRightInd/>
        <w:snapToGrid/>
        <w:spacing w:line="520" w:lineRule="exact"/>
        <w:textAlignment w:val="auto"/>
        <w:rPr>
          <w:rFonts w:hint="eastAsia"/>
          <w:strike/>
          <w:highlight w:val="none"/>
          <w:lang w:val="en-US" w:eastAsia="zh-CN"/>
        </w:rPr>
      </w:pPr>
      <w:bookmarkStart w:id="16" w:name="_Toc9003"/>
      <w:bookmarkStart w:id="17" w:name="_Toc14776"/>
      <w:r>
        <w:rPr>
          <w:rFonts w:hint="eastAsia"/>
          <w:strike w:val="0"/>
          <w:highlight w:val="none"/>
          <w:lang w:val="en-US" w:eastAsia="zh-CN"/>
        </w:rPr>
        <w:t>三、规划范围年限</w:t>
      </w:r>
      <w:bookmarkEnd w:id="16"/>
      <w:bookmarkEnd w:id="17"/>
    </w:p>
    <w:p w14:paraId="72C3A4DF">
      <w:pPr>
        <w:pageBreakBefore w:val="0"/>
        <w:widowControl w:val="0"/>
        <w:kinsoku/>
        <w:wordWrap/>
        <w:overflowPunct w:val="0"/>
        <w:topLinePunct w:val="0"/>
        <w:autoSpaceDE/>
        <w:autoSpaceDN/>
        <w:bidi w:val="0"/>
        <w:adjustRightInd/>
        <w:snapToGrid/>
        <w:spacing w:line="520" w:lineRule="exact"/>
        <w:textAlignment w:val="auto"/>
        <w:rPr>
          <w:rFonts w:hint="default"/>
          <w:highlight w:val="none"/>
          <w:lang w:val="en-US" w:eastAsia="zh-CN"/>
        </w:rPr>
      </w:pPr>
      <w:r>
        <w:rPr>
          <w:rFonts w:hint="default"/>
          <w:b/>
          <w:bCs/>
          <w:highlight w:val="none"/>
          <w:lang w:val="en-US" w:eastAsia="zh-CN"/>
        </w:rPr>
        <w:t>规划范围</w:t>
      </w:r>
      <w:r>
        <w:rPr>
          <w:rFonts w:hint="default"/>
          <w:highlight w:val="none"/>
          <w:lang w:val="en-US" w:eastAsia="zh-CN"/>
        </w:rPr>
        <w:t>为</w:t>
      </w:r>
      <w:r>
        <w:rPr>
          <w:rFonts w:hint="eastAsia"/>
          <w:highlight w:val="none"/>
        </w:rPr>
        <w:t>第五师辖区内，包括双河市</w:t>
      </w:r>
      <w:r>
        <w:rPr>
          <w:rFonts w:hint="eastAsia"/>
          <w:highlight w:val="none"/>
          <w:lang w:eastAsia="zh-CN"/>
        </w:rPr>
        <w:t>、</w:t>
      </w:r>
      <w:r>
        <w:rPr>
          <w:rFonts w:hint="eastAsia"/>
          <w:highlight w:val="none"/>
        </w:rPr>
        <w:t>八十一团（双桥镇）、八十三团、八十四团（石峪镇）、八十六团（博乐镇）、八十七团、八十八团、八十九团（友谊镇）、九十团（双乐镇）</w:t>
      </w:r>
      <w:r>
        <w:rPr>
          <w:rFonts w:hint="eastAsia"/>
          <w:highlight w:val="none"/>
          <w:lang w:eastAsia="zh-CN"/>
        </w:rPr>
        <w:t>及</w:t>
      </w:r>
      <w:r>
        <w:rPr>
          <w:rFonts w:hint="eastAsia"/>
          <w:highlight w:val="none"/>
        </w:rPr>
        <w:t>九十一团</w:t>
      </w:r>
      <w:r>
        <w:rPr>
          <w:rFonts w:hint="eastAsia"/>
          <w:highlight w:val="none"/>
          <w:lang w:val="en-US" w:eastAsia="zh-CN"/>
        </w:rPr>
        <w:t>，国土空间总面积2655.57平方公里。</w:t>
      </w:r>
    </w:p>
    <w:p w14:paraId="4A0C0B27">
      <w:pPr>
        <w:pageBreakBefore w:val="0"/>
        <w:widowControl w:val="0"/>
        <w:kinsoku/>
        <w:wordWrap/>
        <w:overflowPunct w:val="0"/>
        <w:topLinePunct w:val="0"/>
        <w:autoSpaceDE/>
        <w:autoSpaceDN/>
        <w:bidi w:val="0"/>
        <w:adjustRightInd/>
        <w:snapToGrid/>
        <w:spacing w:line="520" w:lineRule="exact"/>
        <w:textAlignment w:val="auto"/>
        <w:rPr>
          <w:rFonts w:hint="eastAsia"/>
          <w:strike/>
        </w:rPr>
      </w:pPr>
      <w:r>
        <w:rPr>
          <w:rFonts w:hint="default"/>
          <w:b/>
          <w:bCs/>
          <w:lang w:val="en-US" w:eastAsia="zh-CN"/>
        </w:rPr>
        <w:t>规划期限</w:t>
      </w:r>
      <w:r>
        <w:rPr>
          <w:rFonts w:hint="default"/>
          <w:lang w:val="en-US" w:eastAsia="zh-CN"/>
        </w:rPr>
        <w:t>为2026年—2030年。</w:t>
      </w:r>
    </w:p>
    <w:p w14:paraId="0BBC67A6">
      <w:pPr>
        <w:pStyle w:val="2"/>
        <w:bidi w:val="0"/>
        <w:rPr>
          <w:rFonts w:hint="default"/>
          <w:lang w:val="en-US" w:eastAsia="zh-CN"/>
        </w:rPr>
      </w:pPr>
      <w:bookmarkStart w:id="18" w:name="_Toc17234"/>
      <w:bookmarkStart w:id="19" w:name="_Toc32598"/>
      <w:r>
        <w:rPr>
          <w:rFonts w:hint="eastAsia"/>
          <w:lang w:val="en-US" w:eastAsia="zh-CN"/>
        </w:rPr>
        <w:t xml:space="preserve">第二章 </w:t>
      </w:r>
      <w:r>
        <w:rPr>
          <w:rFonts w:hint="default"/>
          <w:lang w:val="en-US" w:eastAsia="zh-CN"/>
        </w:rPr>
        <w:t>发展现状及</w:t>
      </w:r>
      <w:r>
        <w:rPr>
          <w:rFonts w:hint="eastAsia"/>
          <w:lang w:val="en-US" w:eastAsia="zh-CN"/>
        </w:rPr>
        <w:t>形势</w:t>
      </w:r>
      <w:bookmarkEnd w:id="18"/>
      <w:bookmarkEnd w:id="19"/>
    </w:p>
    <w:p w14:paraId="46AB7F9E">
      <w:pPr>
        <w:pStyle w:val="3"/>
        <w:bidi w:val="0"/>
        <w:rPr>
          <w:rFonts w:hint="default"/>
          <w:lang w:val="en-US" w:eastAsia="zh-CN"/>
        </w:rPr>
      </w:pPr>
      <w:bookmarkStart w:id="20" w:name="_Toc21415"/>
      <w:bookmarkStart w:id="21" w:name="_Toc7904"/>
      <w:r>
        <w:rPr>
          <w:rFonts w:hint="eastAsia"/>
          <w:lang w:val="en-US" w:eastAsia="zh-CN"/>
        </w:rPr>
        <w:t>一、</w:t>
      </w:r>
      <w:r>
        <w:rPr>
          <w:rFonts w:hint="default"/>
          <w:lang w:val="en-US" w:eastAsia="zh-CN"/>
        </w:rPr>
        <w:t>经济社会发展情况</w:t>
      </w:r>
      <w:bookmarkEnd w:id="20"/>
      <w:bookmarkEnd w:id="21"/>
    </w:p>
    <w:p w14:paraId="01D28CD6">
      <w:pPr>
        <w:widowControl/>
        <w:bidi w:val="0"/>
        <w:jc w:val="left"/>
        <w:rPr>
          <w:rFonts w:hint="eastAsia"/>
          <w:lang w:val="en-US" w:eastAsia="zh-CN"/>
        </w:rPr>
      </w:pPr>
      <w:r>
        <w:t>第五师双河市以习近平新时代中国特色社会主义思想为指导，紧扣高质量发展主题，统筹经济社会发展和民生改善，各项事业取得显著成效</w:t>
      </w:r>
      <w:r>
        <w:rPr>
          <w:rFonts w:hint="eastAsia"/>
          <w:lang w:eastAsia="zh-CN"/>
        </w:rPr>
        <w:t>。</w:t>
      </w:r>
      <w:r>
        <w:rPr>
          <w:rFonts w:hint="eastAsia"/>
          <w:lang w:val="en-US" w:eastAsia="zh-CN"/>
        </w:rPr>
        <w:t>2025年第五师双河市生产总值为*亿元，增长*%</w:t>
      </w:r>
      <w:r>
        <w:rPr>
          <w:rFonts w:hint="eastAsia"/>
          <w:lang w:eastAsia="zh-CN"/>
        </w:rPr>
        <w:t>；规上工业增加值增长</w:t>
      </w:r>
      <w:r>
        <w:rPr>
          <w:rFonts w:hint="eastAsia"/>
          <w:lang w:val="en-US" w:eastAsia="zh-CN"/>
        </w:rPr>
        <w:t>*</w:t>
      </w:r>
      <w:r>
        <w:rPr>
          <w:rFonts w:hint="eastAsia"/>
          <w:lang w:eastAsia="zh-CN"/>
        </w:rPr>
        <w:t>%，社会消费品零售总额</w:t>
      </w:r>
      <w:r>
        <w:rPr>
          <w:rFonts w:hint="eastAsia"/>
          <w:lang w:val="en-US" w:eastAsia="zh-CN"/>
        </w:rPr>
        <w:t>年均</w:t>
      </w:r>
      <w:r>
        <w:rPr>
          <w:rFonts w:hint="eastAsia"/>
          <w:lang w:eastAsia="zh-CN"/>
        </w:rPr>
        <w:t>增长</w:t>
      </w:r>
      <w:r>
        <w:rPr>
          <w:rFonts w:hint="eastAsia"/>
          <w:lang w:val="en-US" w:eastAsia="zh-CN"/>
        </w:rPr>
        <w:t>*</w:t>
      </w:r>
      <w:r>
        <w:rPr>
          <w:rFonts w:hint="eastAsia"/>
          <w:lang w:eastAsia="zh-CN"/>
        </w:rPr>
        <w:t>%，一般公共预算收入增长</w:t>
      </w:r>
      <w:r>
        <w:rPr>
          <w:rFonts w:hint="eastAsia"/>
          <w:lang w:val="en-US" w:eastAsia="zh-CN"/>
        </w:rPr>
        <w:t>*</w:t>
      </w:r>
      <w:r>
        <w:rPr>
          <w:rFonts w:hint="eastAsia"/>
          <w:lang w:eastAsia="zh-CN"/>
        </w:rPr>
        <w:t>%，城乡居民人均可支配收入分别增长</w:t>
      </w:r>
      <w:r>
        <w:rPr>
          <w:rFonts w:hint="eastAsia"/>
          <w:lang w:val="en-US" w:eastAsia="zh-CN"/>
        </w:rPr>
        <w:t>*</w:t>
      </w:r>
      <w:r>
        <w:rPr>
          <w:rFonts w:hint="eastAsia"/>
          <w:lang w:eastAsia="zh-CN"/>
        </w:rPr>
        <w:t>%、</w:t>
      </w:r>
      <w:r>
        <w:rPr>
          <w:rFonts w:hint="eastAsia"/>
          <w:lang w:val="en-US" w:eastAsia="zh-CN"/>
        </w:rPr>
        <w:t>*</w:t>
      </w:r>
      <w:r>
        <w:rPr>
          <w:rFonts w:hint="eastAsia"/>
          <w:lang w:eastAsia="zh-CN"/>
        </w:rPr>
        <w:t>%，</w:t>
      </w:r>
      <w:r>
        <w:rPr>
          <w:rFonts w:hint="eastAsia"/>
        </w:rPr>
        <w:t>为成品油零售体系发展奠定坚实经济基础。</w:t>
      </w:r>
      <w:r>
        <w:rPr>
          <w:rFonts w:hint="eastAsia"/>
          <w:lang w:val="en-US" w:eastAsia="zh-CN"/>
        </w:rPr>
        <w:t>“十四五”期间，师市三次产业深度融合，形成多元支撑格局，直接或间接拉动成品油消费需求持续释放。</w:t>
      </w:r>
      <w:r>
        <w:rPr>
          <w:rFonts w:hint="eastAsia"/>
          <w:b/>
          <w:bCs/>
          <w:lang w:val="en-US" w:eastAsia="zh-CN"/>
        </w:rPr>
        <w:t>农业现代化加速推进</w:t>
      </w:r>
      <w:r>
        <w:rPr>
          <w:rFonts w:hint="eastAsia"/>
          <w:lang w:val="en-US" w:eastAsia="zh-CN"/>
        </w:rPr>
        <w:t>。截至2025年底，全师累计建成高标准农田*万亩，占辖区永久基本农田总面积的*%。粮食种植面积达*万亩，较上年增长*%；平均亩产*公斤，较上年提升*%；粮食总产量达*万吨，增长*%，粮食种植面积、单产、总产三项核心指标实现同步攀升。</w:t>
      </w:r>
      <w:r>
        <w:rPr>
          <w:rFonts w:hint="default"/>
        </w:rPr>
        <w:t>随着农业机械化水平不断提升，耕种收综合机械化作业规模持续扩大，农业生产对柴油的刚性需求稳步增长。</w:t>
      </w:r>
      <w:r>
        <w:rPr>
          <w:rFonts w:hint="eastAsia"/>
          <w:b/>
          <w:bCs/>
          <w:lang w:val="en-US" w:eastAsia="zh-CN"/>
        </w:rPr>
        <w:t>工业集群效应凸显</w:t>
      </w:r>
      <w:r>
        <w:rPr>
          <w:rFonts w:hint="eastAsia"/>
          <w:lang w:val="en-US" w:eastAsia="zh-CN"/>
        </w:rPr>
        <w:t>。</w:t>
      </w:r>
      <w:r>
        <w:rPr>
          <w:rFonts w:hint="default"/>
          <w:b w:val="0"/>
          <w:bCs w:val="0"/>
          <w:lang w:val="en-US" w:eastAsia="zh-CN"/>
        </w:rPr>
        <w:t>师市</w:t>
      </w:r>
      <w:r>
        <w:rPr>
          <w:rFonts w:hint="eastAsia"/>
          <w:lang w:val="en-US" w:eastAsia="zh-CN"/>
        </w:rPr>
        <w:t>聚焦农产品精深加工、电子新材料、电力设备等领域，2025年新增规上工业企业*家、科技型中小企业*家、专精特新企业*家。其中，新疆新赛生物蛋白科技有限公司形成20万吨级棉籽加工集群，新疆山水电缆有限公司投产后产值已突破*万元。同时，师市依托*万千瓦新能源装机容量及“风光绿电+独立电网”优势，招引电极箔、数据算力等新能源消纳项目，推动绿色电力与工业生产深度融合，企业用电成本较全疆平均水平降低*%以上。工业生产规模扩大与配套物流运输频次增加，有效拉动成品油消费。</w:t>
      </w:r>
      <w:r>
        <w:rPr>
          <w:rFonts w:hint="eastAsia"/>
          <w:b/>
          <w:bCs/>
          <w:lang w:val="en-US" w:eastAsia="zh-CN"/>
        </w:rPr>
        <w:t>服务业活力迸发</w:t>
      </w:r>
      <w:r>
        <w:rPr>
          <w:rFonts w:hint="eastAsia"/>
          <w:lang w:val="en-US" w:eastAsia="zh-CN"/>
        </w:rPr>
        <w:t>。2025年，师市接待游客*万人次，同比增长*%，消费*亿元，同比增长*%。</w:t>
      </w:r>
      <w:r>
        <w:rPr>
          <w:rFonts w:hint="eastAsia"/>
        </w:rPr>
        <w:t>依托国家向西开放主通道的区位优势，师市现代物流业加快发展，货物周转量稳步增长，2024年师市货物周转量已达</w:t>
      </w:r>
      <w:r>
        <w:rPr>
          <w:rFonts w:hint="eastAsia"/>
          <w:lang w:val="en-US" w:eastAsia="zh-CN"/>
        </w:rPr>
        <w:t>*</w:t>
      </w:r>
      <w:r>
        <w:rPr>
          <w:rFonts w:hint="eastAsia"/>
        </w:rPr>
        <w:t>万吨公里，同比增长</w:t>
      </w:r>
      <w:r>
        <w:rPr>
          <w:rFonts w:hint="eastAsia"/>
          <w:lang w:val="en-US" w:eastAsia="zh-CN"/>
        </w:rPr>
        <w:t>*</w:t>
      </w:r>
      <w:r>
        <w:rPr>
          <w:rFonts w:hint="eastAsia"/>
        </w:rPr>
        <w:t>%</w:t>
      </w:r>
      <w:r>
        <w:rPr>
          <w:rFonts w:hint="eastAsia"/>
          <w:lang w:val="en-US" w:eastAsia="zh-CN"/>
        </w:rPr>
        <w:t>。旅游业复苏与商贸物流提质增效，带动客运、货运车辆流通频次显著提升，间接拉动成品油消费需求。</w:t>
      </w:r>
    </w:p>
    <w:p w14:paraId="03DEFC2B">
      <w:pPr>
        <w:pStyle w:val="3"/>
        <w:bidi w:val="0"/>
        <w:rPr>
          <w:rFonts w:hint="default"/>
          <w:lang w:val="en-US" w:eastAsia="zh-CN"/>
        </w:rPr>
      </w:pPr>
      <w:bookmarkStart w:id="22" w:name="_Toc17769"/>
      <w:bookmarkStart w:id="23" w:name="_Toc11474"/>
      <w:r>
        <w:rPr>
          <w:rFonts w:hint="eastAsia"/>
          <w:lang w:val="en-US" w:eastAsia="zh-CN"/>
        </w:rPr>
        <w:t>二、</w:t>
      </w:r>
      <w:r>
        <w:rPr>
          <w:rFonts w:hint="default"/>
          <w:lang w:val="en-US" w:eastAsia="zh-CN"/>
        </w:rPr>
        <w:t>交通发展状况</w:t>
      </w:r>
      <w:bookmarkEnd w:id="22"/>
      <w:bookmarkEnd w:id="23"/>
    </w:p>
    <w:p w14:paraId="607E4ECC">
      <w:pPr>
        <w:bidi w:val="0"/>
        <w:rPr>
          <w:rFonts w:hint="default"/>
          <w:highlight w:val="none"/>
        </w:rPr>
      </w:pPr>
      <w:r>
        <w:rPr>
          <w:rFonts w:hint="eastAsia" w:ascii="方正楷体_GB2312" w:hAnsi="方正楷体_GB2312" w:eastAsia="方正楷体_GB2312" w:cs="方正楷体_GB2312"/>
          <w:b/>
          <w:bCs/>
          <w:lang w:val="en-US" w:eastAsia="zh-CN"/>
        </w:rPr>
        <w:t>综合交通网主骨架基本形成</w:t>
      </w:r>
      <w:r>
        <w:rPr>
          <w:rFonts w:hint="eastAsia"/>
          <w:lang w:val="en-US" w:eastAsia="zh-CN"/>
        </w:rPr>
        <w:t>。</w:t>
      </w:r>
      <w:r>
        <w:rPr>
          <w:rFonts w:hint="default"/>
        </w:rPr>
        <w:t>师市依托自身及博州交通基础设施，已形成以高速公路、干线铁路为骨架，普通国省干线、支线铁路为脉络</w:t>
      </w:r>
      <w:r>
        <w:rPr>
          <w:rFonts w:hint="eastAsia"/>
          <w:lang w:eastAsia="zh-CN"/>
        </w:rPr>
        <w:t>，以</w:t>
      </w:r>
      <w:r>
        <w:rPr>
          <w:rFonts w:hint="default"/>
        </w:rPr>
        <w:t>农村公路为基础，机场为空中联通节点、物流园区为地面集散支点的综合交通网络。对外与相邻县市及伊犁州直、塔城地区实现铁路、高速或二级公路连接；对内实现师部及双河市城区与团场双通道、</w:t>
      </w:r>
      <w:r>
        <w:rPr>
          <w:rFonts w:hint="default"/>
          <w:lang w:val="en-US" w:eastAsia="zh-CN"/>
        </w:rPr>
        <w:t>团场</w:t>
      </w:r>
      <w:r>
        <w:rPr>
          <w:rFonts w:hint="default"/>
        </w:rPr>
        <w:t>间通二级公路、团场与相邻城镇通二级及以上公路、连队通硬化公路。</w:t>
      </w:r>
      <w:r>
        <w:rPr>
          <w:rFonts w:hint="eastAsia" w:ascii="方正楷体_GB2312" w:hAnsi="方正楷体_GB2312" w:eastAsia="方正楷体_GB2312" w:cs="方正楷体_GB2312"/>
          <w:b/>
          <w:bCs/>
          <w:lang w:val="en-US" w:eastAsia="zh-CN"/>
        </w:rPr>
        <w:t>公路网络持续完善</w:t>
      </w:r>
      <w:r>
        <w:rPr>
          <w:rFonts w:hint="eastAsia"/>
          <w:lang w:val="en-US" w:eastAsia="zh-CN"/>
        </w:rPr>
        <w:t>。</w:t>
      </w:r>
      <w:r>
        <w:rPr>
          <w:rFonts w:hint="eastAsia"/>
          <w:highlight w:val="none"/>
        </w:rPr>
        <w:t>截至2024年底，师市公路总里程突破</w:t>
      </w:r>
      <w:r>
        <w:rPr>
          <w:rFonts w:hint="eastAsia"/>
          <w:highlight w:val="none"/>
          <w:lang w:val="en-US" w:eastAsia="zh-CN"/>
        </w:rPr>
        <w:t>*</w:t>
      </w:r>
      <w:r>
        <w:rPr>
          <w:rFonts w:hint="eastAsia"/>
          <w:highlight w:val="none"/>
        </w:rPr>
        <w:t>公里</w:t>
      </w:r>
      <w:r>
        <w:rPr>
          <w:rFonts w:hint="eastAsia"/>
          <w:highlight w:val="none"/>
          <w:lang w:eastAsia="zh-CN"/>
        </w:rPr>
        <w:t>（</w:t>
      </w:r>
      <w:r>
        <w:rPr>
          <w:rFonts w:hint="eastAsia"/>
          <w:highlight w:val="none"/>
          <w:lang w:val="en-US" w:eastAsia="zh-CN"/>
        </w:rPr>
        <w:t>不包括城市道路以及重复路段</w:t>
      </w:r>
      <w:r>
        <w:rPr>
          <w:rFonts w:hint="eastAsia"/>
          <w:highlight w:val="none"/>
          <w:lang w:eastAsia="zh-CN"/>
        </w:rPr>
        <w:t>）</w:t>
      </w:r>
      <w:r>
        <w:rPr>
          <w:rFonts w:hint="default"/>
          <w:highlight w:val="none"/>
        </w:rPr>
        <w:t>，</w:t>
      </w:r>
      <w:r>
        <w:rPr>
          <w:rFonts w:hint="eastAsia"/>
          <w:highlight w:val="none"/>
        </w:rPr>
        <w:t>公路网密度约为</w:t>
      </w:r>
      <w:r>
        <w:rPr>
          <w:rFonts w:hint="eastAsia"/>
          <w:highlight w:val="none"/>
          <w:lang w:val="en-US" w:eastAsia="zh-CN"/>
        </w:rPr>
        <w:t>*</w:t>
      </w:r>
      <w:r>
        <w:rPr>
          <w:rFonts w:hint="eastAsia"/>
          <w:highlight w:val="none"/>
        </w:rPr>
        <w:t>公里/百平方公里</w:t>
      </w:r>
      <w:r>
        <w:rPr>
          <w:rFonts w:hint="eastAsia"/>
          <w:highlight w:val="none"/>
          <w:lang w:val="en-US" w:eastAsia="zh-CN"/>
        </w:rPr>
        <w:t>，高于兵团*1公里/百平方公里</w:t>
      </w:r>
      <w:r>
        <w:rPr>
          <w:rFonts w:hint="default"/>
          <w:highlight w:val="none"/>
        </w:rPr>
        <w:t>。</w:t>
      </w:r>
      <w:r>
        <w:rPr>
          <w:rFonts w:hint="default"/>
        </w:rPr>
        <w:t>2024年推进第五师双河市</w:t>
      </w:r>
      <w:r>
        <w:rPr>
          <w:rFonts w:hint="eastAsia"/>
          <w:lang w:eastAsia="zh-CN"/>
        </w:rPr>
        <w:t>—</w:t>
      </w:r>
      <w:r>
        <w:rPr>
          <w:rFonts w:hint="default"/>
        </w:rPr>
        <w:t>九</w:t>
      </w:r>
      <w:r>
        <w:rPr>
          <w:rFonts w:hint="eastAsia"/>
          <w:lang w:val="en-US" w:eastAsia="zh-CN"/>
        </w:rPr>
        <w:t>〇</w:t>
      </w:r>
      <w:r>
        <w:rPr>
          <w:rFonts w:hint="default"/>
        </w:rPr>
        <w:t>团</w:t>
      </w:r>
      <w:r>
        <w:rPr>
          <w:rFonts w:hint="eastAsia"/>
          <w:lang w:eastAsia="zh-CN"/>
        </w:rPr>
        <w:t>—</w:t>
      </w:r>
      <w:r>
        <w:rPr>
          <w:rFonts w:hint="default"/>
        </w:rPr>
        <w:t>精阿高速公路建设，进一步提升区域交通通达性。</w:t>
      </w:r>
      <w:r>
        <w:rPr>
          <w:rFonts w:hint="eastAsia" w:ascii="方正楷体_GB2312" w:hAnsi="方正楷体_GB2312" w:eastAsia="方正楷体_GB2312" w:cs="方正楷体_GB2312"/>
          <w:b/>
          <w:bCs/>
          <w:lang w:val="en-US" w:eastAsia="zh-CN"/>
        </w:rPr>
        <w:t>客运服务网络不断完善</w:t>
      </w:r>
      <w:r>
        <w:rPr>
          <w:rFonts w:hint="eastAsia"/>
          <w:lang w:val="en-US" w:eastAsia="zh-CN"/>
        </w:rPr>
        <w:t>。</w:t>
      </w:r>
      <w:r>
        <w:rPr>
          <w:rFonts w:hint="default"/>
        </w:rPr>
        <w:t>“十四五”期间，师市按“城乡统筹、以城带乡、客货并举、运邮结合”思路，完善城乡客运网，形成“城区有公交、出租点对点、村村通客车”新格局。新增公交线路</w:t>
      </w:r>
      <w:r>
        <w:rPr>
          <w:rFonts w:hint="eastAsia"/>
          <w:highlight w:val="none"/>
          <w:lang w:val="en-US" w:eastAsia="zh-CN"/>
        </w:rPr>
        <w:t>*</w:t>
      </w:r>
      <w:r>
        <w:rPr>
          <w:rFonts w:hint="default"/>
        </w:rPr>
        <w:t>条，完善</w:t>
      </w:r>
      <w:r>
        <w:rPr>
          <w:rFonts w:hint="eastAsia"/>
          <w:highlight w:val="none"/>
          <w:lang w:val="en-US" w:eastAsia="zh-CN"/>
        </w:rPr>
        <w:t>*</w:t>
      </w:r>
      <w:r>
        <w:rPr>
          <w:rFonts w:hint="default"/>
        </w:rPr>
        <w:t>条城际、城乡客车线路，团场、连队通客车率达</w:t>
      </w:r>
      <w:r>
        <w:rPr>
          <w:rFonts w:hint="eastAsia"/>
          <w:highlight w:val="none"/>
          <w:lang w:val="en-US" w:eastAsia="zh-CN"/>
        </w:rPr>
        <w:t>*</w:t>
      </w:r>
      <w:r>
        <w:rPr>
          <w:rFonts w:hint="default"/>
        </w:rPr>
        <w:t>%，提升职工群众出行服务能力</w:t>
      </w:r>
      <w:r>
        <w:rPr>
          <w:rFonts w:hint="eastAsia"/>
          <w:lang w:eastAsia="zh-CN"/>
        </w:rPr>
        <w:t>。</w:t>
      </w:r>
      <w:r>
        <w:rPr>
          <w:rFonts w:hint="eastAsia" w:ascii="方正楷体_GB2312" w:hAnsi="方正楷体_GB2312" w:eastAsia="方正楷体_GB2312" w:cs="方正楷体_GB2312"/>
          <w:b/>
          <w:bCs/>
          <w:lang w:val="en-US" w:eastAsia="zh-CN"/>
        </w:rPr>
        <w:t>货运服务模式创新取得突破</w:t>
      </w:r>
      <w:r>
        <w:rPr>
          <w:rFonts w:hint="eastAsia"/>
          <w:lang w:val="en-US" w:eastAsia="zh-CN"/>
        </w:rPr>
        <w:t>。</w:t>
      </w:r>
      <w:r>
        <w:rPr>
          <w:rFonts w:hint="default"/>
        </w:rPr>
        <w:t>师市推进“客货邮”融合，按“资源共享、多站合一”原则建师市</w:t>
      </w:r>
      <w:r>
        <w:rPr>
          <w:rFonts w:hint="eastAsia"/>
          <w:lang w:eastAsia="zh-CN"/>
        </w:rPr>
        <w:t>—</w:t>
      </w:r>
      <w:r>
        <w:rPr>
          <w:rFonts w:hint="default"/>
        </w:rPr>
        <w:t>团场</w:t>
      </w:r>
      <w:r>
        <w:rPr>
          <w:rFonts w:hint="eastAsia"/>
          <w:lang w:eastAsia="zh-CN"/>
        </w:rPr>
        <w:t>—</w:t>
      </w:r>
      <w:r>
        <w:rPr>
          <w:rFonts w:hint="default"/>
        </w:rPr>
        <w:t>连队三级物流网，实现EMS、中通等企业服务全覆盖，连队邮政快递覆盖率</w:t>
      </w:r>
      <w:r>
        <w:rPr>
          <w:rFonts w:hint="eastAsia"/>
          <w:highlight w:val="none"/>
          <w:lang w:val="en-US" w:eastAsia="zh-CN"/>
        </w:rPr>
        <w:t>*</w:t>
      </w:r>
      <w:r>
        <w:rPr>
          <w:rFonts w:hint="default"/>
        </w:rPr>
        <w:t>%。开通农超、产销对接物流线，改造八十三团、九十团等客运站为便民物流服务站，利用城乡客运班线开展小件快递代运，提升综合效益。</w:t>
      </w:r>
      <w:r>
        <w:rPr>
          <w:rFonts w:hint="eastAsia" w:ascii="方正楷体_GB2312" w:hAnsi="方正楷体_GB2312" w:eastAsia="方正楷体_GB2312" w:cs="方正楷体_GB2312"/>
          <w:b/>
          <w:bCs/>
          <w:lang w:val="en-US" w:eastAsia="zh-CN"/>
        </w:rPr>
        <w:t>智慧绿色交通稳步推进</w:t>
      </w:r>
      <w:r>
        <w:rPr>
          <w:rFonts w:hint="eastAsia"/>
          <w:lang w:val="en-US" w:eastAsia="zh-CN"/>
        </w:rPr>
        <w:t>。</w:t>
      </w:r>
      <w:r>
        <w:rPr>
          <w:rFonts w:hint="default"/>
          <w:lang w:eastAsia="zh-CN"/>
        </w:rPr>
        <w:t>截至2025年，双河市城区建成</w:t>
      </w:r>
      <w:r>
        <w:rPr>
          <w:rFonts w:hint="eastAsia"/>
          <w:highlight w:val="none"/>
          <w:lang w:val="en-US" w:eastAsia="zh-CN"/>
        </w:rPr>
        <w:t>*</w:t>
      </w:r>
      <w:r>
        <w:rPr>
          <w:rFonts w:hint="default"/>
          <w:lang w:eastAsia="zh-CN"/>
        </w:rPr>
        <w:t>个新能源充电桩站点、</w:t>
      </w:r>
      <w:r>
        <w:rPr>
          <w:rFonts w:hint="eastAsia"/>
          <w:highlight w:val="none"/>
          <w:lang w:val="en-US" w:eastAsia="zh-CN"/>
        </w:rPr>
        <w:t>*</w:t>
      </w:r>
      <w:r>
        <w:rPr>
          <w:rFonts w:hint="default"/>
          <w:lang w:eastAsia="zh-CN"/>
        </w:rPr>
        <w:t>套充电设施，充电价格从</w:t>
      </w:r>
      <w:r>
        <w:rPr>
          <w:rFonts w:hint="eastAsia"/>
          <w:highlight w:val="none"/>
          <w:lang w:val="en-US" w:eastAsia="zh-CN"/>
        </w:rPr>
        <w:t>*</w:t>
      </w:r>
      <w:r>
        <w:rPr>
          <w:rFonts w:hint="default"/>
          <w:lang w:eastAsia="zh-CN"/>
        </w:rPr>
        <w:t>元/度调整为</w:t>
      </w:r>
      <w:r>
        <w:rPr>
          <w:rFonts w:hint="eastAsia"/>
          <w:highlight w:val="none"/>
          <w:lang w:val="en-US" w:eastAsia="zh-CN"/>
        </w:rPr>
        <w:t>*</w:t>
      </w:r>
      <w:r>
        <w:rPr>
          <w:rFonts w:hint="default"/>
          <w:lang w:eastAsia="zh-CN"/>
        </w:rPr>
        <w:t>元/度，覆盖城区街道、学校、景区。</w:t>
      </w:r>
      <w:r>
        <w:rPr>
          <w:rFonts w:hint="eastAsia" w:ascii="方正楷体_GB2312" w:hAnsi="方正楷体_GB2312" w:eastAsia="方正楷体_GB2312" w:cs="方正楷体_GB2312"/>
          <w:b/>
          <w:bCs/>
          <w:lang w:val="en-US" w:eastAsia="zh-CN"/>
        </w:rPr>
        <w:t>项目建设扎实推进</w:t>
      </w:r>
      <w:r>
        <w:rPr>
          <w:rFonts w:hint="eastAsia"/>
          <w:lang w:val="en-US" w:eastAsia="zh-CN"/>
        </w:rPr>
        <w:t>。</w:t>
      </w:r>
      <w:r>
        <w:rPr>
          <w:rFonts w:hint="default"/>
        </w:rPr>
        <w:t>重点公路</w:t>
      </w:r>
      <w:r>
        <w:rPr>
          <w:rFonts w:hint="eastAsia"/>
          <w:lang w:val="en-US" w:eastAsia="zh-CN"/>
        </w:rPr>
        <w:t>方面，</w:t>
      </w:r>
      <w:r>
        <w:rPr>
          <w:rFonts w:hint="default"/>
        </w:rPr>
        <w:t>完成双河市－博乐飞机场公路，建成双河</w:t>
      </w:r>
      <w:r>
        <w:rPr>
          <w:rFonts w:hint="eastAsia"/>
          <w:lang w:eastAsia="zh-CN"/>
        </w:rPr>
        <w:t>—</w:t>
      </w:r>
      <w:r>
        <w:rPr>
          <w:rFonts w:hint="default"/>
        </w:rPr>
        <w:t>90团</w:t>
      </w:r>
      <w:r>
        <w:rPr>
          <w:rFonts w:hint="eastAsia"/>
          <w:lang w:eastAsia="zh-CN"/>
        </w:rPr>
        <w:t>—</w:t>
      </w:r>
      <w:r>
        <w:rPr>
          <w:rFonts w:hint="default"/>
        </w:rPr>
        <w:t>精阿高速、双河市G577线沙山子</w:t>
      </w:r>
      <w:r>
        <w:rPr>
          <w:rFonts w:hint="eastAsia"/>
          <w:lang w:eastAsia="zh-CN"/>
        </w:rPr>
        <w:t>—</w:t>
      </w:r>
      <w:r>
        <w:rPr>
          <w:rFonts w:hint="default"/>
        </w:rPr>
        <w:t>G219公路。国边防公路</w:t>
      </w:r>
      <w:r>
        <w:rPr>
          <w:rFonts w:hint="eastAsia"/>
          <w:lang w:val="en-US" w:eastAsia="zh-CN"/>
        </w:rPr>
        <w:t>方面，</w:t>
      </w:r>
      <w:r>
        <w:rPr>
          <w:rFonts w:hint="default"/>
        </w:rPr>
        <w:t>已完成国边防公路项目</w:t>
      </w:r>
      <w:r>
        <w:rPr>
          <w:rFonts w:hint="eastAsia"/>
          <w:highlight w:val="none"/>
          <w:lang w:val="en-US" w:eastAsia="zh-CN"/>
        </w:rPr>
        <w:t>*</w:t>
      </w:r>
      <w:r>
        <w:rPr>
          <w:rFonts w:hint="default"/>
        </w:rPr>
        <w:t>个，建设里程</w:t>
      </w:r>
      <w:r>
        <w:rPr>
          <w:rFonts w:hint="eastAsia"/>
          <w:highlight w:val="none"/>
          <w:lang w:val="en-US" w:eastAsia="zh-CN"/>
        </w:rPr>
        <w:t>*</w:t>
      </w:r>
      <w:r>
        <w:rPr>
          <w:rFonts w:hint="default"/>
        </w:rPr>
        <w:t>公里。</w:t>
      </w:r>
      <w:r>
        <w:rPr>
          <w:rFonts w:hint="eastAsia"/>
          <w:highlight w:val="none"/>
          <w:lang w:val="en-US" w:eastAsia="zh-CN"/>
        </w:rPr>
        <w:t>客运</w:t>
      </w:r>
      <w:r>
        <w:rPr>
          <w:rFonts w:hint="default"/>
          <w:highlight w:val="none"/>
        </w:rPr>
        <w:t>枢纽场站</w:t>
      </w:r>
      <w:r>
        <w:rPr>
          <w:rFonts w:hint="eastAsia"/>
          <w:highlight w:val="none"/>
          <w:lang w:val="en-US" w:eastAsia="zh-CN"/>
        </w:rPr>
        <w:t>方面</w:t>
      </w:r>
      <w:r>
        <w:rPr>
          <w:rFonts w:hint="eastAsia"/>
          <w:highlight w:val="none"/>
          <w:lang w:eastAsia="zh-CN"/>
        </w:rPr>
        <w:t>，</w:t>
      </w:r>
      <w:r>
        <w:rPr>
          <w:rFonts w:hint="default"/>
          <w:highlight w:val="none"/>
        </w:rPr>
        <w:t>建成公交站台</w:t>
      </w:r>
      <w:r>
        <w:rPr>
          <w:rFonts w:hint="eastAsia"/>
          <w:highlight w:val="none"/>
          <w:lang w:val="en-US" w:eastAsia="zh-CN"/>
        </w:rPr>
        <w:t>*</w:t>
      </w:r>
      <w:r>
        <w:rPr>
          <w:rFonts w:hint="default"/>
          <w:highlight w:val="none"/>
        </w:rPr>
        <w:t>个，农村客运招呼站</w:t>
      </w:r>
      <w:r>
        <w:rPr>
          <w:rFonts w:hint="eastAsia"/>
          <w:highlight w:val="none"/>
          <w:lang w:val="en-US" w:eastAsia="zh-CN"/>
        </w:rPr>
        <w:t>*</w:t>
      </w:r>
      <w:r>
        <w:rPr>
          <w:rFonts w:hint="default"/>
          <w:highlight w:val="none"/>
        </w:rPr>
        <w:t>个。双河市公交客运场站建成投入使用，老城区公交场站已竣工。</w:t>
      </w:r>
    </w:p>
    <w:p w14:paraId="69115CF1">
      <w:pPr>
        <w:pStyle w:val="3"/>
        <w:bidi w:val="0"/>
        <w:rPr>
          <w:rFonts w:hint="default"/>
          <w:highlight w:val="none"/>
          <w:lang w:val="en-US" w:eastAsia="zh-CN"/>
        </w:rPr>
      </w:pPr>
      <w:bookmarkStart w:id="24" w:name="_Toc18766"/>
      <w:bookmarkStart w:id="25" w:name="_Toc25401"/>
      <w:r>
        <w:rPr>
          <w:rFonts w:hint="eastAsia"/>
          <w:highlight w:val="none"/>
          <w:lang w:val="en-US" w:eastAsia="zh-CN"/>
        </w:rPr>
        <w:t>三、</w:t>
      </w:r>
      <w:r>
        <w:rPr>
          <w:rFonts w:hint="default"/>
          <w:highlight w:val="none"/>
          <w:lang w:val="en-US" w:eastAsia="zh-CN"/>
        </w:rPr>
        <w:t>加油站现状分析</w:t>
      </w:r>
      <w:bookmarkEnd w:id="24"/>
      <w:bookmarkEnd w:id="25"/>
    </w:p>
    <w:p w14:paraId="174795FE">
      <w:pPr>
        <w:tabs>
          <w:tab w:val="left" w:pos="5440"/>
        </w:tabs>
        <w:bidi w:val="0"/>
        <w:rPr>
          <w:rFonts w:hint="eastAsia"/>
          <w:lang w:val="en-US" w:eastAsia="zh-CN"/>
        </w:rPr>
      </w:pPr>
      <w:r>
        <w:rPr>
          <w:rStyle w:val="33"/>
          <w:rFonts w:hint="eastAsia"/>
          <w:b/>
          <w:bCs/>
          <w:lang w:val="en-US" w:eastAsia="zh-CN"/>
        </w:rPr>
        <w:t>（一）站点情况</w:t>
      </w:r>
      <w:r>
        <w:rPr>
          <w:rFonts w:hint="eastAsia"/>
          <w:lang w:val="en-US" w:eastAsia="zh-CN"/>
        </w:rPr>
        <w:t>。第五师双河市辖区目前有</w:t>
      </w:r>
      <w:r>
        <w:rPr>
          <w:rFonts w:hint="eastAsia"/>
          <w:highlight w:val="none"/>
          <w:lang w:val="en-US" w:eastAsia="zh-CN"/>
        </w:rPr>
        <w:t>*</w:t>
      </w:r>
      <w:r>
        <w:rPr>
          <w:rFonts w:hint="eastAsia"/>
          <w:lang w:val="en-US" w:eastAsia="zh-CN"/>
        </w:rPr>
        <w:t>座成品油零售企业，其中兵团石油</w:t>
      </w:r>
      <w:r>
        <w:rPr>
          <w:rFonts w:hint="eastAsia"/>
          <w:highlight w:val="none"/>
          <w:lang w:val="en-US" w:eastAsia="zh-CN"/>
        </w:rPr>
        <w:t>*</w:t>
      </w:r>
      <w:r>
        <w:rPr>
          <w:rFonts w:hint="eastAsia"/>
          <w:lang w:val="en-US" w:eastAsia="zh-CN"/>
        </w:rPr>
        <w:t>座，中国石油</w:t>
      </w:r>
      <w:r>
        <w:rPr>
          <w:rFonts w:hint="eastAsia"/>
          <w:highlight w:val="none"/>
          <w:lang w:val="en-US" w:eastAsia="zh-CN"/>
        </w:rPr>
        <w:t>*</w:t>
      </w:r>
      <w:r>
        <w:rPr>
          <w:rFonts w:hint="eastAsia"/>
          <w:lang w:val="en-US" w:eastAsia="zh-CN"/>
        </w:rPr>
        <w:t>座，中国石化</w:t>
      </w:r>
      <w:r>
        <w:rPr>
          <w:rFonts w:hint="eastAsia"/>
          <w:highlight w:val="none"/>
          <w:lang w:val="en-US" w:eastAsia="zh-CN"/>
        </w:rPr>
        <w:t>*</w:t>
      </w:r>
      <w:r>
        <w:rPr>
          <w:rFonts w:hint="eastAsia"/>
          <w:lang w:val="en-US" w:eastAsia="zh-CN"/>
        </w:rPr>
        <w:t>座，其他国有加油站</w:t>
      </w:r>
      <w:r>
        <w:rPr>
          <w:rFonts w:hint="eastAsia"/>
          <w:highlight w:val="none"/>
          <w:lang w:val="en-US" w:eastAsia="zh-CN"/>
        </w:rPr>
        <w:t>*</w:t>
      </w:r>
      <w:r>
        <w:rPr>
          <w:rFonts w:hint="eastAsia"/>
          <w:lang w:val="en-US" w:eastAsia="zh-CN"/>
        </w:rPr>
        <w:t>座（兵团燃气</w:t>
      </w:r>
      <w:r>
        <w:rPr>
          <w:rFonts w:hint="eastAsia"/>
          <w:highlight w:val="none"/>
          <w:lang w:val="en-US" w:eastAsia="zh-CN"/>
        </w:rPr>
        <w:t>*</w:t>
      </w:r>
      <w:r>
        <w:rPr>
          <w:rFonts w:hint="eastAsia"/>
          <w:lang w:val="en-US" w:eastAsia="zh-CN"/>
        </w:rPr>
        <w:t>座、师市城建集团</w:t>
      </w:r>
      <w:r>
        <w:rPr>
          <w:rFonts w:hint="eastAsia"/>
          <w:highlight w:val="none"/>
          <w:lang w:val="en-US" w:eastAsia="zh-CN"/>
        </w:rPr>
        <w:t>*</w:t>
      </w:r>
      <w:r>
        <w:rPr>
          <w:rFonts w:hint="eastAsia"/>
          <w:lang w:val="en-US" w:eastAsia="zh-CN"/>
        </w:rPr>
        <w:t>座），民营企业</w:t>
      </w:r>
      <w:r>
        <w:rPr>
          <w:rFonts w:hint="eastAsia"/>
          <w:highlight w:val="none"/>
          <w:lang w:val="en-US" w:eastAsia="zh-CN"/>
        </w:rPr>
        <w:t>*</w:t>
      </w:r>
      <w:r>
        <w:rPr>
          <w:rFonts w:hint="eastAsia"/>
          <w:lang w:val="en-US" w:eastAsia="zh-CN"/>
        </w:rPr>
        <w:t>座。加油站油罐总库容</w:t>
      </w:r>
      <w:r>
        <w:rPr>
          <w:rFonts w:hint="eastAsia"/>
          <w:highlight w:val="none"/>
          <w:lang w:val="en-US" w:eastAsia="zh-CN"/>
        </w:rPr>
        <w:t>*</w:t>
      </w:r>
      <w:r>
        <w:rPr>
          <w:rFonts w:hint="eastAsia"/>
          <w:lang w:val="en-US" w:eastAsia="zh-CN"/>
        </w:rPr>
        <w:t>m</w:t>
      </w:r>
      <w:r>
        <w:rPr>
          <w:rFonts w:hint="default"/>
          <w:lang w:val="en-US" w:eastAsia="zh-CN"/>
        </w:rPr>
        <w:t>³</w:t>
      </w:r>
      <w:r>
        <w:rPr>
          <w:rFonts w:hint="eastAsia"/>
          <w:lang w:val="en-US" w:eastAsia="zh-CN"/>
        </w:rPr>
        <w:t>，其中汽油总库容</w:t>
      </w:r>
      <w:r>
        <w:rPr>
          <w:rFonts w:hint="eastAsia"/>
          <w:highlight w:val="none"/>
          <w:lang w:val="en-US" w:eastAsia="zh-CN"/>
        </w:rPr>
        <w:t>*</w:t>
      </w:r>
      <w:r>
        <w:rPr>
          <w:rFonts w:hint="eastAsia"/>
          <w:lang w:val="en-US" w:eastAsia="zh-CN"/>
        </w:rPr>
        <w:t>m</w:t>
      </w:r>
      <w:r>
        <w:rPr>
          <w:rFonts w:hint="default"/>
          <w:lang w:val="en-US" w:eastAsia="zh-CN"/>
        </w:rPr>
        <w:t>³</w:t>
      </w:r>
      <w:r>
        <w:rPr>
          <w:rFonts w:hint="eastAsia"/>
          <w:lang w:val="en-US" w:eastAsia="zh-CN"/>
        </w:rPr>
        <w:t>，柴油总库容为</w:t>
      </w:r>
      <w:r>
        <w:rPr>
          <w:rFonts w:hint="eastAsia"/>
          <w:highlight w:val="none"/>
          <w:lang w:val="en-US" w:eastAsia="zh-CN"/>
        </w:rPr>
        <w:t>*</w:t>
      </w:r>
      <w:r>
        <w:rPr>
          <w:rFonts w:hint="eastAsia"/>
          <w:lang w:val="en-US" w:eastAsia="zh-CN"/>
        </w:rPr>
        <w:t>m</w:t>
      </w:r>
      <w:r>
        <w:rPr>
          <w:rFonts w:hint="default"/>
          <w:lang w:val="en-US" w:eastAsia="zh-CN"/>
        </w:rPr>
        <w:t>³</w:t>
      </w:r>
      <w:r>
        <w:rPr>
          <w:rFonts w:hint="eastAsia"/>
          <w:lang w:val="en-US" w:eastAsia="zh-CN"/>
        </w:rPr>
        <w:t>。</w:t>
      </w:r>
    </w:p>
    <w:p w14:paraId="6E802672">
      <w:pPr>
        <w:bidi w:val="0"/>
        <w:rPr>
          <w:rFonts w:hint="eastAsia"/>
          <w:lang w:val="en-US" w:eastAsia="zh-CN"/>
        </w:rPr>
      </w:pPr>
      <w:r>
        <w:rPr>
          <w:rStyle w:val="33"/>
          <w:rFonts w:hint="eastAsia"/>
          <w:b/>
          <w:bCs/>
          <w:lang w:val="en-US" w:eastAsia="zh-CN"/>
        </w:rPr>
        <w:t>（二）批发供应方面</w:t>
      </w:r>
      <w:r>
        <w:rPr>
          <w:rFonts w:hint="eastAsia"/>
          <w:lang w:val="en-US" w:eastAsia="zh-CN"/>
        </w:rPr>
        <w:t>。兵团石油及博州中石油主要从奎屯油库进油，小部分从独山子油库进油。兵团石油在北疆区域的成品油运输配送由中国石油昆仑物流有限公司负责。</w:t>
      </w:r>
    </w:p>
    <w:p w14:paraId="42CAEBD6">
      <w:pPr>
        <w:bidi w:val="0"/>
        <w:rPr>
          <w:rFonts w:hint="default"/>
          <w:highlight w:val="none"/>
          <w:lang w:val="en-US" w:eastAsia="zh-CN"/>
        </w:rPr>
      </w:pPr>
      <w:r>
        <w:rPr>
          <w:rStyle w:val="33"/>
          <w:rFonts w:hint="eastAsia"/>
          <w:b/>
          <w:bCs/>
          <w:lang w:val="en-US" w:eastAsia="zh-CN"/>
        </w:rPr>
        <w:t>（三）日常库存情况</w:t>
      </w:r>
      <w:r>
        <w:rPr>
          <w:rFonts w:hint="eastAsia"/>
          <w:lang w:val="en-US" w:eastAsia="zh-CN"/>
        </w:rPr>
        <w:t>。师市辖区加油站合计日常库存保有量约</w:t>
      </w:r>
      <w:r>
        <w:rPr>
          <w:rFonts w:hint="eastAsia"/>
          <w:highlight w:val="none"/>
          <w:lang w:val="en-US" w:eastAsia="zh-CN"/>
        </w:rPr>
        <w:t>*吨，其中汽油约*吨，柴油约*吨，供需稳定</w:t>
      </w:r>
      <w:r>
        <w:rPr>
          <w:rFonts w:hint="default"/>
          <w:highlight w:val="none"/>
          <w:lang w:val="en-US" w:eastAsia="zh-CN"/>
        </w:rPr>
        <w:t>。</w:t>
      </w:r>
    </w:p>
    <w:p w14:paraId="00A1578F">
      <w:pPr>
        <w:bidi w:val="0"/>
        <w:rPr>
          <w:rFonts w:hint="eastAsia" w:ascii="Times New Roman" w:hAnsi="Times New Roman" w:cs="Times New Roman"/>
          <w:sz w:val="32"/>
          <w:szCs w:val="32"/>
          <w:highlight w:val="none"/>
          <w:u w:val="none"/>
          <w:lang w:val="en-US" w:eastAsia="zh-CN"/>
        </w:rPr>
      </w:pPr>
      <w:r>
        <w:rPr>
          <w:rStyle w:val="33"/>
          <w:rFonts w:hint="eastAsia"/>
          <w:b/>
          <w:bCs/>
          <w:highlight w:val="none"/>
          <w:lang w:val="en-US" w:eastAsia="zh-CN"/>
        </w:rPr>
        <w:t>（四）师市成品油市场销售情况</w:t>
      </w:r>
      <w:r>
        <w:rPr>
          <w:rFonts w:hint="eastAsia"/>
          <w:highlight w:val="none"/>
          <w:lang w:val="en-US" w:eastAsia="zh-CN"/>
        </w:rPr>
        <w:t>。“十四五”期间师市成品油消费总量从*万吨增长至*万吨，五年间整体呈“短期波动、长期回升”的发展态势。2025年在经济回暖、刺激消费政策带动下，师市全年销售成品油*吨，同比增长*%，</w:t>
      </w:r>
      <w:r>
        <w:rPr>
          <w:rFonts w:hint="eastAsia" w:ascii="Times New Roman" w:hAnsi="Times New Roman" w:cs="Times New Roman"/>
          <w:sz w:val="32"/>
          <w:szCs w:val="32"/>
          <w:highlight w:val="none"/>
          <w:u w:val="none"/>
          <w:lang w:val="en-US" w:eastAsia="zh-CN"/>
        </w:rPr>
        <w:t>柴油销售量占总量</w:t>
      </w:r>
      <w:r>
        <w:rPr>
          <w:rFonts w:hint="eastAsia"/>
          <w:highlight w:val="none"/>
          <w:lang w:val="en-US" w:eastAsia="zh-CN"/>
        </w:rPr>
        <w:t>*</w:t>
      </w:r>
      <w:r>
        <w:rPr>
          <w:rFonts w:hint="eastAsia" w:cs="Times New Roman"/>
          <w:sz w:val="32"/>
          <w:szCs w:val="32"/>
          <w:highlight w:val="none"/>
          <w:u w:val="none"/>
          <w:lang w:val="en-US" w:eastAsia="zh-CN"/>
        </w:rPr>
        <w:t>%</w:t>
      </w:r>
      <w:r>
        <w:rPr>
          <w:rFonts w:hint="eastAsia" w:ascii="Times New Roman" w:hAnsi="Times New Roman" w:cs="Times New Roman"/>
          <w:sz w:val="32"/>
          <w:szCs w:val="32"/>
          <w:highlight w:val="none"/>
          <w:u w:val="none"/>
          <w:lang w:val="en-US" w:eastAsia="zh-CN"/>
        </w:rPr>
        <w:t>，主要用于师市农业生产以及工业、建筑业、交通运输等行业。兵团石油占师市成品油销售市场份额约</w:t>
      </w:r>
      <w:r>
        <w:rPr>
          <w:rFonts w:hint="eastAsia"/>
          <w:highlight w:val="none"/>
          <w:lang w:val="en-US" w:eastAsia="zh-CN"/>
        </w:rPr>
        <w:t>*</w:t>
      </w:r>
      <w:r>
        <w:rPr>
          <w:rFonts w:hint="default" w:ascii="Times New Roman" w:hAnsi="Times New Roman" w:cs="Times New Roman"/>
          <w:sz w:val="32"/>
          <w:szCs w:val="32"/>
          <w:highlight w:val="none"/>
          <w:u w:val="none"/>
          <w:lang w:val="en-US" w:eastAsia="zh-CN"/>
        </w:rPr>
        <w:t>%</w:t>
      </w:r>
      <w:r>
        <w:rPr>
          <w:rFonts w:hint="eastAsia" w:ascii="Times New Roman" w:hAnsi="Times New Roman" w:cs="Times New Roman"/>
          <w:sz w:val="32"/>
          <w:szCs w:val="32"/>
          <w:highlight w:val="none"/>
          <w:u w:val="none"/>
          <w:lang w:val="en-US" w:eastAsia="zh-CN"/>
        </w:rPr>
        <w:t>，较2024年底下降</w:t>
      </w:r>
      <w:r>
        <w:rPr>
          <w:rFonts w:hint="eastAsia"/>
          <w:highlight w:val="none"/>
          <w:lang w:val="en-US" w:eastAsia="zh-CN"/>
        </w:rPr>
        <w:t>*</w:t>
      </w:r>
      <w:r>
        <w:rPr>
          <w:rFonts w:hint="eastAsia" w:ascii="Times New Roman" w:hAnsi="Times New Roman" w:cs="Times New Roman"/>
          <w:sz w:val="32"/>
          <w:szCs w:val="32"/>
          <w:highlight w:val="none"/>
          <w:u w:val="none"/>
          <w:lang w:val="en-US" w:eastAsia="zh-CN"/>
        </w:rPr>
        <w:t>个百分点。</w:t>
      </w:r>
    </w:p>
    <w:p w14:paraId="36858752">
      <w:pPr>
        <w:pStyle w:val="3"/>
        <w:rPr>
          <w:rFonts w:hint="default"/>
          <w:bCs/>
          <w:lang w:val="en-US" w:eastAsia="zh-CN"/>
        </w:rPr>
      </w:pPr>
      <w:bookmarkStart w:id="26" w:name="_Toc28028"/>
      <w:bookmarkStart w:id="27" w:name="_Toc11726"/>
      <w:r>
        <w:rPr>
          <w:rFonts w:hint="eastAsia"/>
          <w:bCs/>
          <w:lang w:val="en-US" w:eastAsia="zh-CN"/>
        </w:rPr>
        <w:t>四、</w:t>
      </w:r>
      <w:r>
        <w:rPr>
          <w:rFonts w:hint="default"/>
          <w:bCs/>
          <w:lang w:val="en-US" w:eastAsia="zh-CN"/>
        </w:rPr>
        <w:t>“十四五”规划执行成效</w:t>
      </w:r>
      <w:bookmarkEnd w:id="26"/>
      <w:bookmarkEnd w:id="27"/>
    </w:p>
    <w:p w14:paraId="6702D447">
      <w:pPr>
        <w:rPr>
          <w:rFonts w:hint="eastAsia"/>
          <w:lang w:val="en-US" w:eastAsia="zh-CN"/>
        </w:rPr>
      </w:pPr>
      <w:r>
        <w:rPr>
          <w:rFonts w:hint="default"/>
          <w:lang w:eastAsia="zh-CN"/>
        </w:rPr>
        <w:t>“十四五”期间，师市规划加油站</w:t>
      </w:r>
      <w:r>
        <w:rPr>
          <w:rFonts w:hint="eastAsia"/>
          <w:highlight w:val="none"/>
          <w:lang w:val="en-US" w:eastAsia="zh-CN"/>
        </w:rPr>
        <w:t>*</w:t>
      </w:r>
      <w:r>
        <w:rPr>
          <w:rFonts w:hint="default"/>
          <w:lang w:eastAsia="zh-CN"/>
        </w:rPr>
        <w:t>座，截至目前，</w:t>
      </w:r>
      <w:r>
        <w:rPr>
          <w:rFonts w:hint="eastAsia"/>
          <w:highlight w:val="none"/>
          <w:lang w:val="en-US" w:eastAsia="zh-CN"/>
        </w:rPr>
        <w:t>*</w:t>
      </w:r>
      <w:r>
        <w:rPr>
          <w:rFonts w:hint="default"/>
          <w:lang w:eastAsia="zh-CN"/>
        </w:rPr>
        <w:t>座已建成运营，</w:t>
      </w:r>
      <w:r>
        <w:rPr>
          <w:rFonts w:hint="eastAsia"/>
          <w:highlight w:val="none"/>
          <w:lang w:val="en-US" w:eastAsia="zh-CN"/>
        </w:rPr>
        <w:t>*</w:t>
      </w:r>
      <w:r>
        <w:rPr>
          <w:rFonts w:hint="default"/>
          <w:lang w:eastAsia="zh-CN"/>
        </w:rPr>
        <w:t>座处于在建状态，剩余</w:t>
      </w:r>
      <w:r>
        <w:rPr>
          <w:rFonts w:hint="eastAsia"/>
          <w:highlight w:val="none"/>
          <w:lang w:val="en-US" w:eastAsia="zh-CN"/>
        </w:rPr>
        <w:t>*</w:t>
      </w:r>
      <w:r>
        <w:rPr>
          <w:rFonts w:hint="default"/>
          <w:lang w:eastAsia="zh-CN"/>
        </w:rPr>
        <w:t>座暂未启动建设，后续将结合区域需求及政策要求适时推进前期工作。</w:t>
      </w:r>
    </w:p>
    <w:p w14:paraId="21AE74D0">
      <w:pPr>
        <w:pStyle w:val="3"/>
        <w:bidi w:val="0"/>
        <w:rPr>
          <w:rFonts w:hint="default"/>
          <w:lang w:val="en-US" w:eastAsia="zh-CN"/>
        </w:rPr>
      </w:pPr>
      <w:bookmarkStart w:id="28" w:name="_Toc31923"/>
      <w:bookmarkStart w:id="29" w:name="_Toc7102"/>
      <w:r>
        <w:rPr>
          <w:rFonts w:hint="eastAsia"/>
          <w:lang w:val="en-US" w:eastAsia="zh-CN"/>
        </w:rPr>
        <w:t>五、</w:t>
      </w:r>
      <w:r>
        <w:rPr>
          <w:rFonts w:hint="default"/>
          <w:lang w:val="en-US" w:eastAsia="zh-CN"/>
        </w:rPr>
        <w:t>存在问题</w:t>
      </w:r>
      <w:bookmarkEnd w:id="28"/>
      <w:bookmarkEnd w:id="29"/>
    </w:p>
    <w:p w14:paraId="508A7116">
      <w:pPr>
        <w:keepNext w:val="0"/>
        <w:keepLines w:val="0"/>
        <w:pageBreakBefore w:val="0"/>
        <w:widowControl w:val="0"/>
        <w:kinsoku/>
        <w:wordWrap/>
        <w:overflowPunct/>
        <w:topLinePunct w:val="0"/>
        <w:autoSpaceDE/>
        <w:autoSpaceDN/>
        <w:bidi w:val="0"/>
        <w:adjustRightInd/>
        <w:snapToGrid/>
        <w:spacing w:line="540" w:lineRule="exact"/>
        <w:ind w:left="0" w:leftChars="0" w:firstLine="643" w:firstLineChars="200"/>
        <w:jc w:val="both"/>
        <w:textAlignment w:val="auto"/>
        <w:outlineLvl w:val="9"/>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方正楷体_GB2312" w:hAnsi="方正楷体_GB2312" w:eastAsia="方正楷体_GB2312" w:cs="方正楷体_GB2312"/>
          <w:b/>
          <w:bCs/>
          <w:szCs w:val="24"/>
          <w:lang w:val="en-US" w:eastAsia="zh-CN"/>
        </w:rPr>
        <w:t>新迁建加油站落地较难</w:t>
      </w:r>
      <w:r>
        <w:rPr>
          <w:rFonts w:hint="eastAsia" w:ascii="方正楷体_GB2312" w:hAnsi="方正楷体_GB2312" w:eastAsia="方正楷体_GB2312" w:cs="方正楷体_GB2312"/>
          <w:b w:val="0"/>
          <w:bCs w:val="0"/>
          <w:szCs w:val="24"/>
          <w:lang w:val="en-US" w:eastAsia="zh-CN"/>
        </w:rPr>
        <w:t>。</w:t>
      </w:r>
      <w:r>
        <w:rPr>
          <w:rFonts w:hint="eastAsia" w:ascii="Times New Roman" w:hAnsi="Times New Roman" w:eastAsia="仿宋_GB2312" w:cs="Times New Roman"/>
          <w:b w:val="0"/>
          <w:bCs w:val="0"/>
          <w:color w:val="auto"/>
          <w:kern w:val="2"/>
          <w:szCs w:val="32"/>
          <w:highlight w:val="none"/>
          <w:lang w:val="en-US" w:eastAsia="zh-CN" w:bidi="ar-SA"/>
        </w:rPr>
        <w:t>“十四五”期间师市规划加油站</w:t>
      </w:r>
      <w:r>
        <w:rPr>
          <w:rFonts w:hint="eastAsia"/>
          <w:highlight w:val="none"/>
          <w:lang w:val="en-US" w:eastAsia="zh-CN"/>
        </w:rPr>
        <w:t>*</w:t>
      </w:r>
      <w:r>
        <w:rPr>
          <w:rFonts w:hint="eastAsia" w:ascii="Times New Roman" w:hAnsi="Times New Roman" w:eastAsia="仿宋_GB2312" w:cs="Times New Roman"/>
          <w:b w:val="0"/>
          <w:bCs w:val="0"/>
          <w:color w:val="auto"/>
          <w:kern w:val="2"/>
          <w:szCs w:val="32"/>
          <w:highlight w:val="none"/>
          <w:lang w:val="en-US" w:eastAsia="zh-CN" w:bidi="ar-SA"/>
        </w:rPr>
        <w:t>座，仅建成</w:t>
      </w:r>
      <w:r>
        <w:rPr>
          <w:rFonts w:hint="eastAsia"/>
          <w:highlight w:val="none"/>
          <w:lang w:val="en-US" w:eastAsia="zh-CN"/>
        </w:rPr>
        <w:t>*</w:t>
      </w:r>
      <w:r>
        <w:rPr>
          <w:rFonts w:hint="eastAsia" w:ascii="Times New Roman" w:hAnsi="Times New Roman" w:eastAsia="仿宋_GB2312" w:cs="Times New Roman"/>
          <w:b w:val="0"/>
          <w:bCs w:val="0"/>
          <w:color w:val="auto"/>
          <w:kern w:val="2"/>
          <w:szCs w:val="32"/>
          <w:highlight w:val="none"/>
          <w:lang w:val="en-US" w:eastAsia="zh-CN" w:bidi="ar-SA"/>
        </w:rPr>
        <w:t>座，建成率滞后于规划目标。偏远乡镇站点投入产出比失衡，叠加新能源汽车普及导致加油站经营承压，企业建站意愿不足、持观望态度，致使站点落地难、建设周期拉长。</w:t>
      </w:r>
      <w:r>
        <w:rPr>
          <w:rFonts w:hint="eastAsia" w:ascii="方正楷体_GB2312" w:hAnsi="方正楷体_GB2312" w:eastAsia="方正楷体_GB2312" w:cs="方正楷体_GB2312"/>
          <w:b/>
          <w:bCs/>
          <w:szCs w:val="24"/>
          <w:lang w:val="en-US" w:eastAsia="zh-CN"/>
        </w:rPr>
        <w:t>网点布局仍需优化</w:t>
      </w:r>
      <w:r>
        <w:rPr>
          <w:rFonts w:hint="eastAsia" w:ascii="方正楷体_GB2312" w:hAnsi="方正楷体_GB2312" w:eastAsia="方正楷体_GB2312" w:cs="方正楷体_GB2312"/>
          <w:b w:val="0"/>
          <w:bCs w:val="0"/>
          <w:szCs w:val="24"/>
          <w:lang w:val="en-US" w:eastAsia="zh-CN"/>
        </w:rPr>
        <w:t>。</w:t>
      </w:r>
      <w:r>
        <w:rPr>
          <w:rFonts w:hint="eastAsia" w:ascii="Times New Roman" w:hAnsi="Times New Roman" w:eastAsia="仿宋_GB2312" w:cs="Times New Roman"/>
          <w:b w:val="0"/>
          <w:bCs w:val="0"/>
          <w:color w:val="auto"/>
          <w:kern w:val="2"/>
          <w:szCs w:val="32"/>
          <w:highlight w:val="none"/>
          <w:lang w:val="en-US" w:eastAsia="zh-CN" w:bidi="ar-SA"/>
        </w:rPr>
        <w:t>随着师市交通重大项目落地、路网持续完善，现有成品油零售网点服务半径过大问题凸显。偏远乡镇因企业经营考量，规划站点未能落地，导致区域生产生活及经济建设面临“加油难、加油远”困境，</w:t>
      </w:r>
      <w:r>
        <w:rPr>
          <w:rFonts w:hint="eastAsia" w:cs="Times New Roman"/>
          <w:b w:val="0"/>
          <w:bCs w:val="0"/>
          <w:color w:val="auto"/>
          <w:kern w:val="2"/>
          <w:szCs w:val="32"/>
          <w:highlight w:val="none"/>
          <w:lang w:val="en-US" w:eastAsia="zh-CN" w:bidi="ar-SA"/>
        </w:rPr>
        <w:t>亟须补充</w:t>
      </w:r>
      <w:r>
        <w:rPr>
          <w:rFonts w:hint="eastAsia" w:ascii="Times New Roman" w:hAnsi="Times New Roman" w:eastAsia="仿宋_GB2312" w:cs="Times New Roman"/>
          <w:b w:val="0"/>
          <w:bCs w:val="0"/>
          <w:color w:val="auto"/>
          <w:kern w:val="2"/>
          <w:szCs w:val="32"/>
          <w:highlight w:val="none"/>
          <w:lang w:val="en-US" w:eastAsia="zh-CN" w:bidi="ar-SA"/>
        </w:rPr>
        <w:t>完善。</w:t>
      </w:r>
      <w:r>
        <w:rPr>
          <w:rFonts w:hint="eastAsia" w:ascii="方正楷体_GB2312" w:hAnsi="方正楷体_GB2312" w:eastAsia="方正楷体_GB2312" w:cs="方正楷体_GB2312"/>
          <w:b/>
          <w:bCs/>
          <w:szCs w:val="24"/>
          <w:lang w:val="en-US" w:eastAsia="zh-CN"/>
        </w:rPr>
        <w:t>加油站综合服务能力有待提升</w:t>
      </w:r>
      <w:r>
        <w:rPr>
          <w:rFonts w:hint="eastAsia" w:ascii="方正楷体_GB2312" w:hAnsi="方正楷体_GB2312" w:eastAsia="方正楷体_GB2312" w:cs="方正楷体_GB2312"/>
          <w:b w:val="0"/>
          <w:bCs w:val="0"/>
          <w:szCs w:val="24"/>
          <w:lang w:val="en-US" w:eastAsia="zh-CN"/>
        </w:rPr>
        <w:t>。</w:t>
      </w:r>
      <w:r>
        <w:rPr>
          <w:rFonts w:hint="eastAsia"/>
          <w:color w:val="auto"/>
          <w:highlight w:val="none"/>
        </w:rPr>
        <w:t>受历史因素影响，师市部分加油站存在规模偏小、站容陈旧、服务水平不高、设施相对落后等短板。此类问题制约站点经营效益提升，难以满足消费者对高质量服务的需求。</w:t>
      </w:r>
      <w:r>
        <w:rPr>
          <w:rFonts w:hint="eastAsia" w:ascii="方正楷体_GB2312" w:hAnsi="方正楷体_GB2312" w:eastAsia="方正楷体_GB2312" w:cs="方正楷体_GB2312"/>
          <w:b/>
          <w:bCs/>
          <w:szCs w:val="24"/>
          <w:lang w:val="en-US" w:eastAsia="zh-CN"/>
        </w:rPr>
        <w:t>新能源汽车的普及对成品油销售造成一定冲击</w:t>
      </w:r>
      <w:r>
        <w:rPr>
          <w:rFonts w:hint="eastAsia" w:ascii="方正楷体_GB2312" w:hAnsi="方正楷体_GB2312" w:eastAsia="方正楷体_GB2312" w:cs="方正楷体_GB2312"/>
          <w:b w:val="0"/>
          <w:bCs w:val="0"/>
          <w:szCs w:val="24"/>
          <w:lang w:val="en-US" w:eastAsia="zh-CN"/>
        </w:rPr>
        <w:t>。</w:t>
      </w:r>
      <w:r>
        <w:rPr>
          <w:rFonts w:hint="eastAsia"/>
          <w:color w:val="auto"/>
          <w:highlight w:val="none"/>
        </w:rPr>
        <w:t>绿色低碳趋势下，交通领域燃油效率提升与替代能源发展加速，成品油总体需求呈萎缩态势，新能源汽车逐步成为消费首选。这倒逼成品油零售企业向“油、气、电”综合经营延伸，对现有站点改造及新建站点标准提出更高要求。</w:t>
      </w:r>
    </w:p>
    <w:p w14:paraId="7E8D5688">
      <w:pPr>
        <w:pStyle w:val="3"/>
        <w:bidi w:val="0"/>
        <w:rPr>
          <w:rFonts w:hint="default"/>
          <w:lang w:val="en-US" w:eastAsia="zh-CN"/>
        </w:rPr>
      </w:pPr>
      <w:bookmarkStart w:id="30" w:name="_Toc27013"/>
      <w:bookmarkStart w:id="31" w:name="_Toc29702"/>
      <w:r>
        <w:rPr>
          <w:rFonts w:hint="eastAsia"/>
          <w:lang w:val="en-US" w:eastAsia="zh-CN"/>
        </w:rPr>
        <w:t>六、</w:t>
      </w:r>
      <w:r>
        <w:rPr>
          <w:rFonts w:hint="default"/>
          <w:lang w:val="en-US" w:eastAsia="zh-CN"/>
        </w:rPr>
        <w:t>“十五五”时期面临的形势</w:t>
      </w:r>
      <w:bookmarkEnd w:id="30"/>
      <w:bookmarkEnd w:id="31"/>
    </w:p>
    <w:p w14:paraId="3C1DAC68">
      <w:pPr>
        <w:bidi w:val="0"/>
        <w:rPr>
          <w:rFonts w:hint="eastAsia"/>
          <w:lang w:val="en-US" w:eastAsia="zh-CN"/>
        </w:rPr>
      </w:pPr>
      <w:r>
        <w:rPr>
          <w:rFonts w:hint="eastAsia"/>
          <w:lang w:val="en-US" w:eastAsia="zh-CN"/>
        </w:rPr>
        <w:t>“十五五”时期是师市成品油零售体系从“规模覆盖”向“质量升级”转型的关键阶段。立足师市核心战略深化期，叠加国家政策导向，成品油零售体系发展呈现“机遇牵引转型、挑战倒逼升级”的态势。</w:t>
      </w:r>
    </w:p>
    <w:p w14:paraId="33483DB7">
      <w:pPr>
        <w:pStyle w:val="4"/>
        <w:bidi w:val="0"/>
        <w:rPr>
          <w:rFonts w:hint="default"/>
          <w:bCs/>
          <w:lang w:val="en-US" w:eastAsia="zh-CN"/>
        </w:rPr>
      </w:pPr>
      <w:r>
        <w:rPr>
          <w:rFonts w:hint="eastAsia"/>
          <w:bCs/>
          <w:lang w:val="en-US" w:eastAsia="zh-CN"/>
        </w:rPr>
        <w:t>（一）发展机遇</w:t>
      </w:r>
    </w:p>
    <w:p w14:paraId="1A3BF69E">
      <w:pPr>
        <w:bidi w:val="0"/>
        <w:ind w:firstLine="643"/>
        <w:rPr>
          <w:rFonts w:hint="eastAsia"/>
          <w:lang w:val="en-US" w:eastAsia="zh-CN"/>
        </w:rPr>
      </w:pPr>
      <w:r>
        <w:rPr>
          <w:rFonts w:hint="eastAsia"/>
          <w:b/>
          <w:bCs/>
          <w:lang w:val="en-US" w:eastAsia="zh-CN"/>
        </w:rPr>
        <w:t>政策红利精准赋能。</w:t>
      </w:r>
      <w:r>
        <w:rPr>
          <w:rFonts w:hint="eastAsia"/>
          <w:b/>
          <w:bCs/>
          <w:highlight w:val="none"/>
          <w:lang w:val="en-US" w:eastAsia="zh-CN"/>
        </w:rPr>
        <w:t>“十五五”时期</w:t>
      </w:r>
      <w:r>
        <w:rPr>
          <w:rFonts w:hint="eastAsia"/>
          <w:b w:val="0"/>
          <w:bCs w:val="0"/>
          <w:highlight w:val="none"/>
          <w:lang w:val="en-US" w:eastAsia="zh-CN"/>
        </w:rPr>
        <w:t>，政策红利叠加释放为成品油零售体系发展注入强劲动力。《中华人民共和国国民经济和社会发展第十五个五年规划纲要》提出培育新消费场景、深入推进绿色低碳转型等任务部署，为行业转型提供根本遵循；叠加国家层面《关于推动成品油流通高质量发展的意见》等专项政策引导，明确支持成品油零售网点向“油气电氢服”综合能源站升级，鼓励拓展非油服务、完善农村及边境地区供给网络，为行业跨界融合、绿色转型筑牢政策支撑。同时，随着向西开放的持续深化，依托博州跨境电子商务综合试验区、边民互市产业园扩容提质成效显著，口岸跨境物流、边境加工产业规模加速扩张，直接带动货运行业成品油需求激增，不仅为零售体系拓展增量市场创造了有利条件，更推动沿线站点布局优化与服务升级，为行业高质量发展拓宽空间。</w:t>
      </w:r>
      <w:r>
        <w:rPr>
          <w:rFonts w:hint="eastAsia"/>
          <w:b/>
          <w:bCs/>
          <w:highlight w:val="none"/>
          <w:lang w:val="en-US" w:eastAsia="zh-CN"/>
        </w:rPr>
        <w:t>交通</w:t>
      </w:r>
      <w:r>
        <w:rPr>
          <w:rFonts w:hint="eastAsia"/>
          <w:b/>
          <w:bCs/>
          <w:lang w:val="en-US" w:eastAsia="zh-CN"/>
        </w:rPr>
        <w:t>基建催生需求增量。</w:t>
      </w:r>
      <w:r>
        <w:rPr>
          <w:rFonts w:hint="eastAsia"/>
          <w:b w:val="0"/>
          <w:bCs w:val="0"/>
          <w:lang w:val="en-US" w:eastAsia="zh-CN"/>
        </w:rPr>
        <w:t>师市“十五五”规划明确构建“三环四射四横四纵”公路主骨架</w:t>
      </w:r>
      <w:r>
        <w:rPr>
          <w:rFonts w:hint="eastAsia"/>
          <w:b w:val="0"/>
          <w:bCs w:val="0"/>
          <w:highlight w:val="none"/>
          <w:lang w:val="en-US" w:eastAsia="zh-CN"/>
        </w:rPr>
        <w:t>及“一高两普三支线两货运”铁路网络</w:t>
      </w:r>
      <w:r>
        <w:rPr>
          <w:rFonts w:hint="eastAsia"/>
          <w:b w:val="0"/>
          <w:bCs w:val="0"/>
          <w:lang w:val="en-US" w:eastAsia="zh-CN"/>
        </w:rPr>
        <w:t>，交通网络加密直接催生油品消费需求。按照加油站布局标准，新增公路将带动至少</w:t>
      </w:r>
      <w:r>
        <w:rPr>
          <w:rFonts w:hint="eastAsia"/>
          <w:highlight w:val="none"/>
          <w:lang w:val="en-US" w:eastAsia="zh-CN"/>
        </w:rPr>
        <w:t>*</w:t>
      </w:r>
      <w:r>
        <w:rPr>
          <w:rFonts w:hint="eastAsia"/>
          <w:b w:val="0"/>
          <w:bCs w:val="0"/>
          <w:lang w:val="en-US" w:eastAsia="zh-CN"/>
        </w:rPr>
        <w:t>个成品油零售服务节点需求；铁路专用线建成后，预计形成年</w:t>
      </w:r>
      <w:r>
        <w:rPr>
          <w:rFonts w:hint="eastAsia"/>
          <w:highlight w:val="none"/>
          <w:lang w:val="en-US" w:eastAsia="zh-CN"/>
        </w:rPr>
        <w:t>*</w:t>
      </w:r>
      <w:r>
        <w:rPr>
          <w:rFonts w:hint="eastAsia"/>
          <w:b w:val="0"/>
          <w:bCs w:val="0"/>
          <w:lang w:val="en-US" w:eastAsia="zh-CN"/>
        </w:rPr>
        <w:t>亿元以上货物运输量，货运车辆流通量年均增长</w:t>
      </w:r>
      <w:r>
        <w:rPr>
          <w:rFonts w:hint="eastAsia"/>
          <w:highlight w:val="none"/>
          <w:lang w:val="en-US" w:eastAsia="zh-CN"/>
        </w:rPr>
        <w:t>*</w:t>
      </w:r>
      <w:r>
        <w:rPr>
          <w:rFonts w:hint="eastAsia"/>
          <w:b w:val="0"/>
          <w:bCs w:val="0"/>
          <w:lang w:val="en-US" w:eastAsia="zh-CN"/>
        </w:rPr>
        <w:t>%以上；83团取水口等兵地重点项目稳步推进，工程机械用油需求持续释放，基建投资为沿线站点提供稳定消费支撑。</w:t>
      </w:r>
      <w:r>
        <w:rPr>
          <w:rFonts w:hint="eastAsia"/>
          <w:b/>
          <w:bCs/>
          <w:lang w:val="en-US" w:eastAsia="zh-CN"/>
        </w:rPr>
        <w:t>产业升级拓展市场空间。</w:t>
      </w:r>
      <w:r>
        <w:rPr>
          <w:rFonts w:hint="eastAsia"/>
          <w:lang w:val="en-US" w:eastAsia="zh-CN"/>
        </w:rPr>
        <w:t>师市“十五五”聚焦农副产品精深加工、新能源新材料等重点产业集群培育，推动产业从初级加工向全链条升级、上下游配套集聚，产业规模化发展将带动跨区域物流运输频次激增、本地货运车辆保有量增长，叠加产业园区建设及生产环节中工程机械与固定动力设备的持续投入，形成稳定刚性的柴油消费需求，为成品油零售市场拓展长期可持续发展空间。</w:t>
      </w:r>
      <w:r>
        <w:rPr>
          <w:rFonts w:hint="eastAsia"/>
          <w:b/>
          <w:bCs/>
          <w:lang w:val="en-US" w:eastAsia="zh-CN"/>
        </w:rPr>
        <w:t>消费升级催生服务多元化需求。</w:t>
      </w:r>
      <w:r>
        <w:rPr>
          <w:rFonts w:hint="eastAsia"/>
        </w:rPr>
        <w:t>家用汽车保有量稳步增长，汽油消费形成“日常通勤+短途自驾游”双驱动格局。消费者不再局限于单一加油需求，对“加油+便利零售+汽车服务+生活配套”的多元化、高品质服务需求显著上升，为师市加油站拓展非油业务、升级服务场景提供了广阔升级空间</w:t>
      </w:r>
      <w:r>
        <w:rPr>
          <w:rFonts w:hint="eastAsia"/>
          <w:lang w:eastAsia="zh-CN"/>
        </w:rPr>
        <w:t>。</w:t>
      </w:r>
    </w:p>
    <w:p w14:paraId="0F73707D">
      <w:pPr>
        <w:pStyle w:val="4"/>
        <w:bidi w:val="0"/>
        <w:rPr>
          <w:rFonts w:hint="eastAsia"/>
          <w:bCs/>
          <w:lang w:val="en-US" w:eastAsia="zh-CN"/>
        </w:rPr>
      </w:pPr>
      <w:r>
        <w:rPr>
          <w:rFonts w:hint="eastAsia"/>
          <w:bCs/>
          <w:lang w:val="en-US" w:eastAsia="zh-CN"/>
        </w:rPr>
        <w:t>（二）面临挑战</w:t>
      </w:r>
    </w:p>
    <w:p w14:paraId="6285B568">
      <w:pPr>
        <w:bidi w:val="0"/>
        <w:ind w:firstLine="643"/>
        <w:rPr>
          <w:rFonts w:hint="eastAsia"/>
          <w:lang w:val="en-US" w:eastAsia="zh-CN"/>
        </w:rPr>
      </w:pPr>
      <w:r>
        <w:rPr>
          <w:rFonts w:hint="eastAsia"/>
          <w:b/>
          <w:bCs/>
          <w:lang w:val="en-US" w:eastAsia="zh-CN"/>
        </w:rPr>
        <w:t>新能源替代挤压传统市场空间。</w:t>
      </w:r>
      <w:r>
        <w:rPr>
          <w:rFonts w:hint="eastAsia"/>
          <w:lang w:val="en-US" w:eastAsia="zh-CN"/>
        </w:rPr>
        <w:t>师市已建成</w:t>
      </w:r>
      <w:r>
        <w:rPr>
          <w:rFonts w:hint="eastAsia"/>
          <w:highlight w:val="none"/>
          <w:lang w:val="en-US" w:eastAsia="zh-CN"/>
        </w:rPr>
        <w:t>*</w:t>
      </w:r>
      <w:r>
        <w:rPr>
          <w:rFonts w:hint="eastAsia"/>
        </w:rPr>
        <w:t>个高标准新能源充电桩站点，</w:t>
      </w:r>
      <w:r>
        <w:rPr>
          <w:rFonts w:hint="eastAsia"/>
          <w:lang w:val="en-US" w:eastAsia="zh-CN"/>
        </w:rPr>
        <w:t>*套充电设施，并在2025年</w:t>
      </w:r>
      <w:r>
        <w:rPr>
          <w:rFonts w:hint="eastAsia"/>
        </w:rPr>
        <w:t>投运首座重卡充电站，</w:t>
      </w:r>
      <w:r>
        <w:rPr>
          <w:rFonts w:hint="eastAsia"/>
          <w:lang w:val="en-US" w:eastAsia="zh-CN"/>
        </w:rPr>
        <w:t>充电价格降至</w:t>
      </w:r>
      <w:r>
        <w:rPr>
          <w:rFonts w:hint="eastAsia"/>
          <w:highlight w:val="none"/>
          <w:lang w:val="en-US" w:eastAsia="zh-CN"/>
        </w:rPr>
        <w:t>*</w:t>
      </w:r>
      <w:r>
        <w:rPr>
          <w:rFonts w:hint="eastAsia"/>
          <w:lang w:val="en-US" w:eastAsia="zh-CN"/>
        </w:rPr>
        <w:t>元/度，且“十五五”将持续</w:t>
      </w:r>
      <w:r>
        <w:rPr>
          <w:rFonts w:hint="eastAsia"/>
        </w:rPr>
        <w:t>扩容新能源基建</w:t>
      </w:r>
      <w:r>
        <w:rPr>
          <w:rFonts w:hint="eastAsia"/>
          <w:lang w:val="en-US" w:eastAsia="zh-CN"/>
        </w:rPr>
        <w:t>，进一步分流城区通勤及旅游线路汽油消费。目前仅</w:t>
      </w:r>
      <w:r>
        <w:rPr>
          <w:rFonts w:hint="eastAsia"/>
          <w:highlight w:val="none"/>
          <w:lang w:val="en-US" w:eastAsia="zh-CN"/>
        </w:rPr>
        <w:t>*</w:t>
      </w:r>
      <w:r>
        <w:rPr>
          <w:rFonts w:hint="eastAsia"/>
          <w:lang w:val="en-US" w:eastAsia="zh-CN"/>
        </w:rPr>
        <w:t>座加油站配套充电设施，新能源服务覆盖率不足</w:t>
      </w:r>
      <w:r>
        <w:rPr>
          <w:rFonts w:hint="eastAsia"/>
          <w:highlight w:val="none"/>
          <w:lang w:val="en-US" w:eastAsia="zh-CN"/>
        </w:rPr>
        <w:t>*</w:t>
      </w:r>
      <w:r>
        <w:rPr>
          <w:rFonts w:hint="eastAsia"/>
          <w:lang w:val="en-US" w:eastAsia="zh-CN"/>
        </w:rPr>
        <w:t>%，未启动综合能源站改造，绿色转型滞后面临淘汰压力。</w:t>
      </w:r>
      <w:r>
        <w:rPr>
          <w:rFonts w:hint="eastAsia"/>
          <w:b/>
          <w:bCs/>
          <w:lang w:val="en-US" w:eastAsia="zh-CN"/>
        </w:rPr>
        <w:t>布局与服务适配性不足。</w:t>
      </w:r>
      <w:r>
        <w:rPr>
          <w:rFonts w:hint="eastAsia"/>
        </w:rPr>
        <w:t>现有加油站集中于城区及团场核心区，边防公路等偏远区域空白，农业机械、应急车辆加油不便。</w:t>
      </w:r>
      <w:r>
        <w:rPr>
          <w:rFonts w:hint="eastAsia"/>
          <w:lang w:val="en-US" w:eastAsia="zh-CN"/>
        </w:rPr>
        <w:t>部分新建物流园区，如</w:t>
      </w:r>
      <w:r>
        <w:rPr>
          <w:rFonts w:hint="eastAsia"/>
        </w:rPr>
        <w:t>2025年底通车的双河市铁路专用线</w:t>
      </w:r>
      <w:r>
        <w:rPr>
          <w:rFonts w:hint="eastAsia"/>
          <w:lang w:val="en-US" w:eastAsia="zh-CN"/>
        </w:rPr>
        <w:t>，其</w:t>
      </w:r>
      <w:r>
        <w:rPr>
          <w:rFonts w:hint="eastAsia"/>
        </w:rPr>
        <w:t>配套物流园区尚未规划建设加油设施，无法满足长途货运车辆、园区作业车辆的即时加油需求。</w:t>
      </w:r>
      <w:r>
        <w:rPr>
          <w:rFonts w:hint="eastAsia"/>
          <w:b/>
          <w:bCs/>
          <w:lang w:val="en-US" w:eastAsia="zh-CN"/>
        </w:rPr>
        <w:t>服务能力两极分化凸显。</w:t>
      </w:r>
      <w:r>
        <w:rPr>
          <w:rFonts w:hint="eastAsia"/>
        </w:rPr>
        <w:t>兵团石油站点形成“加油+便利店”模式，民营站点仍以单一服务为主；</w:t>
      </w:r>
      <w:r>
        <w:rPr>
          <w:rFonts w:hint="eastAsia"/>
          <w:lang w:val="en-US" w:eastAsia="zh-CN"/>
        </w:rPr>
        <w:t>部分</w:t>
      </w:r>
      <w:r>
        <w:rPr>
          <w:rFonts w:hint="eastAsia"/>
        </w:rPr>
        <w:t>团场老旧站点存在设施老化、功能单一等问题，服务体验较差。非油品业务占比仅</w:t>
      </w:r>
      <w:r>
        <w:rPr>
          <w:rFonts w:hint="eastAsia"/>
          <w:highlight w:val="none"/>
          <w:lang w:val="en-US" w:eastAsia="zh-CN"/>
        </w:rPr>
        <w:t>*</w:t>
      </w:r>
      <w:r>
        <w:rPr>
          <w:rFonts w:hint="eastAsia"/>
        </w:rPr>
        <w:t>%，远低于全国</w:t>
      </w:r>
      <w:r>
        <w:rPr>
          <w:rFonts w:hint="eastAsia"/>
          <w:highlight w:val="none"/>
          <w:lang w:val="en-US" w:eastAsia="zh-CN"/>
        </w:rPr>
        <w:t>*</w:t>
      </w:r>
      <w:r>
        <w:rPr>
          <w:rFonts w:hint="eastAsia"/>
        </w:rPr>
        <w:t>%的平均水平，服务附加值挖掘不足。</w:t>
      </w:r>
      <w:r>
        <w:rPr>
          <w:rFonts w:hint="eastAsia"/>
          <w:b/>
          <w:bCs/>
          <w:lang w:val="en-US" w:eastAsia="zh-CN"/>
        </w:rPr>
        <w:t>要素保障存在结构性矛盾。</w:t>
      </w:r>
      <w:r>
        <w:rPr>
          <w:rFonts w:hint="eastAsia"/>
        </w:rPr>
        <w:t>土地方面，国土空间规划调整致部分站点延期；资金方面，综合能源站改造单站投资超千万，企业融资能力弱；人才方面，缺乏数字化运营、新能源服务专业人才，制约“智慧油站”建设。</w:t>
      </w:r>
    </w:p>
    <w:p w14:paraId="7B78A769">
      <w:pPr>
        <w:pStyle w:val="4"/>
        <w:bidi w:val="0"/>
        <w:rPr>
          <w:rFonts w:hint="eastAsia"/>
          <w:lang w:val="en-US" w:eastAsia="zh-CN"/>
        </w:rPr>
      </w:pPr>
      <w:r>
        <w:rPr>
          <w:rFonts w:hint="eastAsia"/>
          <w:lang w:val="en-US" w:eastAsia="zh-CN"/>
        </w:rPr>
        <w:t>（三）形势研判与战略指向</w:t>
      </w:r>
    </w:p>
    <w:p w14:paraId="5B087065">
      <w:pPr>
        <w:bidi w:val="0"/>
        <w:rPr>
          <w:rFonts w:hint="eastAsia"/>
          <w:lang w:val="en-US" w:eastAsia="zh-CN"/>
        </w:rPr>
      </w:pPr>
      <w:r>
        <w:rPr>
          <w:rFonts w:hint="eastAsia"/>
          <w:lang w:val="en-US" w:eastAsia="zh-CN"/>
        </w:rPr>
        <w:t>“十五五”时期，师市成品油零售体系处于“政策驱动升级、需求结构变革、风险挑战加剧”的交汇点，交通与产业的增量需求构成“硬支撑”，政策红利提供“强动能”，但新能源替代与布局滞后形成“紧约束”，总体呈现“机遇可抓、挑战必破”的态势。</w:t>
      </w:r>
    </w:p>
    <w:p w14:paraId="5E92CDCF">
      <w:pPr>
        <w:rPr>
          <w:rFonts w:hint="eastAsia"/>
          <w:lang w:val="en-US" w:eastAsia="zh-CN"/>
        </w:rPr>
      </w:pPr>
      <w:r>
        <w:rPr>
          <w:rFonts w:hint="eastAsia"/>
          <w:lang w:val="en-US" w:eastAsia="zh-CN"/>
        </w:rPr>
        <w:t>对此，体系发展需锚定“三个转型”战略指向：</w:t>
      </w:r>
      <w:r>
        <w:rPr>
          <w:rFonts w:hint="eastAsia"/>
          <w:b/>
          <w:bCs/>
          <w:lang w:val="en-US" w:eastAsia="zh-CN"/>
        </w:rPr>
        <w:t>一是布局转型，</w:t>
      </w:r>
      <w:r>
        <w:rPr>
          <w:rFonts w:hint="eastAsia"/>
          <w:lang w:val="en-US" w:eastAsia="zh-CN"/>
        </w:rPr>
        <w:t>紧扣“三环四射四横四纵”交通路网规划，新增路网沿线、偏远区域及物流枢纽站点；</w:t>
      </w:r>
      <w:r>
        <w:rPr>
          <w:rFonts w:hint="eastAsia"/>
          <w:b/>
          <w:bCs/>
          <w:lang w:val="en-US" w:eastAsia="zh-CN"/>
        </w:rPr>
        <w:t>二是服务转型</w:t>
      </w:r>
      <w:r>
        <w:rPr>
          <w:rFonts w:hint="eastAsia"/>
          <w:lang w:val="en-US" w:eastAsia="zh-CN"/>
        </w:rPr>
        <w:t>，创新“能源+服务+商业”三位一体模式，精准适配区位需求营造新消费场景，城区站融入便利化社区服务构建“15分钟生活圈”、旅游沿线推出“油+游”联动服务，丰富能源服务商业形态，推动非油品业务占比实现大幅提升，实现从“油品销售”向“综合服务运营”转型；</w:t>
      </w:r>
      <w:r>
        <w:rPr>
          <w:rFonts w:hint="eastAsia"/>
          <w:b/>
          <w:bCs/>
          <w:lang w:val="en-US" w:eastAsia="zh-CN"/>
        </w:rPr>
        <w:t>三是绿色转型</w:t>
      </w:r>
      <w:r>
        <w:rPr>
          <w:rFonts w:hint="eastAsia"/>
          <w:b w:val="0"/>
          <w:bCs w:val="0"/>
          <w:lang w:val="en-US" w:eastAsia="zh-CN"/>
        </w:rPr>
        <w:t>，紧扣“双碳”目标，推动零售网点向“油气电氢”综合能源站升级，推广罩棚光伏+储能一体化、高效油气回收系统，建立绿色运营服务标准，助力行业低碳可持续发展，做出兵团成品油零售体系转型典范</w:t>
      </w:r>
      <w:r>
        <w:rPr>
          <w:rFonts w:hint="eastAsia"/>
          <w:lang w:val="en-US" w:eastAsia="zh-CN"/>
        </w:rPr>
        <w:t>。</w:t>
      </w:r>
    </w:p>
    <w:p w14:paraId="2C5747BF">
      <w:pPr>
        <w:rPr>
          <w:rFonts w:hint="eastAsia"/>
          <w:lang w:val="en-US" w:eastAsia="zh-CN"/>
        </w:rPr>
      </w:pPr>
      <w:r>
        <w:rPr>
          <w:rFonts w:hint="eastAsia"/>
          <w:lang w:val="en-US" w:eastAsia="zh-CN"/>
        </w:rPr>
        <w:br w:type="page"/>
      </w:r>
    </w:p>
    <w:bookmarkEnd w:id="10"/>
    <w:bookmarkEnd w:id="11"/>
    <w:p w14:paraId="2C3A6674">
      <w:pPr>
        <w:pStyle w:val="2"/>
        <w:keepNext/>
        <w:keepLines/>
        <w:pageBreakBefore w:val="0"/>
        <w:widowControl w:val="0"/>
        <w:kinsoku/>
        <w:wordWrap/>
        <w:overflowPunct/>
        <w:topLinePunct w:val="0"/>
        <w:autoSpaceDE/>
        <w:autoSpaceDN/>
        <w:bidi w:val="0"/>
        <w:adjustRightInd/>
        <w:snapToGrid/>
        <w:jc w:val="center"/>
        <w:textAlignment w:val="auto"/>
        <w:rPr>
          <w:rFonts w:hint="eastAsia"/>
          <w:lang w:val="en-US" w:eastAsia="zh-CN"/>
        </w:rPr>
      </w:pPr>
      <w:bookmarkStart w:id="32" w:name="_Toc30588"/>
      <w:bookmarkStart w:id="33" w:name="_Toc26211"/>
      <w:bookmarkStart w:id="34" w:name="_Toc4353"/>
      <w:bookmarkStart w:id="35" w:name="_Toc5749"/>
      <w:r>
        <w:rPr>
          <w:rFonts w:hint="eastAsia"/>
          <w:lang w:val="en-US" w:eastAsia="zh-CN"/>
        </w:rPr>
        <w:t>第三章 总体要求</w:t>
      </w:r>
      <w:bookmarkEnd w:id="32"/>
      <w:bookmarkEnd w:id="33"/>
      <w:bookmarkEnd w:id="34"/>
      <w:bookmarkEnd w:id="35"/>
    </w:p>
    <w:p w14:paraId="5DB274C7">
      <w:pPr>
        <w:pStyle w:val="3"/>
        <w:bidi w:val="0"/>
        <w:rPr>
          <w:rFonts w:hint="default"/>
          <w:lang w:val="en-US" w:eastAsia="zh-CN"/>
        </w:rPr>
      </w:pPr>
      <w:bookmarkStart w:id="36" w:name="_Toc10550"/>
      <w:bookmarkStart w:id="37" w:name="_Toc27672"/>
      <w:bookmarkStart w:id="38" w:name="_Toc646702095"/>
      <w:bookmarkStart w:id="39" w:name="_Toc607625310"/>
      <w:bookmarkStart w:id="40" w:name="_Toc14494"/>
      <w:bookmarkStart w:id="41" w:name="_Toc18624"/>
      <w:bookmarkStart w:id="42" w:name="_Toc9438"/>
      <w:r>
        <w:rPr>
          <w:rFonts w:hint="default"/>
          <w:lang w:val="en-US" w:eastAsia="zh-CN"/>
        </w:rPr>
        <w:t>一</w:t>
      </w:r>
      <w:r>
        <w:rPr>
          <w:rFonts w:hint="eastAsia"/>
          <w:lang w:val="en-US" w:eastAsia="zh-CN"/>
        </w:rPr>
        <w:t>、</w:t>
      </w:r>
      <w:r>
        <w:rPr>
          <w:rFonts w:hint="default"/>
          <w:lang w:val="en-US" w:eastAsia="zh-CN"/>
        </w:rPr>
        <w:t>指导思想</w:t>
      </w:r>
      <w:bookmarkEnd w:id="36"/>
      <w:bookmarkEnd w:id="37"/>
      <w:bookmarkEnd w:id="38"/>
      <w:bookmarkEnd w:id="39"/>
      <w:bookmarkEnd w:id="40"/>
      <w:bookmarkEnd w:id="41"/>
      <w:bookmarkEnd w:id="42"/>
    </w:p>
    <w:p w14:paraId="2A4319E6">
      <w:pPr>
        <w:bidi w:val="0"/>
        <w:rPr>
          <w:rFonts w:hint="eastAsia"/>
          <w:highlight w:val="none"/>
          <w:lang w:val="en-US" w:eastAsia="zh-CN"/>
        </w:rPr>
      </w:pPr>
      <w:r>
        <w:rPr>
          <w:rFonts w:hint="eastAsia"/>
          <w:highlight w:val="none"/>
          <w:lang w:val="en-US" w:eastAsia="zh-CN"/>
        </w:rPr>
        <w:t>坚持以习近平新时代中国特色社会主义思想为指导，全面贯彻党的二十大和二十届历次全会精神，完整准确全面贯彻新发展理念，加快构建新发展格局，牢牢把握兵团是实现党中央关于新疆工作总目标的重要战略力量定位要求，紧扣新时代兵团职责使命与师市战略定位，锚定高质量发展首要任务，以碳达峰碳中和为牵引，以因地制宜发展新质生产力为核心动能，以深化成品油零售行业供给侧结构性改革为主线，统筹扩大内需与供给优化升级，充分发挥市场在资源配置中的决定性作用，强化“有效市场”与“有为兵团”协同发力，依托师市区位优势与产业基础，深度对接丝绸之路经济带核心区建设重大机遇。通过科学布局零售网络、推动绿色智能转型、创新“能源+服务”业态、激活市场主体活力，持续提升行业治理效能与服务品质，增强流通经营主体可持续发展能力，构建规范有序、安全高效、绿色低碳、适配现代化产业体系的成品油零售体系，为保障师市能源安全、服务职工群众多元需求、支撑边疆稳定与高质量发展提供坚实支撑。</w:t>
      </w:r>
    </w:p>
    <w:p w14:paraId="53113807">
      <w:pPr>
        <w:pStyle w:val="3"/>
        <w:bidi w:val="0"/>
        <w:rPr>
          <w:rFonts w:hint="eastAsia"/>
          <w:lang w:val="en-US" w:eastAsia="zh-CN"/>
        </w:rPr>
      </w:pPr>
      <w:bookmarkStart w:id="43" w:name="_Toc707373198"/>
      <w:bookmarkStart w:id="44" w:name="_Toc74815440"/>
      <w:bookmarkStart w:id="45" w:name="_Toc4859"/>
      <w:bookmarkStart w:id="46" w:name="_Toc78437184"/>
      <w:bookmarkStart w:id="47" w:name="_Toc1073843685"/>
      <w:bookmarkStart w:id="48" w:name="_Toc8018"/>
      <w:bookmarkStart w:id="49" w:name="_Toc65736109"/>
      <w:bookmarkStart w:id="50" w:name="_Toc6953"/>
      <w:bookmarkStart w:id="51" w:name="_Toc3509"/>
      <w:bookmarkStart w:id="52" w:name="_Toc4507"/>
      <w:r>
        <w:rPr>
          <w:rFonts w:hint="eastAsia"/>
          <w:lang w:val="en-US" w:eastAsia="zh-CN"/>
        </w:rPr>
        <w:t>二、规划原则</w:t>
      </w:r>
      <w:bookmarkEnd w:id="43"/>
      <w:bookmarkEnd w:id="44"/>
      <w:bookmarkEnd w:id="45"/>
      <w:bookmarkEnd w:id="46"/>
      <w:bookmarkEnd w:id="47"/>
      <w:bookmarkEnd w:id="48"/>
      <w:bookmarkEnd w:id="49"/>
      <w:bookmarkEnd w:id="50"/>
      <w:bookmarkEnd w:id="51"/>
      <w:bookmarkEnd w:id="52"/>
    </w:p>
    <w:p w14:paraId="702AAAD3">
      <w:pPr>
        <w:bidi w:val="0"/>
        <w:rPr>
          <w:rFonts w:hint="eastAsia"/>
          <w:lang w:val="en-US" w:eastAsia="zh-CN"/>
        </w:rPr>
      </w:pPr>
      <w:r>
        <w:rPr>
          <w:rFonts w:hint="eastAsia"/>
          <w:lang w:val="en-US" w:eastAsia="zh-CN"/>
        </w:rPr>
        <w:t>根据《国务院办公厅关于推动成品油流通高质量发展的意见》（国办发〔2025〕5号）、《成品油流通管理办法》（中华人民共和国商务部令〔2025〕4号）、《新疆生产建设兵团石油成品油零售经营资格审批管理办法》（兵商规〔2022〕1号）等文件，依据《第五师双河市国土空间总体规划（2021—2035年）》，结合经济和产业发展需求、机动车保有量及公路建设、交通流量发展趋势，统筹城乡发展、控制增量、优化存量、协调发挥兵团职能和市场的资源配置作用，逐步形成与师市经济和社会发展相适应的成品油零售经营体系。</w:t>
      </w:r>
    </w:p>
    <w:p w14:paraId="501FC9DB">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val="0"/>
          <w:bCs w:val="0"/>
          <w:kern w:val="2"/>
          <w:sz w:val="32"/>
          <w:szCs w:val="22"/>
          <w:highlight w:val="none"/>
          <w:lang w:val="en-US" w:eastAsia="zh-CN" w:bidi="ar-SA"/>
        </w:rPr>
      </w:pPr>
      <w:r>
        <w:rPr>
          <w:rFonts w:hint="default" w:ascii="Times New Roman" w:hAnsi="Times New Roman" w:eastAsia="仿宋_GB2312" w:cs="Times New Roman"/>
          <w:b/>
          <w:bCs/>
          <w:szCs w:val="32"/>
          <w:highlight w:val="none"/>
          <w:lang w:val="en-US" w:eastAsia="zh-CN"/>
        </w:rPr>
        <w:t>兵团引导，市场主导</w:t>
      </w:r>
      <w:r>
        <w:rPr>
          <w:rFonts w:hint="default" w:ascii="Times New Roman" w:hAnsi="Times New Roman" w:eastAsia="仿宋_GB2312" w:cs="Times New Roman"/>
          <w:b/>
          <w:bCs/>
          <w:kern w:val="2"/>
          <w:szCs w:val="32"/>
          <w:highlight w:val="none"/>
          <w:lang w:val="en-US" w:eastAsia="zh-CN"/>
        </w:rPr>
        <w:t>。</w:t>
      </w:r>
      <w:r>
        <w:rPr>
          <w:rFonts w:hint="default" w:ascii="Times New Roman" w:hAnsi="Times New Roman" w:eastAsia="仿宋_GB2312" w:cs="Times New Roman"/>
          <w:b w:val="0"/>
          <w:bCs w:val="0"/>
          <w:kern w:val="2"/>
          <w:sz w:val="32"/>
          <w:szCs w:val="32"/>
          <w:highlight w:val="none"/>
          <w:lang w:val="en-US" w:eastAsia="zh-CN" w:bidi="ar-SA"/>
        </w:rPr>
        <w:t>充分发挥</w:t>
      </w:r>
      <w:r>
        <w:rPr>
          <w:rFonts w:hint="default" w:cs="Times New Roman"/>
          <w:b w:val="0"/>
          <w:bCs w:val="0"/>
          <w:kern w:val="2"/>
          <w:sz w:val="32"/>
          <w:szCs w:val="32"/>
          <w:highlight w:val="none"/>
          <w:lang w:val="en-US" w:eastAsia="zh-CN" w:bidi="ar-SA"/>
        </w:rPr>
        <w:t>兵团</w:t>
      </w:r>
      <w:r>
        <w:rPr>
          <w:rFonts w:hint="default" w:ascii="Times New Roman" w:hAnsi="Times New Roman" w:eastAsia="仿宋_GB2312" w:cs="Times New Roman"/>
          <w:b w:val="0"/>
          <w:bCs w:val="0"/>
          <w:kern w:val="2"/>
          <w:sz w:val="32"/>
          <w:szCs w:val="32"/>
          <w:highlight w:val="none"/>
          <w:lang w:val="en-US" w:eastAsia="zh-CN" w:bidi="ar-SA"/>
        </w:rPr>
        <w:t>对成品油零售市场的监督和引导作用，积极营造公</w:t>
      </w:r>
      <w:r>
        <w:rPr>
          <w:rFonts w:hint="eastAsia" w:ascii="Times New Roman" w:hAnsi="Times New Roman" w:eastAsia="仿宋_GB2312" w:cs="Times New Roman"/>
          <w:b w:val="0"/>
          <w:bCs w:val="0"/>
          <w:kern w:val="2"/>
          <w:sz w:val="32"/>
          <w:szCs w:val="22"/>
          <w:highlight w:val="none"/>
          <w:lang w:val="en-US" w:eastAsia="zh-CN" w:bidi="ar-SA"/>
        </w:rPr>
        <w:t>平公正、竞争有序的市场环境。充分发挥市场在资源配置中的决定性作用，顺应居民消费升级的新形势</w:t>
      </w:r>
      <w:r>
        <w:rPr>
          <w:rFonts w:hint="eastAsia" w:ascii="Times New Roman" w:hAnsi="Times New Roman" w:cs="Times New Roman"/>
          <w:b w:val="0"/>
          <w:bCs w:val="0"/>
          <w:kern w:val="2"/>
          <w:sz w:val="32"/>
          <w:szCs w:val="22"/>
          <w:highlight w:val="none"/>
          <w:lang w:val="en-US" w:eastAsia="zh-CN" w:bidi="ar-SA"/>
        </w:rPr>
        <w:t>、</w:t>
      </w:r>
      <w:r>
        <w:rPr>
          <w:rFonts w:hint="eastAsia" w:ascii="Times New Roman" w:hAnsi="Times New Roman" w:eastAsia="仿宋_GB2312" w:cs="Times New Roman"/>
          <w:b w:val="0"/>
          <w:bCs w:val="0"/>
          <w:kern w:val="2"/>
          <w:sz w:val="32"/>
          <w:szCs w:val="22"/>
          <w:highlight w:val="none"/>
          <w:lang w:val="en-US" w:eastAsia="zh-CN" w:bidi="ar-SA"/>
        </w:rPr>
        <w:t>新要求，积极培育多元市场主体。</w:t>
      </w:r>
    </w:p>
    <w:p w14:paraId="7BE0621E">
      <w:pPr>
        <w:rPr>
          <w:rFonts w:hint="eastAsia"/>
          <w:lang w:val="en-US" w:eastAsia="zh-CN"/>
        </w:rPr>
      </w:pPr>
      <w:r>
        <w:rPr>
          <w:rFonts w:hint="default" w:ascii="Times New Roman" w:hAnsi="Times New Roman" w:eastAsia="仿宋_GB2312" w:cs="Times New Roman"/>
          <w:b/>
          <w:bCs/>
          <w:szCs w:val="32"/>
          <w:highlight w:val="none"/>
          <w:lang w:val="en-US" w:eastAsia="zh-CN"/>
        </w:rPr>
        <w:t>科学预测，优化布局</w:t>
      </w:r>
      <w:r>
        <w:rPr>
          <w:rFonts w:hint="default" w:ascii="Times New Roman" w:hAnsi="Times New Roman" w:eastAsia="仿宋_GB2312" w:cs="Times New Roman"/>
          <w:b/>
          <w:bCs/>
          <w:kern w:val="2"/>
          <w:szCs w:val="32"/>
          <w:highlight w:val="none"/>
          <w:lang w:val="en-US" w:eastAsia="zh-CN"/>
        </w:rPr>
        <w:t>。</w:t>
      </w:r>
      <w:r>
        <w:rPr>
          <w:rFonts w:hint="eastAsia"/>
          <w:highlight w:val="none"/>
          <w:lang w:eastAsia="zh-CN"/>
        </w:rPr>
        <w:t>深入分析“十五五”期间宏观经济</w:t>
      </w:r>
      <w:r>
        <w:rPr>
          <w:rFonts w:hint="eastAsia"/>
          <w:lang w:eastAsia="zh-CN"/>
        </w:rPr>
        <w:t>形势和社会发展方向，对成品油市场供求趋势作出合理预测。结合实际</w:t>
      </w:r>
      <w:r>
        <w:rPr>
          <w:rFonts w:hint="eastAsia"/>
          <w:lang w:val="en-US" w:eastAsia="zh-CN"/>
        </w:rPr>
        <w:t>优化布局</w:t>
      </w:r>
      <w:r>
        <w:rPr>
          <w:rFonts w:hint="eastAsia"/>
          <w:lang w:eastAsia="zh-CN"/>
        </w:rPr>
        <w:t>，重点保障尚无加油站的</w:t>
      </w:r>
      <w:r>
        <w:rPr>
          <w:rFonts w:hint="eastAsia"/>
          <w:lang w:val="en-US" w:eastAsia="zh-CN"/>
        </w:rPr>
        <w:t>团场</w:t>
      </w:r>
      <w:r>
        <w:rPr>
          <w:rFonts w:hint="eastAsia"/>
          <w:lang w:eastAsia="zh-CN"/>
        </w:rPr>
        <w:t>、新增道路及</w:t>
      </w:r>
      <w:r>
        <w:rPr>
          <w:rFonts w:hint="eastAsia"/>
          <w:lang w:val="en-US" w:eastAsia="zh-CN"/>
        </w:rPr>
        <w:t>中心城区</w:t>
      </w:r>
      <w:r>
        <w:rPr>
          <w:rFonts w:hint="eastAsia"/>
          <w:lang w:eastAsia="zh-CN"/>
        </w:rPr>
        <w:t>更新版块的规划布局。</w:t>
      </w:r>
    </w:p>
    <w:p w14:paraId="6A2EA778">
      <w:pPr>
        <w:ind w:firstLine="643"/>
        <w:rPr>
          <w:rFonts w:hint="default" w:ascii="Times New Roman" w:hAnsi="Times New Roman" w:cs="Times New Roman"/>
          <w:szCs w:val="32"/>
        </w:rPr>
      </w:pPr>
      <w:r>
        <w:rPr>
          <w:rFonts w:hint="default" w:ascii="Times New Roman" w:hAnsi="Times New Roman" w:eastAsia="仿宋_GB2312" w:cs="Times New Roman"/>
          <w:b/>
          <w:bCs/>
          <w:szCs w:val="32"/>
          <w:lang w:val="en-US" w:eastAsia="zh-CN"/>
        </w:rPr>
        <w:t>做优存量，控制增量</w:t>
      </w:r>
      <w:r>
        <w:rPr>
          <w:rFonts w:hint="default" w:ascii="Times New Roman" w:hAnsi="Times New Roman" w:eastAsia="仿宋_GB2312" w:cs="Times New Roman"/>
          <w:b/>
          <w:bCs/>
          <w:kern w:val="2"/>
          <w:szCs w:val="32"/>
          <w:lang w:val="en-US" w:eastAsia="zh-CN"/>
        </w:rPr>
        <w:t>。</w:t>
      </w:r>
      <w:r>
        <w:rPr>
          <w:rFonts w:hint="eastAsia" w:cs="Times New Roman"/>
          <w:b w:val="0"/>
          <w:bCs w:val="0"/>
          <w:kern w:val="2"/>
          <w:sz w:val="32"/>
          <w:szCs w:val="22"/>
          <w:lang w:val="en-US" w:eastAsia="zh-CN" w:bidi="ar-SA"/>
        </w:rPr>
        <w:t>引导成品油零售体系建设从“数量扩张”的简单模式转向“结构升级”的差异化经营模式。提升现状站点服务功能和资源整合能力，对</w:t>
      </w:r>
      <w:r>
        <w:rPr>
          <w:rFonts w:hint="eastAsia" w:ascii="Times New Roman" w:hAnsi="Times New Roman" w:eastAsia="仿宋_GB2312" w:cs="Times New Roman"/>
          <w:b w:val="0"/>
          <w:bCs w:val="0"/>
          <w:kern w:val="2"/>
          <w:sz w:val="32"/>
          <w:szCs w:val="22"/>
          <w:lang w:val="en-US" w:eastAsia="zh-CN" w:bidi="ar-SA"/>
        </w:rPr>
        <w:t>新建站点实施总量控制，</w:t>
      </w:r>
      <w:r>
        <w:rPr>
          <w:rFonts w:hint="default" w:ascii="Times New Roman" w:hAnsi="Times New Roman" w:cs="Times New Roman"/>
          <w:szCs w:val="32"/>
        </w:rPr>
        <w:t>发挥单个站点最大服务效能</w:t>
      </w:r>
      <w:r>
        <w:rPr>
          <w:rFonts w:hint="eastAsia" w:ascii="Times New Roman" w:hAnsi="Times New Roman" w:cs="Times New Roman"/>
          <w:szCs w:val="32"/>
          <w:lang w:eastAsia="zh-CN"/>
        </w:rPr>
        <w:t>，</w:t>
      </w:r>
      <w:r>
        <w:rPr>
          <w:rFonts w:hint="eastAsia" w:ascii="Times New Roman" w:hAnsi="Times New Roman" w:cs="Times New Roman"/>
          <w:szCs w:val="32"/>
          <w:lang w:val="en-US" w:eastAsia="zh-CN"/>
        </w:rPr>
        <w:t>避免重复建设和资源浪费</w:t>
      </w:r>
      <w:r>
        <w:rPr>
          <w:rFonts w:hint="eastAsia" w:ascii="Times New Roman" w:hAnsi="Times New Roman" w:cs="Times New Roman"/>
          <w:szCs w:val="32"/>
          <w:lang w:eastAsia="zh-CN"/>
        </w:rPr>
        <w:t>。</w:t>
      </w:r>
    </w:p>
    <w:p w14:paraId="0FFAAD2F">
      <w:pPr>
        <w:ind w:firstLine="643"/>
        <w:rPr>
          <w:rFonts w:hint="default" w:ascii="Times New Roman" w:hAnsi="Times New Roman" w:eastAsia="仿宋_GB2312" w:cs="Times New Roman"/>
          <w:b w:val="0"/>
          <w:bCs w:val="0"/>
          <w:kern w:val="2"/>
          <w:sz w:val="32"/>
          <w:szCs w:val="22"/>
          <w:lang w:val="en-US" w:eastAsia="zh-CN" w:bidi="ar-SA"/>
        </w:rPr>
      </w:pPr>
      <w:r>
        <w:rPr>
          <w:rFonts w:hint="eastAsia" w:ascii="Times New Roman" w:hAnsi="Times New Roman" w:eastAsia="仿宋_GB2312" w:cs="Times New Roman"/>
          <w:b/>
          <w:bCs/>
          <w:szCs w:val="32"/>
          <w:lang w:val="en-US" w:eastAsia="zh-CN"/>
        </w:rPr>
        <w:t>保障供给，安全发展</w:t>
      </w:r>
      <w:r>
        <w:rPr>
          <w:rFonts w:hint="default" w:ascii="Times New Roman" w:hAnsi="Times New Roman" w:eastAsia="仿宋_GB2312" w:cs="Times New Roman"/>
          <w:b/>
          <w:bCs/>
          <w:kern w:val="2"/>
          <w:szCs w:val="32"/>
          <w:lang w:val="en-US" w:eastAsia="zh-CN"/>
        </w:rPr>
        <w:t>。</w:t>
      </w:r>
      <w:r>
        <w:rPr>
          <w:rFonts w:hint="eastAsia" w:ascii="Times New Roman" w:hAnsi="Times New Roman" w:eastAsia="仿宋_GB2312" w:cs="Times New Roman"/>
          <w:b w:val="0"/>
          <w:bCs w:val="0"/>
          <w:kern w:val="2"/>
          <w:sz w:val="32"/>
          <w:szCs w:val="22"/>
          <w:lang w:val="en-US" w:eastAsia="zh-CN" w:bidi="ar-SA"/>
        </w:rPr>
        <w:t>以保障市场供应和缩小城乡社会公共服务水平差距为目标，推动成品油零售体系均衡发展，实现普遍服务和市场效率有机结合。</w:t>
      </w:r>
      <w:r>
        <w:rPr>
          <w:rFonts w:hint="default" w:ascii="Times New Roman" w:hAnsi="Times New Roman" w:cs="Times New Roman"/>
        </w:rPr>
        <w:t>正确处理安全与发展的关系，严格监督执行相关安全法规标准</w:t>
      </w:r>
      <w:r>
        <w:rPr>
          <w:rFonts w:hint="default" w:ascii="Times New Roman" w:hAnsi="Times New Roman" w:eastAsia="仿宋_GB2312" w:cs="Times New Roman"/>
          <w:b w:val="0"/>
          <w:bCs w:val="0"/>
          <w:kern w:val="2"/>
          <w:sz w:val="32"/>
          <w:szCs w:val="22"/>
          <w:lang w:val="en-US" w:eastAsia="zh-CN" w:bidi="ar-SA"/>
        </w:rPr>
        <w:t>。</w:t>
      </w:r>
    </w:p>
    <w:p w14:paraId="5EE7120E">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val="0"/>
          <w:bCs w:val="0"/>
          <w:kern w:val="2"/>
          <w:sz w:val="32"/>
          <w:szCs w:val="22"/>
          <w:lang w:val="en-US" w:eastAsia="zh-CN" w:bidi="ar-SA"/>
        </w:rPr>
      </w:pPr>
      <w:r>
        <w:rPr>
          <w:rFonts w:hint="default" w:ascii="Times New Roman" w:hAnsi="Times New Roman" w:eastAsia="仿宋_GB2312" w:cs="Times New Roman"/>
          <w:b/>
          <w:bCs/>
          <w:szCs w:val="32"/>
          <w:lang w:val="en-US" w:eastAsia="zh-CN"/>
        </w:rPr>
        <w:t>创新驱动，优化服务</w:t>
      </w:r>
      <w:r>
        <w:rPr>
          <w:rFonts w:hint="default" w:ascii="Times New Roman" w:hAnsi="Times New Roman" w:eastAsia="仿宋_GB2312" w:cs="Times New Roman"/>
          <w:b/>
          <w:bCs/>
          <w:kern w:val="2"/>
          <w:szCs w:val="32"/>
          <w:lang w:val="en-US" w:eastAsia="zh-CN"/>
        </w:rPr>
        <w:t>。</w:t>
      </w:r>
      <w:r>
        <w:rPr>
          <w:rFonts w:hint="default" w:ascii="Times New Roman" w:hAnsi="Times New Roman" w:cs="Times New Roman"/>
          <w:szCs w:val="32"/>
        </w:rPr>
        <w:t>以科技促发展、以新能源促转型、以数智化促服务，赋</w:t>
      </w:r>
      <w:r>
        <w:rPr>
          <w:rFonts w:hint="default" w:ascii="Times New Roman" w:hAnsi="Times New Roman" w:cs="Times New Roman"/>
          <w:szCs w:val="32"/>
          <w:highlight w:val="none"/>
        </w:rPr>
        <w:t>能</w:t>
      </w:r>
      <w:r>
        <w:rPr>
          <w:rFonts w:hint="eastAsia" w:cs="Times New Roman"/>
          <w:szCs w:val="32"/>
          <w:highlight w:val="none"/>
          <w:lang w:val="en-US" w:eastAsia="zh-CN"/>
        </w:rPr>
        <w:t>第五师双河市</w:t>
      </w:r>
      <w:r>
        <w:rPr>
          <w:rFonts w:hint="eastAsia" w:cs="Times New Roman"/>
          <w:szCs w:val="32"/>
          <w:lang w:val="en-US" w:eastAsia="zh-CN"/>
        </w:rPr>
        <w:t>成品油</w:t>
      </w:r>
      <w:r>
        <w:rPr>
          <w:rFonts w:hint="default" w:ascii="Times New Roman" w:hAnsi="Times New Roman" w:cs="Times New Roman"/>
          <w:szCs w:val="32"/>
        </w:rPr>
        <w:t>零售体系服务品质升级，加速优质零售站点向综合智慧型服务站点转型</w:t>
      </w:r>
      <w:r>
        <w:rPr>
          <w:rFonts w:hint="default" w:ascii="Times New Roman" w:hAnsi="Times New Roman" w:cs="Times New Roman"/>
        </w:rPr>
        <w:t>，搭建人、车生活消费平台。</w:t>
      </w:r>
    </w:p>
    <w:p w14:paraId="242016D7">
      <w:pPr>
        <w:pStyle w:val="3"/>
        <w:bidi w:val="0"/>
        <w:rPr>
          <w:rFonts w:hint="default"/>
          <w:lang w:val="en-US" w:eastAsia="zh-CN"/>
        </w:rPr>
      </w:pPr>
      <w:bookmarkStart w:id="53" w:name="_Toc3329"/>
      <w:bookmarkStart w:id="54" w:name="_Toc5339"/>
      <w:bookmarkStart w:id="55" w:name="_Toc638244407"/>
      <w:bookmarkStart w:id="56" w:name="_Toc351868994"/>
      <w:bookmarkStart w:id="57" w:name="_Toc20186"/>
      <w:bookmarkStart w:id="58" w:name="_Toc5101"/>
      <w:bookmarkStart w:id="59" w:name="_Toc6063"/>
      <w:r>
        <w:rPr>
          <w:rFonts w:hint="default"/>
          <w:lang w:val="en-US" w:eastAsia="zh-CN"/>
        </w:rPr>
        <w:t>三</w:t>
      </w:r>
      <w:r>
        <w:rPr>
          <w:rFonts w:hint="eastAsia"/>
          <w:lang w:val="en-US" w:eastAsia="zh-CN"/>
        </w:rPr>
        <w:t>、</w:t>
      </w:r>
      <w:r>
        <w:rPr>
          <w:rFonts w:hint="default"/>
          <w:lang w:val="en-US" w:eastAsia="zh-CN"/>
        </w:rPr>
        <w:t>发展目标</w:t>
      </w:r>
      <w:bookmarkEnd w:id="53"/>
      <w:bookmarkEnd w:id="54"/>
      <w:bookmarkEnd w:id="55"/>
      <w:bookmarkEnd w:id="56"/>
      <w:bookmarkEnd w:id="57"/>
      <w:bookmarkEnd w:id="58"/>
      <w:bookmarkEnd w:id="59"/>
    </w:p>
    <w:p w14:paraId="51BC43F6">
      <w:pPr>
        <w:rPr>
          <w:rFonts w:hint="eastAsia"/>
        </w:rPr>
      </w:pPr>
      <w:r>
        <w:rPr>
          <w:rFonts w:hint="eastAsia"/>
        </w:rPr>
        <w:t>立足“十五五”发展新形势，对接国家新能源战略与</w:t>
      </w:r>
      <w:r>
        <w:rPr>
          <w:rFonts w:hint="eastAsia"/>
          <w:lang w:val="en-US" w:eastAsia="zh-CN"/>
        </w:rPr>
        <w:t>师市</w:t>
      </w:r>
      <w:r>
        <w:rPr>
          <w:rFonts w:hint="eastAsia"/>
        </w:rPr>
        <w:t>国土空间规划，统筹师市经济社会发展、交通网络扩展及能源替代趋势，以集约高效、转型升级为导向，构建与师市现代化建设相适配的成品油零售服务体系。</w:t>
      </w:r>
    </w:p>
    <w:p w14:paraId="26651842">
      <w:pPr>
        <w:rPr>
          <w:rFonts w:hint="eastAsia"/>
        </w:rPr>
      </w:pPr>
      <w:r>
        <w:rPr>
          <w:rFonts w:hint="eastAsia"/>
        </w:rPr>
        <w:t>优化网点布局，补齐偏远区域、交通枢纽服务短板，实现数量适宜、布局合理；推动站点向“油气电”综合能源补给转型，拓展多元商业服务形态；健全竞争有序、功能完善、绿色环保、消费便利的发展格局，满足职工群众多样化需求，支撑师市经济社会高质量可持续发展。</w:t>
      </w:r>
    </w:p>
    <w:p w14:paraId="3518532F">
      <w:pPr>
        <w:rPr>
          <w:rFonts w:hint="eastAsia"/>
        </w:rPr>
      </w:pPr>
      <w:r>
        <w:rPr>
          <w:rFonts w:hint="eastAsia"/>
        </w:rPr>
        <w:br w:type="page"/>
      </w:r>
    </w:p>
    <w:p w14:paraId="04DD607E">
      <w:pPr>
        <w:pStyle w:val="2"/>
        <w:rPr>
          <w:rFonts w:hint="eastAsia"/>
          <w:lang w:val="en-US" w:eastAsia="zh-CN"/>
        </w:rPr>
      </w:pPr>
      <w:bookmarkStart w:id="60" w:name="_Toc10414"/>
      <w:bookmarkStart w:id="61" w:name="_Toc30714"/>
      <w:bookmarkStart w:id="62" w:name="_Toc12172"/>
      <w:bookmarkStart w:id="63" w:name="_Toc2104"/>
      <w:r>
        <w:rPr>
          <w:rFonts w:hint="eastAsia"/>
          <w:lang w:val="en-US" w:eastAsia="zh-CN"/>
        </w:rPr>
        <w:t>第四章 需求预测</w:t>
      </w:r>
      <w:bookmarkEnd w:id="60"/>
      <w:bookmarkEnd w:id="61"/>
      <w:bookmarkEnd w:id="62"/>
      <w:bookmarkEnd w:id="63"/>
    </w:p>
    <w:p w14:paraId="1718C711">
      <w:pPr>
        <w:pStyle w:val="3"/>
        <w:keepNext/>
        <w:keepLines/>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Bold" w:hAnsi="Times New Roman Bold" w:eastAsia="黑体" w:cstheme="minorBidi"/>
          <w:szCs w:val="24"/>
          <w:lang w:val="en-US" w:eastAsia="zh-CN"/>
        </w:rPr>
      </w:pPr>
      <w:bookmarkStart w:id="64" w:name="_Toc16652"/>
      <w:bookmarkStart w:id="65" w:name="_Toc7114"/>
      <w:bookmarkStart w:id="66" w:name="_Toc11920"/>
      <w:bookmarkStart w:id="67" w:name="_Toc4143"/>
      <w:bookmarkStart w:id="68" w:name="_Toc27052"/>
      <w:r>
        <w:rPr>
          <w:rFonts w:hint="eastAsia" w:ascii="Times New Roman Bold" w:hAnsi="Times New Roman Bold" w:cstheme="minorBidi"/>
          <w:szCs w:val="24"/>
          <w:lang w:val="en-US" w:eastAsia="zh-CN"/>
        </w:rPr>
        <w:t>一、</w:t>
      </w:r>
      <w:r>
        <w:rPr>
          <w:rFonts w:hint="default" w:ascii="Times New Roman Bold" w:hAnsi="Times New Roman Bold" w:eastAsia="黑体" w:cstheme="minorBidi"/>
          <w:szCs w:val="24"/>
          <w:lang w:val="en-US" w:eastAsia="zh-CN"/>
        </w:rPr>
        <w:t>经济社会发展趋势预测</w:t>
      </w:r>
      <w:bookmarkEnd w:id="64"/>
      <w:bookmarkEnd w:id="65"/>
      <w:bookmarkEnd w:id="66"/>
      <w:bookmarkEnd w:id="67"/>
      <w:bookmarkEnd w:id="68"/>
    </w:p>
    <w:p w14:paraId="13639C6D">
      <w:pPr>
        <w:rPr>
          <w:rFonts w:hint="eastAsia"/>
        </w:rPr>
      </w:pPr>
      <w:r>
        <w:rPr>
          <w:rFonts w:hint="eastAsia"/>
        </w:rPr>
        <w:t>经济社会发展是成品油需求的核心驱动因素，“十五五”时期师市经济总量与居民消费能力双提升，将直接拉动成品油市场增长。</w:t>
      </w:r>
    </w:p>
    <w:p w14:paraId="189D5945">
      <w:pPr>
        <w:rPr>
          <w:rFonts w:hint="eastAsia"/>
        </w:rPr>
      </w:pPr>
      <w:r>
        <w:rPr>
          <w:rFonts w:hint="eastAsia" w:ascii="方正楷体_GB2312" w:hAnsi="方正楷体_GB2312" w:eastAsia="方正楷体_GB2312" w:cs="方正楷体_GB2312"/>
          <w:b/>
          <w:bCs/>
          <w:lang w:val="en-US" w:eastAsia="zh-CN"/>
        </w:rPr>
        <w:t>经济发展趋势</w:t>
      </w:r>
      <w:r>
        <w:rPr>
          <w:rFonts w:hint="eastAsia"/>
          <w:lang w:val="en-US" w:eastAsia="zh-CN"/>
        </w:rPr>
        <w:t>。“十五五”时期，师市将深入实施“新质农业筑基、口岸工业强师、古道文旅兴城”的产业发展战略，构建3+3+3现代化产业体系，全力打造“两区四基地”。一产</w:t>
      </w:r>
      <w:r>
        <w:rPr>
          <w:rFonts w:hint="eastAsia"/>
        </w:rPr>
        <w:t>聚焦现代设施农业与农副产品精深加工，打造高端绿色农产品供给基地，农业机械化升级将维持柴油刚性需求；</w:t>
      </w:r>
      <w:r>
        <w:rPr>
          <w:rFonts w:hint="eastAsia"/>
          <w:lang w:val="en-US" w:eastAsia="zh-CN"/>
        </w:rPr>
        <w:t>二产</w:t>
      </w:r>
      <w:r>
        <w:rPr>
          <w:rFonts w:hint="eastAsia"/>
        </w:rPr>
        <w:t>以新型电力系统、先进制造等为主导，培育高端制造业</w:t>
      </w:r>
      <w:r>
        <w:rPr>
          <w:rFonts w:hint="eastAsia"/>
          <w:lang w:eastAsia="zh-CN"/>
        </w:rPr>
        <w:t>与战略性矿产</w:t>
      </w:r>
      <w:r>
        <w:rPr>
          <w:rFonts w:hint="eastAsia"/>
        </w:rPr>
        <w:t>加工基地，工业生产及配套物流将推动柴油消费增长；</w:t>
      </w:r>
      <w:r>
        <w:rPr>
          <w:rFonts w:hint="eastAsia"/>
          <w:lang w:val="en-US" w:eastAsia="zh-CN"/>
        </w:rPr>
        <w:t>三产</w:t>
      </w:r>
      <w:r>
        <w:rPr>
          <w:rFonts w:hint="eastAsia"/>
        </w:rPr>
        <w:t>推进“古道温泉</w:t>
      </w:r>
      <w:r>
        <w:rPr>
          <w:rFonts w:hint="eastAsia"/>
          <w:lang w:eastAsia="zh-CN"/>
        </w:rPr>
        <w:t>—‘</w:t>
      </w:r>
      <w:r>
        <w:rPr>
          <w:rFonts w:hint="eastAsia"/>
          <w:lang w:val="en-US" w:eastAsia="zh-CN"/>
        </w:rPr>
        <w:t>五带</w:t>
      </w:r>
      <w:r>
        <w:rPr>
          <w:rFonts w:hint="eastAsia"/>
          <w:lang w:eastAsia="zh-CN"/>
        </w:rPr>
        <w:t>’—</w:t>
      </w:r>
      <w:r>
        <w:rPr>
          <w:rFonts w:hint="eastAsia"/>
        </w:rPr>
        <w:t>夏尔希里”文旅</w:t>
      </w:r>
      <w:r>
        <w:rPr>
          <w:rFonts w:hint="eastAsia"/>
          <w:lang w:val="en-US" w:eastAsia="zh-CN"/>
        </w:rPr>
        <w:t>之城“三步走”战略</w:t>
      </w:r>
      <w:r>
        <w:rPr>
          <w:rFonts w:hint="eastAsia"/>
        </w:rPr>
        <w:t>，建设跨境电商与向西开放货运枢纽，旅游业复苏及物流扩容将激活汽油与柴油消费潜力。</w:t>
      </w:r>
    </w:p>
    <w:p w14:paraId="3C790456">
      <w:pPr>
        <w:rPr>
          <w:rFonts w:hint="eastAsia"/>
        </w:rPr>
      </w:pPr>
      <w:r>
        <w:rPr>
          <w:rFonts w:hint="eastAsia" w:ascii="方正楷体_GB2312" w:hAnsi="方正楷体_GB2312" w:eastAsia="方正楷体_GB2312" w:cs="方正楷体_GB2312"/>
          <w:b/>
          <w:bCs/>
          <w:lang w:val="en-US" w:eastAsia="zh-CN"/>
        </w:rPr>
        <w:t>社会发展趋势</w:t>
      </w:r>
      <w:r>
        <w:rPr>
          <w:rFonts w:hint="eastAsia"/>
          <w:b/>
          <w:bCs/>
          <w:lang w:val="en-US" w:eastAsia="zh-CN"/>
        </w:rPr>
        <w:t>。</w:t>
      </w:r>
      <w:r>
        <w:rPr>
          <w:rFonts w:hint="eastAsia"/>
        </w:rPr>
        <w:t>“十四五”时期</w:t>
      </w:r>
      <w:r>
        <w:rPr>
          <w:rFonts w:hint="eastAsia"/>
          <w:lang w:val="en-US" w:eastAsia="zh-CN"/>
        </w:rPr>
        <w:t>师市</w:t>
      </w:r>
      <w:r>
        <w:rPr>
          <w:rFonts w:hint="eastAsia"/>
        </w:rPr>
        <w:t>形成“城区为主体、团场为支撑”的城镇格局，常住人口与居民收入稳步增长。“十五五”时期，随着双河市区域中心城市功能提升，城镇化率持续提高，城乡要素加速流通，家用汽车保有量将稳步增加，为</w:t>
      </w:r>
      <w:r>
        <w:rPr>
          <w:rFonts w:hint="eastAsia"/>
          <w:lang w:val="en-US" w:eastAsia="zh-CN"/>
        </w:rPr>
        <w:t>成品油</w:t>
      </w:r>
      <w:r>
        <w:rPr>
          <w:rFonts w:hint="eastAsia"/>
        </w:rPr>
        <w:t>消费提供稳定增量。</w:t>
      </w:r>
    </w:p>
    <w:p w14:paraId="37DB43CE">
      <w:pPr>
        <w:rPr>
          <w:rFonts w:hint="eastAsia"/>
          <w:lang w:val="en-US" w:eastAsia="zh-CN"/>
        </w:rPr>
      </w:pPr>
      <w:r>
        <w:rPr>
          <w:rFonts w:hint="eastAsia" w:ascii="方正楷体_GB2312" w:hAnsi="方正楷体_GB2312" w:eastAsia="方正楷体_GB2312" w:cs="方正楷体_GB2312"/>
          <w:b/>
          <w:bCs/>
          <w:lang w:val="en-US" w:eastAsia="zh-CN"/>
        </w:rPr>
        <w:t>经济社会发展预期</w:t>
      </w:r>
      <w:r>
        <w:rPr>
          <w:rFonts w:hint="eastAsia"/>
          <w:b/>
          <w:bCs/>
          <w:lang w:val="en-US" w:eastAsia="zh-CN"/>
        </w:rPr>
        <w:t>。</w:t>
      </w:r>
      <w:r>
        <w:rPr>
          <w:rFonts w:hint="eastAsia"/>
          <w:b w:val="0"/>
          <w:bCs w:val="0"/>
          <w:lang w:val="en-US" w:eastAsia="zh-CN"/>
        </w:rPr>
        <w:t>“十四五”期间，师市生产总值年均增长</w:t>
      </w:r>
      <w:r>
        <w:rPr>
          <w:rFonts w:hint="eastAsia"/>
          <w:highlight w:val="none"/>
          <w:lang w:val="en-US" w:eastAsia="zh-CN"/>
        </w:rPr>
        <w:t>*</w:t>
      </w:r>
      <w:r>
        <w:rPr>
          <w:rFonts w:hint="eastAsia"/>
          <w:b w:val="0"/>
          <w:bCs w:val="0"/>
          <w:lang w:val="en-US" w:eastAsia="zh-CN"/>
        </w:rPr>
        <w:t>%，</w:t>
      </w:r>
      <w:r>
        <w:rPr>
          <w:rFonts w:hint="eastAsia"/>
        </w:rPr>
        <w:t>综合内外发展形势</w:t>
      </w:r>
      <w:r>
        <w:rPr>
          <w:rFonts w:hint="eastAsia"/>
          <w:lang w:val="en-US" w:eastAsia="zh-CN"/>
        </w:rPr>
        <w:t>及《第五师双河市国民经济和社会发展第十五个五年规划》（征求意见稿），</w:t>
      </w:r>
      <w:r>
        <w:rPr>
          <w:rFonts w:hint="eastAsia"/>
        </w:rPr>
        <w:t>“十五五”时期师市经济总量持续扩大，地区生产总值年均</w:t>
      </w:r>
      <w:r>
        <w:rPr>
          <w:rFonts w:hint="eastAsia"/>
          <w:lang w:val="en-US" w:eastAsia="zh-CN"/>
        </w:rPr>
        <w:t>增长率</w:t>
      </w:r>
      <w:r>
        <w:rPr>
          <w:rFonts w:hint="eastAsia"/>
          <w:b w:val="0"/>
          <w:bCs w:val="0"/>
          <w:lang w:val="en-US" w:eastAsia="zh-CN"/>
        </w:rPr>
        <w:t>约为</w:t>
      </w:r>
      <w:r>
        <w:rPr>
          <w:rFonts w:hint="eastAsia"/>
          <w:highlight w:val="none"/>
          <w:lang w:val="en-US" w:eastAsia="zh-CN"/>
        </w:rPr>
        <w:t>*</w:t>
      </w:r>
      <w:r>
        <w:rPr>
          <w:rFonts w:hint="eastAsia"/>
          <w:b w:val="0"/>
          <w:bCs w:val="0"/>
          <w:lang w:val="en-US" w:eastAsia="zh-CN"/>
        </w:rPr>
        <w:t>%-</w:t>
      </w:r>
      <w:r>
        <w:rPr>
          <w:rFonts w:hint="eastAsia"/>
          <w:highlight w:val="none"/>
          <w:lang w:val="en-US" w:eastAsia="zh-CN"/>
        </w:rPr>
        <w:t>*</w:t>
      </w:r>
      <w:r>
        <w:rPr>
          <w:rFonts w:hint="eastAsia"/>
          <w:b w:val="0"/>
          <w:bCs w:val="0"/>
          <w:lang w:val="en-US" w:eastAsia="zh-CN"/>
        </w:rPr>
        <w:t>%</w:t>
      </w:r>
      <w:r>
        <w:rPr>
          <w:rFonts w:hint="eastAsia"/>
          <w:b w:val="0"/>
          <w:bCs w:val="0"/>
        </w:rPr>
        <w:t>，为</w:t>
      </w:r>
      <w:r>
        <w:rPr>
          <w:rFonts w:hint="eastAsia"/>
        </w:rPr>
        <w:t>成品油零售市场提供坚实需求支撑。</w:t>
      </w:r>
    </w:p>
    <w:p w14:paraId="2ECE6700">
      <w:pPr>
        <w:pStyle w:val="3"/>
        <w:keepNext/>
        <w:keepLines/>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Bold" w:hAnsi="Times New Roman Bold" w:eastAsia="黑体" w:cstheme="minorBidi"/>
          <w:szCs w:val="24"/>
          <w:highlight w:val="none"/>
          <w:lang w:val="en-US" w:eastAsia="zh-CN"/>
        </w:rPr>
      </w:pPr>
      <w:bookmarkStart w:id="69" w:name="_Toc29400"/>
      <w:bookmarkStart w:id="70" w:name="_Toc23647"/>
      <w:bookmarkStart w:id="71" w:name="_Toc7346"/>
      <w:bookmarkStart w:id="72" w:name="_Toc22403"/>
      <w:bookmarkStart w:id="73" w:name="_Toc29122"/>
      <w:r>
        <w:rPr>
          <w:rFonts w:hint="eastAsia" w:ascii="Times New Roman Bold" w:hAnsi="Times New Roman Bold" w:cstheme="minorBidi"/>
          <w:szCs w:val="24"/>
          <w:highlight w:val="none"/>
          <w:lang w:val="en-US" w:eastAsia="zh-CN"/>
        </w:rPr>
        <w:t>二、</w:t>
      </w:r>
      <w:r>
        <w:rPr>
          <w:rFonts w:hint="eastAsia" w:ascii="Times New Roman Bold" w:hAnsi="Times New Roman Bold" w:eastAsia="黑体" w:cstheme="minorBidi"/>
          <w:szCs w:val="24"/>
          <w:highlight w:val="none"/>
          <w:lang w:val="en-US" w:eastAsia="zh-CN"/>
        </w:rPr>
        <w:t>交通运输发展趋势</w:t>
      </w:r>
      <w:bookmarkEnd w:id="69"/>
      <w:r>
        <w:rPr>
          <w:rFonts w:hint="eastAsia" w:ascii="Times New Roman Bold" w:hAnsi="Times New Roman Bold" w:cstheme="minorBidi"/>
          <w:szCs w:val="24"/>
          <w:highlight w:val="none"/>
          <w:lang w:val="en-US" w:eastAsia="zh-CN"/>
        </w:rPr>
        <w:t>预测</w:t>
      </w:r>
      <w:bookmarkEnd w:id="70"/>
      <w:bookmarkEnd w:id="71"/>
      <w:bookmarkEnd w:id="72"/>
      <w:bookmarkEnd w:id="73"/>
    </w:p>
    <w:p w14:paraId="2C96FB1A">
      <w:pPr>
        <w:bidi w:val="0"/>
        <w:rPr>
          <w:rFonts w:hint="eastAsia"/>
          <w:lang w:val="en-US" w:eastAsia="zh-CN"/>
        </w:rPr>
      </w:pPr>
      <w:r>
        <w:rPr>
          <w:rFonts w:hint="default"/>
        </w:rPr>
        <w:t>师市接壤哈萨克斯坦，距阿拉山口口岸50公里，地处中欧班列通道节点，“十五五”时期交通运输体系将实现提质扩容，直接影响成品油消费结构与规模。</w:t>
      </w:r>
    </w:p>
    <w:p w14:paraId="31A8AD9D">
      <w:pPr>
        <w:bidi w:val="0"/>
        <w:rPr>
          <w:rFonts w:hint="default"/>
          <w:b w:val="0"/>
          <w:bCs w:val="0"/>
          <w:lang w:val="en-US" w:eastAsia="zh-CN"/>
        </w:rPr>
      </w:pPr>
      <w:r>
        <w:rPr>
          <w:rFonts w:hint="eastAsia" w:ascii="方正楷体_GB2312" w:hAnsi="方正楷体_GB2312" w:eastAsia="方正楷体_GB2312" w:cs="方正楷体_GB2312"/>
          <w:b/>
          <w:bCs/>
          <w:lang w:val="en-US" w:eastAsia="zh-CN"/>
        </w:rPr>
        <w:t>交通运输发展趋势</w:t>
      </w:r>
      <w:r>
        <w:rPr>
          <w:rFonts w:hint="eastAsia"/>
          <w:lang w:val="en-US" w:eastAsia="zh-CN"/>
        </w:rPr>
        <w:t>。</w:t>
      </w:r>
      <w:r>
        <w:rPr>
          <w:rFonts w:hint="default"/>
        </w:rPr>
        <w:t>依托“口岸经济带”建设机遇，跨境电商、边民互市等产业园投运将催生大量货运需求；</w:t>
      </w:r>
      <w:r>
        <w:rPr>
          <w:rFonts w:hint="eastAsia"/>
          <w:lang w:val="en-US" w:eastAsia="zh-CN"/>
        </w:rPr>
        <w:t>师市</w:t>
      </w:r>
      <w:r>
        <w:rPr>
          <w:rFonts w:hint="default"/>
        </w:rPr>
        <w:t>深度融入“博乐</w:t>
      </w:r>
      <w:r>
        <w:rPr>
          <w:rFonts w:hint="eastAsia"/>
          <w:lang w:eastAsia="zh-CN"/>
        </w:rPr>
        <w:t>—</w:t>
      </w:r>
      <w:r>
        <w:rPr>
          <w:rFonts w:hint="default"/>
        </w:rPr>
        <w:t>双河</w:t>
      </w:r>
      <w:r>
        <w:rPr>
          <w:rFonts w:hint="eastAsia"/>
          <w:lang w:eastAsia="zh-CN"/>
        </w:rPr>
        <w:t>—</w:t>
      </w:r>
      <w:r>
        <w:rPr>
          <w:rFonts w:hint="default"/>
        </w:rPr>
        <w:t>阿拉山口”城镇组群，以“交通+产业”为导向完善路网，覆盖农村、园区、文旅节点。预计“十五五”时期，师市货运量、客运量随经济发展稳步提升，成品油消费需求同步增长。</w:t>
      </w:r>
      <w:r>
        <w:rPr>
          <w:rFonts w:hint="eastAsia" w:ascii="方正楷体_GB2312" w:hAnsi="方正楷体_GB2312" w:eastAsia="方正楷体_GB2312" w:cs="方正楷体_GB2312"/>
          <w:b/>
          <w:bCs/>
          <w:lang w:val="en-US" w:eastAsia="zh-CN"/>
        </w:rPr>
        <w:t>交通能源利用趋势</w:t>
      </w:r>
      <w:r>
        <w:rPr>
          <w:rFonts w:hint="eastAsia"/>
          <w:lang w:val="en-US" w:eastAsia="zh-CN"/>
        </w:rPr>
        <w:t>。</w:t>
      </w:r>
      <w:r>
        <w:rPr>
          <w:rFonts w:hint="default"/>
        </w:rPr>
        <w:t>响应国家“双碳”目标，《交通运输部等十部门关于推动交通运输与能源融合发展的指导意见》明确2027年交通行业电能占比达</w:t>
      </w:r>
      <w:r>
        <w:rPr>
          <w:rFonts w:hint="eastAsia"/>
          <w:highlight w:val="none"/>
          <w:lang w:val="en-US" w:eastAsia="zh-CN"/>
        </w:rPr>
        <w:t>*</w:t>
      </w:r>
      <w:r>
        <w:rPr>
          <w:rFonts w:hint="default"/>
        </w:rPr>
        <w:t>%。师市已建成</w:t>
      </w:r>
      <w:r>
        <w:rPr>
          <w:rFonts w:hint="eastAsia"/>
          <w:highlight w:val="none"/>
          <w:lang w:val="en-US" w:eastAsia="zh-CN"/>
        </w:rPr>
        <w:t>*</w:t>
      </w:r>
      <w:r>
        <w:rPr>
          <w:rFonts w:hint="default"/>
        </w:rPr>
        <w:t>套充电设施，“十五五”将加速新能源基建布局，2030年新能源汽车保有量预计突破</w:t>
      </w:r>
      <w:r>
        <w:rPr>
          <w:rFonts w:hint="eastAsia"/>
          <w:highlight w:val="none"/>
          <w:lang w:val="en-US" w:eastAsia="zh-CN"/>
        </w:rPr>
        <w:t>*</w:t>
      </w:r>
      <w:r>
        <w:rPr>
          <w:rFonts w:hint="default"/>
        </w:rPr>
        <w:t>辆（占比超</w:t>
      </w:r>
      <w:r>
        <w:rPr>
          <w:rFonts w:hint="eastAsia"/>
          <w:highlight w:val="none"/>
          <w:lang w:val="en-US" w:eastAsia="zh-CN"/>
        </w:rPr>
        <w:t>*</w:t>
      </w:r>
      <w:r>
        <w:rPr>
          <w:rFonts w:hint="default"/>
        </w:rPr>
        <w:t>%），分流城区及旅游线路汽油消费。但当前师市新能源服务覆盖率不足</w:t>
      </w:r>
      <w:r>
        <w:rPr>
          <w:rFonts w:hint="eastAsia"/>
          <w:highlight w:val="none"/>
          <w:lang w:val="en-US" w:eastAsia="zh-CN"/>
        </w:rPr>
        <w:t>*</w:t>
      </w:r>
      <w:r>
        <w:rPr>
          <w:rFonts w:hint="default"/>
        </w:rPr>
        <w:t>%，交通能源仍以燃油为主，呈现“传统能源为基、新能源渐增”的格局。</w:t>
      </w:r>
      <w:r>
        <w:rPr>
          <w:rFonts w:hint="eastAsia" w:ascii="方正楷体_GB2312" w:hAnsi="方正楷体_GB2312" w:eastAsia="方正楷体_GB2312" w:cs="方正楷体_GB2312"/>
          <w:b/>
          <w:bCs/>
          <w:lang w:val="en-US" w:eastAsia="zh-CN"/>
        </w:rPr>
        <w:t>交通运输战略 布局</w:t>
      </w:r>
      <w:r>
        <w:rPr>
          <w:rFonts w:hint="eastAsia"/>
          <w:lang w:val="en-US" w:eastAsia="zh-CN"/>
        </w:rPr>
        <w:t>。</w:t>
      </w:r>
      <w:r>
        <w:rPr>
          <w:rFonts w:hint="default"/>
        </w:rPr>
        <w:t>“十五五”时期师市将构建“三环四射四横四纵”公路主骨架、“两</w:t>
      </w:r>
      <w:bookmarkStart w:id="163" w:name="_GoBack"/>
      <w:bookmarkEnd w:id="163"/>
      <w:r>
        <w:rPr>
          <w:rFonts w:hint="default"/>
        </w:rPr>
        <w:t>枢纽多节点”交通枢纽体系</w:t>
      </w:r>
      <w:r>
        <w:rPr>
          <w:rFonts w:hint="eastAsia"/>
          <w:lang w:eastAsia="zh-CN"/>
        </w:rPr>
        <w:t>。（</w:t>
      </w:r>
      <w:r>
        <w:rPr>
          <w:rFonts w:hint="eastAsia"/>
          <w:lang w:val="en-US" w:eastAsia="zh-CN"/>
        </w:rPr>
        <w:t>依据第五师双河市“十五五”综合交通运输发展规划</w:t>
      </w:r>
      <w:r>
        <w:rPr>
          <w:rFonts w:hint="eastAsia"/>
          <w:lang w:eastAsia="zh-CN"/>
        </w:rPr>
        <w:t>）。</w:t>
      </w:r>
      <w:r>
        <w:rPr>
          <w:rFonts w:hint="default"/>
          <w:b w:val="0"/>
          <w:bCs w:val="0"/>
        </w:rPr>
        <w:t>到2030年，公路总里程达</w:t>
      </w:r>
      <w:r>
        <w:rPr>
          <w:rFonts w:hint="eastAsia"/>
          <w:highlight w:val="none"/>
          <w:lang w:val="en-US" w:eastAsia="zh-CN"/>
        </w:rPr>
        <w:t>*</w:t>
      </w:r>
      <w:r>
        <w:rPr>
          <w:rFonts w:hint="default"/>
          <w:b w:val="0"/>
          <w:bCs w:val="0"/>
        </w:rPr>
        <w:t>公里，</w:t>
      </w:r>
      <w:r>
        <w:rPr>
          <w:rFonts w:hint="eastAsia"/>
          <w:b w:val="0"/>
          <w:bCs w:val="0"/>
          <w:lang w:val="en-US" w:eastAsia="zh-CN"/>
        </w:rPr>
        <w:t>其中一级公路达到</w:t>
      </w:r>
      <w:r>
        <w:rPr>
          <w:rFonts w:hint="eastAsia"/>
          <w:highlight w:val="none"/>
          <w:lang w:val="en-US" w:eastAsia="zh-CN"/>
        </w:rPr>
        <w:t>*</w:t>
      </w:r>
      <w:r>
        <w:rPr>
          <w:rFonts w:hint="eastAsia"/>
          <w:b w:val="0"/>
          <w:bCs w:val="0"/>
          <w:lang w:val="en-US" w:eastAsia="zh-CN"/>
        </w:rPr>
        <w:t>公里，二级公路达到</w:t>
      </w:r>
      <w:r>
        <w:rPr>
          <w:rFonts w:hint="eastAsia"/>
          <w:highlight w:val="none"/>
          <w:lang w:val="en-US" w:eastAsia="zh-CN"/>
        </w:rPr>
        <w:t>*</w:t>
      </w:r>
      <w:r>
        <w:rPr>
          <w:rFonts w:hint="eastAsia"/>
          <w:b w:val="0"/>
          <w:bCs w:val="0"/>
          <w:lang w:val="en-US" w:eastAsia="zh-CN"/>
        </w:rPr>
        <w:t>公里，</w:t>
      </w:r>
      <w:r>
        <w:rPr>
          <w:rFonts w:hint="default"/>
          <w:b w:val="0"/>
          <w:bCs w:val="0"/>
        </w:rPr>
        <w:t>二级及以上公路占比</w:t>
      </w:r>
      <w:r>
        <w:rPr>
          <w:rFonts w:hint="eastAsia"/>
          <w:highlight w:val="none"/>
          <w:lang w:val="en-US" w:eastAsia="zh-CN"/>
        </w:rPr>
        <w:t>*</w:t>
      </w:r>
      <w:r>
        <w:rPr>
          <w:rFonts w:hint="default"/>
          <w:b w:val="0"/>
          <w:bCs w:val="0"/>
        </w:rPr>
        <w:t>%</w:t>
      </w:r>
      <w:r>
        <w:rPr>
          <w:rFonts w:hint="eastAsia"/>
          <w:b w:val="0"/>
          <w:bCs w:val="0"/>
          <w:lang w:eastAsia="zh-CN"/>
        </w:rPr>
        <w:t>，</w:t>
      </w:r>
      <w:r>
        <w:rPr>
          <w:rFonts w:hint="eastAsia"/>
          <w:b w:val="0"/>
          <w:bCs w:val="0"/>
          <w:lang w:val="en-US" w:eastAsia="zh-CN"/>
        </w:rPr>
        <w:t>实现所有团场、重要产业区及4A级景区重要节点二级以上公路联通</w:t>
      </w:r>
      <w:r>
        <w:rPr>
          <w:rFonts w:hint="eastAsia"/>
          <w:b/>
          <w:bCs/>
          <w:lang w:val="en-US" w:eastAsia="zh-CN"/>
        </w:rPr>
        <w:t>，</w:t>
      </w:r>
      <w:r>
        <w:rPr>
          <w:rFonts w:hint="default"/>
        </w:rPr>
        <w:t>为成品油零售网点优化提供路网支撑。</w:t>
      </w:r>
    </w:p>
    <w:p w14:paraId="501F62C6">
      <w:pPr>
        <w:pStyle w:val="3"/>
        <w:keepNext/>
        <w:keepLines/>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Times New Roman Bold" w:hAnsi="Times New Roman Bold" w:cstheme="minorBidi"/>
          <w:szCs w:val="24"/>
          <w:lang w:val="en-US" w:eastAsia="zh-CN"/>
        </w:rPr>
      </w:pPr>
      <w:bookmarkStart w:id="74" w:name="_Toc20769"/>
      <w:bookmarkStart w:id="75" w:name="_Toc5744"/>
      <w:bookmarkStart w:id="76" w:name="_Toc30463"/>
      <w:bookmarkStart w:id="77" w:name="_Toc24750"/>
      <w:bookmarkStart w:id="78" w:name="_Toc11192"/>
      <w:r>
        <w:rPr>
          <w:rFonts w:hint="eastAsia" w:ascii="Times New Roman Bold" w:hAnsi="Times New Roman Bold" w:cstheme="minorBidi"/>
          <w:szCs w:val="24"/>
          <w:lang w:val="en-US" w:eastAsia="zh-CN"/>
        </w:rPr>
        <w:t>三、机动车增长趋势预测</w:t>
      </w:r>
      <w:bookmarkEnd w:id="74"/>
      <w:bookmarkEnd w:id="75"/>
      <w:bookmarkEnd w:id="76"/>
      <w:bookmarkEnd w:id="77"/>
    </w:p>
    <w:p w14:paraId="59D2FFC8">
      <w:pPr>
        <w:rPr>
          <w:rFonts w:hint="default" w:eastAsia="仿宋_GB2312"/>
          <w:lang w:val="en-US" w:eastAsia="zh-CN"/>
        </w:rPr>
      </w:pPr>
      <w:r>
        <w:rPr>
          <w:rFonts w:hint="eastAsia"/>
          <w:lang w:val="en-US" w:eastAsia="zh-CN"/>
        </w:rPr>
        <w:t>依据</w:t>
      </w:r>
      <w:r>
        <w:rPr>
          <w:rFonts w:hint="eastAsia"/>
        </w:rPr>
        <w:t>《第五师双河市第三次全国国土调查主要数据公报》</w:t>
      </w:r>
      <w:r>
        <w:rPr>
          <w:rFonts w:hint="eastAsia"/>
          <w:lang w:val="en-US" w:eastAsia="zh-CN"/>
        </w:rPr>
        <w:t>数据显示师市2022年末民用汽车保有量为</w:t>
      </w:r>
      <w:r>
        <w:rPr>
          <w:rFonts w:hint="eastAsia"/>
          <w:highlight w:val="none"/>
          <w:lang w:val="en-US" w:eastAsia="zh-CN"/>
        </w:rPr>
        <w:t>*</w:t>
      </w:r>
      <w:r>
        <w:rPr>
          <w:rFonts w:hint="eastAsia"/>
          <w:lang w:val="en-US" w:eastAsia="zh-CN"/>
        </w:rPr>
        <w:t>万辆，同期新疆兵团整体民用车保有量增长率为</w:t>
      </w:r>
      <w:r>
        <w:rPr>
          <w:rFonts w:hint="eastAsia"/>
          <w:highlight w:val="none"/>
          <w:lang w:val="en-US" w:eastAsia="zh-CN"/>
        </w:rPr>
        <w:t>*</w:t>
      </w:r>
      <w:r>
        <w:rPr>
          <w:rFonts w:hint="eastAsia"/>
          <w:lang w:val="en-US" w:eastAsia="zh-CN"/>
        </w:rPr>
        <w:t>%。</w:t>
      </w:r>
      <w:r>
        <w:rPr>
          <w:rFonts w:hint="eastAsia"/>
        </w:rPr>
        <w:t>2025年末</w:t>
      </w:r>
      <w:r>
        <w:rPr>
          <w:rFonts w:hint="eastAsia"/>
          <w:lang w:val="en-US" w:eastAsia="zh-CN"/>
        </w:rPr>
        <w:t>五师双河市</w:t>
      </w:r>
      <w:r>
        <w:rPr>
          <w:rFonts w:hint="eastAsia"/>
        </w:rPr>
        <w:t>民用汽车保有量</w:t>
      </w:r>
      <w:r>
        <w:rPr>
          <w:rFonts w:hint="eastAsia"/>
          <w:lang w:val="en-US" w:eastAsia="zh-CN"/>
        </w:rPr>
        <w:t>预估</w:t>
      </w:r>
      <w:r>
        <w:rPr>
          <w:rFonts w:hint="eastAsia"/>
        </w:rPr>
        <w:t>在</w:t>
      </w:r>
      <w:r>
        <w:rPr>
          <w:rFonts w:hint="eastAsia"/>
          <w:highlight w:val="none"/>
          <w:lang w:val="en-US" w:eastAsia="zh-CN"/>
        </w:rPr>
        <w:t>*</w:t>
      </w:r>
      <w:r>
        <w:rPr>
          <w:rFonts w:hint="eastAsia"/>
        </w:rPr>
        <w:t>万至</w:t>
      </w:r>
      <w:r>
        <w:rPr>
          <w:rFonts w:hint="eastAsia"/>
          <w:highlight w:val="none"/>
          <w:lang w:val="en-US" w:eastAsia="zh-CN"/>
        </w:rPr>
        <w:t>*</w:t>
      </w:r>
      <w:r>
        <w:rPr>
          <w:rFonts w:hint="eastAsia"/>
        </w:rPr>
        <w:t>万辆之间</w:t>
      </w:r>
      <w:r>
        <w:rPr>
          <w:rFonts w:hint="eastAsia"/>
          <w:lang w:eastAsia="zh-CN"/>
        </w:rPr>
        <w:t>。</w:t>
      </w:r>
      <w:r>
        <w:rPr>
          <w:rFonts w:hint="eastAsia"/>
          <w:lang w:val="en-US" w:eastAsia="zh-CN"/>
        </w:rPr>
        <w:t>同时，根据</w:t>
      </w:r>
      <w:r>
        <w:rPr>
          <w:rFonts w:hint="eastAsia"/>
        </w:rPr>
        <w:t>新疆生产建设兵团</w:t>
      </w:r>
      <w:r>
        <w:rPr>
          <w:rFonts w:hint="eastAsia"/>
          <w:lang w:val="en-US" w:eastAsia="zh-CN"/>
        </w:rPr>
        <w:t>2021-2024</w:t>
      </w:r>
      <w:r>
        <w:rPr>
          <w:rFonts w:hint="eastAsia"/>
        </w:rPr>
        <w:t>年国民经济和社会发展统计公报</w:t>
      </w:r>
      <w:r>
        <w:rPr>
          <w:rFonts w:hint="eastAsia"/>
          <w:lang w:eastAsia="zh-CN"/>
        </w:rPr>
        <w:t>，</w:t>
      </w:r>
      <w:r>
        <w:rPr>
          <w:rFonts w:hint="eastAsia"/>
          <w:lang w:val="en-US" w:eastAsia="zh-CN"/>
        </w:rPr>
        <w:t>民用汽车保有量呈逐年增长趋势，年均增长率约为</w:t>
      </w:r>
      <w:r>
        <w:rPr>
          <w:rFonts w:hint="eastAsia"/>
          <w:highlight w:val="none"/>
          <w:lang w:val="en-US" w:eastAsia="zh-CN"/>
        </w:rPr>
        <w:t>*</w:t>
      </w:r>
      <w:r>
        <w:rPr>
          <w:rFonts w:hint="eastAsia"/>
          <w:lang w:val="en-US" w:eastAsia="zh-CN"/>
        </w:rPr>
        <w:t>%，</w:t>
      </w:r>
      <w:r>
        <w:rPr>
          <w:rFonts w:hint="eastAsia"/>
        </w:rPr>
        <w:t>兵团范围内每百人民用汽车保有量约为</w:t>
      </w:r>
      <w:r>
        <w:rPr>
          <w:rFonts w:hint="eastAsia"/>
          <w:highlight w:val="none"/>
          <w:lang w:val="en-US" w:eastAsia="zh-CN"/>
        </w:rPr>
        <w:t>*</w:t>
      </w:r>
      <w:r>
        <w:rPr>
          <w:rFonts w:hint="eastAsia"/>
        </w:rPr>
        <w:t>辆。</w:t>
      </w:r>
      <w:r>
        <w:rPr>
          <w:rFonts w:hint="eastAsia"/>
          <w:lang w:val="en-US" w:eastAsia="zh-CN"/>
        </w:rPr>
        <w:t>综合以上，预测师市“十五五”期末民用汽车保有量约为</w:t>
      </w:r>
      <w:r>
        <w:rPr>
          <w:rFonts w:hint="eastAsia"/>
          <w:highlight w:val="none"/>
          <w:lang w:val="en-US" w:eastAsia="zh-CN"/>
        </w:rPr>
        <w:t>*</w:t>
      </w:r>
      <w:r>
        <w:rPr>
          <w:rFonts w:hint="eastAsia"/>
          <w:lang w:val="en-US" w:eastAsia="zh-CN"/>
        </w:rPr>
        <w:t>万辆。</w:t>
      </w:r>
    </w:p>
    <w:p w14:paraId="6F76B81A">
      <w:pPr>
        <w:pStyle w:val="3"/>
        <w:keepNext/>
        <w:keepLines/>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Bold" w:hAnsi="Times New Roman Bold" w:eastAsia="黑体" w:cstheme="minorBidi"/>
          <w:szCs w:val="24"/>
          <w:lang w:val="en-US" w:eastAsia="zh-CN"/>
        </w:rPr>
      </w:pPr>
      <w:bookmarkStart w:id="79" w:name="_Toc4189"/>
      <w:bookmarkStart w:id="80" w:name="_Toc5918"/>
      <w:bookmarkStart w:id="81" w:name="_Toc21176"/>
      <w:bookmarkStart w:id="82" w:name="_Toc13615"/>
      <w:r>
        <w:rPr>
          <w:rFonts w:hint="eastAsia" w:ascii="Times New Roman Bold" w:hAnsi="Times New Roman Bold" w:cstheme="minorBidi"/>
          <w:szCs w:val="24"/>
          <w:lang w:val="en-US" w:eastAsia="zh-CN"/>
        </w:rPr>
        <w:t>四、</w:t>
      </w:r>
      <w:r>
        <w:rPr>
          <w:rFonts w:hint="default" w:ascii="Times New Roman Bold" w:hAnsi="Times New Roman Bold" w:eastAsia="黑体" w:cstheme="minorBidi"/>
          <w:szCs w:val="24"/>
          <w:lang w:val="en-US" w:eastAsia="zh-CN"/>
        </w:rPr>
        <w:t>成品油零售企业销售量预测分析</w:t>
      </w:r>
      <w:bookmarkEnd w:id="78"/>
      <w:bookmarkEnd w:id="79"/>
      <w:bookmarkEnd w:id="80"/>
      <w:bookmarkEnd w:id="81"/>
      <w:bookmarkEnd w:id="82"/>
    </w:p>
    <w:p w14:paraId="4CA98511">
      <w:pPr>
        <w:bidi w:val="0"/>
        <w:rPr>
          <w:rFonts w:hint="eastAsia"/>
          <w:lang w:val="en-US" w:eastAsia="zh-CN"/>
        </w:rPr>
      </w:pPr>
      <w:r>
        <w:rPr>
          <w:rFonts w:hint="eastAsia"/>
          <w:lang w:val="en-US" w:eastAsia="zh-CN"/>
        </w:rPr>
        <w:t>成品油销售量与地区GDP、机动车保有量、过境汽车数量直接相关。</w:t>
      </w:r>
      <w:r>
        <w:rPr>
          <w:rFonts w:hint="default"/>
          <w:lang w:val="en-US" w:eastAsia="zh-CN"/>
        </w:rPr>
        <w:t>2024年</w:t>
      </w:r>
      <w:r>
        <w:rPr>
          <w:rFonts w:hint="eastAsia"/>
          <w:lang w:val="en-US" w:eastAsia="zh-CN"/>
        </w:rPr>
        <w:t>，</w:t>
      </w:r>
      <w:r>
        <w:rPr>
          <w:rFonts w:hint="default"/>
          <w:lang w:val="en-US" w:eastAsia="zh-CN"/>
        </w:rPr>
        <w:t>师市陆续开始执行汽车以旧换新、置换更新、购新补贴等政策，师市及周边地区汽车保有量</w:t>
      </w:r>
      <w:r>
        <w:rPr>
          <w:rFonts w:hint="eastAsia"/>
          <w:lang w:val="en-US" w:eastAsia="zh-CN"/>
        </w:rPr>
        <w:t>持续增长，且未来师市常住人口、人均收入水平、城镇化率、公路总里程将稳步提升，产业发展前景广阔，机动车保有量将继续增加，成品油需求亦将增加。</w:t>
      </w:r>
    </w:p>
    <w:p w14:paraId="5C792C03">
      <w:pPr>
        <w:keepNext w:val="0"/>
        <w:keepLines w:val="0"/>
        <w:widowControl/>
        <w:suppressLineNumbers w:val="0"/>
        <w:jc w:val="left"/>
      </w:pPr>
      <w:r>
        <w:rPr>
          <w:rFonts w:hint="eastAsia" w:ascii="Times New Roman" w:hAnsi="Times New Roman" w:eastAsia="仿宋_GB2312" w:cs="Times New Roman"/>
          <w:kern w:val="2"/>
          <w:sz w:val="32"/>
          <w:szCs w:val="32"/>
          <w:lang w:val="en-US" w:eastAsia="zh-CN" w:bidi="ar"/>
        </w:rPr>
        <w:t>本次采用“</w:t>
      </w:r>
      <w:r>
        <w:rPr>
          <w:rFonts w:hint="eastAsia" w:cs="Times New Roman"/>
          <w:kern w:val="2"/>
          <w:sz w:val="32"/>
          <w:szCs w:val="32"/>
          <w:lang w:val="en-US" w:eastAsia="zh-CN" w:bidi="ar"/>
        </w:rPr>
        <w:t>能源消费</w:t>
      </w:r>
      <w:r>
        <w:rPr>
          <w:rFonts w:hint="eastAsia" w:ascii="Times New Roman" w:hAnsi="Times New Roman" w:eastAsia="仿宋_GB2312" w:cs="Times New Roman"/>
          <w:kern w:val="2"/>
          <w:sz w:val="32"/>
          <w:szCs w:val="32"/>
          <w:lang w:val="en-US" w:eastAsia="zh-CN" w:bidi="ar"/>
        </w:rPr>
        <w:t>弹性系数法”结合历史数据测算，兼顾GDP增长、机动车保有量等核心驱动因素，提升预测准确性。</w:t>
      </w:r>
    </w:p>
    <w:p w14:paraId="1EEC8155">
      <w:pPr>
        <w:pStyle w:val="4"/>
        <w:bidi w:val="0"/>
        <w:rPr>
          <w:rFonts w:hint="default"/>
          <w:lang w:val="en-US" w:eastAsia="zh-CN"/>
        </w:rPr>
      </w:pPr>
      <w:r>
        <w:rPr>
          <w:rFonts w:hint="eastAsia"/>
          <w:lang w:val="en-US" w:eastAsia="zh-CN"/>
        </w:rPr>
        <w:t>（一）能源消费弹性系数测算</w:t>
      </w:r>
    </w:p>
    <w:p w14:paraId="3A302869">
      <w:pPr>
        <w:keepNext w:val="0"/>
        <w:keepLines w:val="0"/>
        <w:pageBreakBefore w:val="0"/>
        <w:widowControl w:val="0"/>
        <w:kinsoku/>
        <w:wordWrap w:val="0"/>
        <w:overflowPunct/>
        <w:topLinePunct/>
        <w:autoSpaceDE/>
        <w:autoSpaceDN/>
        <w:bidi w:val="0"/>
        <w:adjustRightInd/>
        <w:snapToGrid/>
        <w:textAlignment w:val="auto"/>
        <w:rPr>
          <w:rFonts w:hint="eastAsia"/>
          <w:lang w:val="en-US" w:eastAsia="zh-CN"/>
        </w:rPr>
      </w:pPr>
      <w:r>
        <w:rPr>
          <w:rFonts w:hint="eastAsia"/>
        </w:rPr>
        <w:t>成品油消费量与地区生产总值具备显著正向关联性，本次采用能源消费弹性系数法开展需求量测算。成品油消费弹性系数用于直观反映成品油消费量增速与区域经济增速的联动关系</w:t>
      </w:r>
      <w:r>
        <w:rPr>
          <w:rFonts w:hint="eastAsia"/>
          <w:lang w:eastAsia="zh-CN"/>
        </w:rPr>
        <w:t>。</w:t>
      </w:r>
    </w:p>
    <w:p w14:paraId="2B139B8A">
      <w:pPr>
        <w:keepNext w:val="0"/>
        <w:keepLines w:val="0"/>
        <w:pageBreakBefore w:val="0"/>
        <w:widowControl w:val="0"/>
        <w:kinsoku/>
        <w:wordWrap w:val="0"/>
        <w:overflowPunct/>
        <w:topLinePunct/>
        <w:autoSpaceDE/>
        <w:autoSpaceDN/>
        <w:bidi w:val="0"/>
        <w:adjustRightInd/>
        <w:snapToGrid/>
        <w:textAlignment w:val="auto"/>
        <w:rPr>
          <w:rFonts w:hint="eastAsia"/>
        </w:rPr>
      </w:pPr>
      <w:r>
        <w:rPr>
          <w:rFonts w:hint="eastAsia"/>
          <w:lang w:val="en-US" w:eastAsia="zh-CN"/>
        </w:rPr>
        <w:t>2021-2025年，</w:t>
      </w:r>
      <w:r>
        <w:rPr>
          <w:rFonts w:hint="eastAsia"/>
        </w:rPr>
        <w:t>师市成品油消费呈现“疫情冲击</w:t>
      </w:r>
      <w:r>
        <w:rPr>
          <w:rFonts w:hint="eastAsia"/>
          <w:lang w:eastAsia="zh-CN"/>
        </w:rPr>
        <w:t>—</w:t>
      </w:r>
      <w:r>
        <w:rPr>
          <w:rFonts w:hint="eastAsia"/>
        </w:rPr>
        <w:t>快速反弹 —常态复苏”的波动特征，对应不同阶段的消费弹性系数差异显著：全周期（含疫情）弹性系数约</w:t>
      </w:r>
      <w:r>
        <w:rPr>
          <w:rFonts w:hint="eastAsia"/>
          <w:highlight w:val="none"/>
          <w:lang w:val="en-US" w:eastAsia="zh-CN"/>
        </w:rPr>
        <w:t>*</w:t>
      </w:r>
      <w:r>
        <w:rPr>
          <w:rFonts w:hint="eastAsia"/>
        </w:rPr>
        <w:t>，受阶段性冲击拖累偏低</w:t>
      </w:r>
      <w:r>
        <w:rPr>
          <w:rFonts w:hint="eastAsia"/>
          <w:lang w:eastAsia="zh-CN"/>
        </w:rPr>
        <w:t>；</w:t>
      </w:r>
      <w:r>
        <w:rPr>
          <w:rFonts w:hint="eastAsia"/>
        </w:rPr>
        <w:t>疫情后复苏阶段（2024-2025年）弹性系数回升至</w:t>
      </w:r>
      <w:r>
        <w:rPr>
          <w:rFonts w:hint="eastAsia"/>
          <w:highlight w:val="none"/>
          <w:lang w:val="en-US" w:eastAsia="zh-CN"/>
        </w:rPr>
        <w:t>*</w:t>
      </w:r>
      <w:r>
        <w:rPr>
          <w:rFonts w:hint="eastAsia"/>
        </w:rPr>
        <w:t>，恢复至与GDP增速基本同步的常态水平，反映出稳增长、促消费政策带动下的市场修复态势。</w:t>
      </w:r>
      <w:r>
        <w:rPr>
          <w:rFonts w:hint="eastAsia"/>
          <w:lang w:val="en-US" w:eastAsia="zh-CN"/>
        </w:rPr>
        <w:t>综</w:t>
      </w:r>
      <w:r>
        <w:rPr>
          <w:rFonts w:hint="eastAsia"/>
        </w:rPr>
        <w:t>合考虑历史偏低水平与未来复苏趋势，同时兼顾“十五五”期间新能源汽车替代、能效提升的中长期影响，本次规划折中确定成品油消费综合弹性系数为</w:t>
      </w:r>
      <w:r>
        <w:rPr>
          <w:rFonts w:hint="eastAsia"/>
          <w:highlight w:val="none"/>
          <w:lang w:val="en-US" w:eastAsia="zh-CN"/>
        </w:rPr>
        <w:t>*</w:t>
      </w:r>
      <w:r>
        <w:rPr>
          <w:rFonts w:hint="eastAsia"/>
        </w:rPr>
        <w:t>。</w:t>
      </w:r>
    </w:p>
    <w:p w14:paraId="60C93A85">
      <w:pPr>
        <w:keepNext w:val="0"/>
        <w:keepLines w:val="0"/>
        <w:pageBreakBefore w:val="0"/>
        <w:widowControl w:val="0"/>
        <w:kinsoku/>
        <w:wordWrap w:val="0"/>
        <w:overflowPunct/>
        <w:topLinePunct/>
        <w:autoSpaceDE/>
        <w:autoSpaceDN/>
        <w:bidi w:val="0"/>
        <w:adjustRightInd/>
        <w:snapToGrid/>
        <w:textAlignment w:val="auto"/>
        <w:rPr>
          <w:rFonts w:hint="eastAsia"/>
        </w:rPr>
      </w:pPr>
      <w:r>
        <w:rPr>
          <w:rFonts w:hint="eastAsia"/>
        </w:rPr>
        <w:t>结合师市“十五五”期间GDP年均增长</w:t>
      </w:r>
      <w:r>
        <w:rPr>
          <w:rFonts w:hint="eastAsia"/>
          <w:highlight w:val="none"/>
          <w:lang w:val="en-US" w:eastAsia="zh-CN"/>
        </w:rPr>
        <w:t>*</w:t>
      </w:r>
      <w:r>
        <w:rPr>
          <w:rFonts w:hint="eastAsia"/>
        </w:rPr>
        <w:t>%的预期，测算成品油销售量年均增长率约为</w:t>
      </w:r>
      <w:r>
        <w:rPr>
          <w:rFonts w:hint="eastAsia"/>
          <w:highlight w:val="none"/>
          <w:lang w:val="en-US" w:eastAsia="zh-CN"/>
        </w:rPr>
        <w:t>*</w:t>
      </w:r>
      <w:r>
        <w:rPr>
          <w:rFonts w:hint="eastAsia"/>
        </w:rPr>
        <w:t>%，规划取值按</w:t>
      </w:r>
      <w:r>
        <w:rPr>
          <w:rFonts w:hint="eastAsia"/>
          <w:highlight w:val="none"/>
          <w:lang w:val="en-US" w:eastAsia="zh-CN"/>
        </w:rPr>
        <w:t>*</w:t>
      </w:r>
      <w:r>
        <w:rPr>
          <w:rFonts w:hint="eastAsia"/>
        </w:rPr>
        <w:t>%控制，贴合当前市场修复态势，又为未来发展预留合理余量。</w:t>
      </w:r>
    </w:p>
    <w:p w14:paraId="18B8DA44">
      <w:pPr>
        <w:pStyle w:val="4"/>
        <w:bidi w:val="0"/>
        <w:rPr>
          <w:rFonts w:hint="default"/>
          <w:highlight w:val="none"/>
          <w:lang w:val="en-US" w:eastAsia="zh-CN"/>
        </w:rPr>
      </w:pPr>
      <w:r>
        <w:rPr>
          <w:rFonts w:hint="eastAsia"/>
          <w:highlight w:val="none"/>
          <w:lang w:val="en-US" w:eastAsia="zh-CN"/>
        </w:rPr>
        <w:t>（二）销售量预测结果</w:t>
      </w:r>
    </w:p>
    <w:p w14:paraId="514A8741">
      <w:pPr>
        <w:bidi w:val="0"/>
        <w:rPr>
          <w:rFonts w:hint="eastAsia"/>
          <w:highlight w:val="none"/>
          <w:lang w:val="en-US" w:eastAsia="zh-CN"/>
        </w:rPr>
      </w:pPr>
      <w:r>
        <w:rPr>
          <w:rFonts w:hint="eastAsia"/>
          <w:highlight w:val="none"/>
          <w:lang w:val="en-US" w:eastAsia="zh-CN"/>
        </w:rPr>
        <w:t>“十五五”时期，师市GDP年均增长率按*%预估，未来五年成品油销售量年均增长率按*%预测。预计到2030年师市成品油销售量将达到约*万吨。</w:t>
      </w:r>
    </w:p>
    <w:p w14:paraId="683D85B1">
      <w:pPr>
        <w:pStyle w:val="3"/>
        <w:keepNext/>
        <w:keepLines/>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Bold" w:hAnsi="Times New Roman Bold" w:eastAsia="黑体" w:cstheme="minorBidi"/>
          <w:szCs w:val="24"/>
          <w:highlight w:val="none"/>
          <w:lang w:val="en-US" w:eastAsia="zh-CN"/>
        </w:rPr>
      </w:pPr>
      <w:bookmarkStart w:id="83" w:name="_Toc9146"/>
      <w:bookmarkStart w:id="84" w:name="_Toc15808"/>
      <w:bookmarkStart w:id="85" w:name="_Toc27595"/>
      <w:bookmarkStart w:id="86" w:name="_Toc10537"/>
      <w:bookmarkStart w:id="87" w:name="_Toc29038"/>
      <w:r>
        <w:rPr>
          <w:rFonts w:hint="eastAsia" w:ascii="Times New Roman Bold" w:hAnsi="Times New Roman Bold" w:cstheme="minorBidi"/>
          <w:szCs w:val="24"/>
          <w:highlight w:val="none"/>
          <w:lang w:val="en-US" w:eastAsia="zh-CN"/>
        </w:rPr>
        <w:t>五、</w:t>
      </w:r>
      <w:r>
        <w:rPr>
          <w:rFonts w:hint="default" w:ascii="Times New Roman Bold" w:hAnsi="Times New Roman Bold" w:eastAsia="黑体" w:cstheme="minorBidi"/>
          <w:szCs w:val="24"/>
          <w:highlight w:val="none"/>
          <w:lang w:val="en-US" w:eastAsia="zh-CN"/>
        </w:rPr>
        <w:t>成品油</w:t>
      </w:r>
      <w:bookmarkEnd w:id="83"/>
      <w:r>
        <w:rPr>
          <w:rFonts w:hint="eastAsia" w:ascii="Times New Roman Bold" w:hAnsi="Times New Roman Bold" w:cstheme="minorBidi"/>
          <w:szCs w:val="24"/>
          <w:highlight w:val="none"/>
          <w:lang w:val="en-US" w:eastAsia="zh-CN"/>
        </w:rPr>
        <w:t>零售站点预测</w:t>
      </w:r>
      <w:bookmarkEnd w:id="84"/>
      <w:bookmarkEnd w:id="85"/>
      <w:bookmarkEnd w:id="86"/>
      <w:bookmarkEnd w:id="87"/>
    </w:p>
    <w:p w14:paraId="6A527ED7">
      <w:pPr>
        <w:rPr>
          <w:rFonts w:hint="eastAsia"/>
          <w:lang w:val="en-US" w:eastAsia="zh-CN"/>
        </w:rPr>
      </w:pPr>
      <w:r>
        <w:rPr>
          <w:rFonts w:hint="default"/>
        </w:rPr>
        <w:t>本次站点数量预测结合经济匹配性与消费适配性双重原则，分别采用经济增长</w:t>
      </w:r>
      <w:r>
        <w:rPr>
          <w:rFonts w:hint="eastAsia"/>
          <w:lang w:val="en-US" w:eastAsia="zh-CN"/>
        </w:rPr>
        <w:t>预测</w:t>
      </w:r>
      <w:r>
        <w:rPr>
          <w:rFonts w:hint="default"/>
        </w:rPr>
        <w:t>、成品油消费量</w:t>
      </w:r>
      <w:r>
        <w:rPr>
          <w:rFonts w:hint="eastAsia"/>
          <w:lang w:val="en-US" w:eastAsia="zh-CN"/>
        </w:rPr>
        <w:t>预测</w:t>
      </w:r>
      <w:r>
        <w:rPr>
          <w:rFonts w:hint="default"/>
        </w:rPr>
        <w:t>开展测算，结合区域实际综合研判，最终确定规划期末站点控制规模。</w:t>
      </w:r>
    </w:p>
    <w:p w14:paraId="615ED64A">
      <w:pPr>
        <w:pStyle w:val="4"/>
        <w:bidi w:val="0"/>
        <w:rPr>
          <w:rFonts w:hint="default"/>
          <w:highlight w:val="none"/>
          <w:lang w:val="en-US" w:eastAsia="zh-CN"/>
        </w:rPr>
      </w:pPr>
      <w:r>
        <w:rPr>
          <w:rFonts w:hint="eastAsia"/>
          <w:highlight w:val="none"/>
          <w:lang w:val="en-US" w:eastAsia="zh-CN"/>
        </w:rPr>
        <w:t>（一）根据</w:t>
      </w:r>
      <w:r>
        <w:rPr>
          <w:rFonts w:hint="default"/>
          <w:highlight w:val="none"/>
          <w:lang w:val="en-US" w:eastAsia="zh-CN"/>
        </w:rPr>
        <w:t>经济增长预测</w:t>
      </w:r>
      <w:r>
        <w:rPr>
          <w:rFonts w:hint="eastAsia"/>
          <w:highlight w:val="none"/>
          <w:lang w:val="en-US" w:eastAsia="zh-CN"/>
        </w:rPr>
        <w:t>加油站数量</w:t>
      </w:r>
    </w:p>
    <w:p w14:paraId="03061E84">
      <w:pPr>
        <w:bidi w:val="0"/>
        <w:spacing w:line="540" w:lineRule="exact"/>
        <w:rPr>
          <w:rFonts w:hint="default"/>
          <w:highlight w:val="none"/>
        </w:rPr>
      </w:pPr>
      <w:r>
        <w:rPr>
          <w:rFonts w:hint="default"/>
          <w:highlight w:val="none"/>
        </w:rPr>
        <w:t>从宏观经济匹配角度分析，以2025年现有</w:t>
      </w:r>
      <w:r>
        <w:rPr>
          <w:rFonts w:hint="eastAsia"/>
          <w:highlight w:val="none"/>
          <w:lang w:val="en-US" w:eastAsia="zh-CN"/>
        </w:rPr>
        <w:t>*</w:t>
      </w:r>
      <w:r>
        <w:rPr>
          <w:rFonts w:hint="default"/>
          <w:highlight w:val="none"/>
        </w:rPr>
        <w:t>座加油站为基数，结合师市</w:t>
      </w:r>
      <w:r>
        <w:rPr>
          <w:rFonts w:hint="eastAsia"/>
          <w:highlight w:val="none"/>
          <w:lang w:eastAsia="zh-CN"/>
        </w:rPr>
        <w:t>“</w:t>
      </w:r>
      <w:r>
        <w:rPr>
          <w:rFonts w:hint="eastAsia"/>
          <w:highlight w:val="none"/>
          <w:lang w:val="en-US" w:eastAsia="zh-CN"/>
        </w:rPr>
        <w:t>十五五</w:t>
      </w:r>
      <w:r>
        <w:rPr>
          <w:rFonts w:hint="eastAsia"/>
          <w:highlight w:val="none"/>
          <w:lang w:eastAsia="zh-CN"/>
        </w:rPr>
        <w:t>”</w:t>
      </w:r>
      <w:r>
        <w:rPr>
          <w:rFonts w:hint="eastAsia"/>
          <w:highlight w:val="none"/>
          <w:lang w:val="en-US" w:eastAsia="zh-CN"/>
        </w:rPr>
        <w:t>期间</w:t>
      </w:r>
      <w:r>
        <w:rPr>
          <w:rFonts w:hint="default"/>
          <w:highlight w:val="none"/>
        </w:rPr>
        <w:t>GDP年均</w:t>
      </w:r>
      <w:r>
        <w:rPr>
          <w:rFonts w:hint="eastAsia"/>
          <w:highlight w:val="none"/>
          <w:lang w:val="en-US" w:eastAsia="zh-CN"/>
        </w:rPr>
        <w:t>*</w:t>
      </w:r>
      <w:r>
        <w:rPr>
          <w:rFonts w:hint="default"/>
          <w:highlight w:val="none"/>
        </w:rPr>
        <w:t>%的增长预期，</w:t>
      </w:r>
      <w:r>
        <w:rPr>
          <w:rFonts w:hint="eastAsia"/>
          <w:highlight w:val="none"/>
          <w:lang w:val="en-US" w:eastAsia="zh-CN"/>
        </w:rPr>
        <w:t>设定</w:t>
      </w:r>
      <w:r>
        <w:rPr>
          <w:rFonts w:hint="default"/>
          <w:highlight w:val="none"/>
        </w:rPr>
        <w:t>加油站网点规模与区域经济发展同步增长，保障经济活动用油配套能力。经测算，至2030年成品油零售站点理论需求量为</w:t>
      </w:r>
      <w:r>
        <w:rPr>
          <w:rFonts w:hint="eastAsia"/>
          <w:highlight w:val="none"/>
          <w:lang w:val="en-US" w:eastAsia="zh-CN"/>
        </w:rPr>
        <w:t>*</w:t>
      </w:r>
      <w:r>
        <w:rPr>
          <w:rFonts w:hint="default"/>
          <w:highlight w:val="none"/>
        </w:rPr>
        <w:t>座，“十五五”期间最少需新增</w:t>
      </w:r>
      <w:r>
        <w:rPr>
          <w:rFonts w:hint="eastAsia"/>
          <w:highlight w:val="none"/>
          <w:lang w:val="en-US" w:eastAsia="zh-CN"/>
        </w:rPr>
        <w:t>*</w:t>
      </w:r>
      <w:r>
        <w:rPr>
          <w:rFonts w:hint="default"/>
          <w:highlight w:val="none"/>
        </w:rPr>
        <w:t>座加油站。该测算方式侧重于站点总量与宏观经济规模的适配关系，适用于宏观层面的基础需求研判。</w:t>
      </w:r>
    </w:p>
    <w:p w14:paraId="3186EC2F">
      <w:pPr>
        <w:pStyle w:val="4"/>
        <w:bidi w:val="0"/>
        <w:spacing w:line="540" w:lineRule="exact"/>
        <w:rPr>
          <w:rFonts w:hint="default"/>
          <w:highlight w:val="none"/>
          <w:lang w:val="en-US" w:eastAsia="zh-CN"/>
        </w:rPr>
      </w:pPr>
      <w:r>
        <w:rPr>
          <w:rFonts w:hint="eastAsia"/>
          <w:highlight w:val="none"/>
          <w:lang w:val="en-US" w:eastAsia="zh-CN"/>
        </w:rPr>
        <w:t>（</w:t>
      </w:r>
      <w:r>
        <w:rPr>
          <w:rFonts w:hint="eastAsia"/>
          <w:b/>
          <w:bCs/>
          <w:highlight w:val="none"/>
          <w:lang w:val="en-US" w:eastAsia="zh-CN"/>
        </w:rPr>
        <w:t>二</w:t>
      </w:r>
      <w:r>
        <w:rPr>
          <w:rFonts w:hint="eastAsia"/>
          <w:highlight w:val="none"/>
          <w:lang w:val="en-US" w:eastAsia="zh-CN"/>
        </w:rPr>
        <w:t>）</w:t>
      </w:r>
      <w:r>
        <w:rPr>
          <w:rFonts w:hint="default"/>
          <w:highlight w:val="none"/>
          <w:lang w:val="en-US" w:eastAsia="zh-CN"/>
        </w:rPr>
        <w:t>根据</w:t>
      </w:r>
      <w:r>
        <w:rPr>
          <w:rFonts w:hint="eastAsia"/>
          <w:highlight w:val="none"/>
          <w:lang w:val="en-US" w:eastAsia="zh-CN"/>
        </w:rPr>
        <w:t>成品油销售量</w:t>
      </w:r>
      <w:r>
        <w:rPr>
          <w:rFonts w:hint="default"/>
          <w:highlight w:val="none"/>
          <w:lang w:val="en-US" w:eastAsia="zh-CN"/>
        </w:rPr>
        <w:t>预测加油站数量</w:t>
      </w:r>
    </w:p>
    <w:p w14:paraId="44D6E117">
      <w:pPr>
        <w:bidi w:val="0"/>
        <w:rPr>
          <w:rFonts w:hint="eastAsia"/>
          <w:highlight w:val="none"/>
          <w:lang w:val="en-US" w:eastAsia="zh-CN"/>
        </w:rPr>
      </w:pPr>
      <w:r>
        <w:rPr>
          <w:rFonts w:hint="eastAsia"/>
          <w:highlight w:val="none"/>
          <w:lang w:val="en-US" w:eastAsia="zh-CN"/>
        </w:rPr>
        <w:t>从实际消费市场角度分析，</w:t>
      </w:r>
      <w:r>
        <w:rPr>
          <w:rFonts w:hint="eastAsia"/>
          <w:highlight w:val="none"/>
        </w:rPr>
        <w:t>以2025年现有</w:t>
      </w:r>
      <w:r>
        <w:rPr>
          <w:rFonts w:hint="eastAsia"/>
          <w:highlight w:val="none"/>
          <w:lang w:val="en-US" w:eastAsia="zh-CN"/>
        </w:rPr>
        <w:t>*</w:t>
      </w:r>
      <w:r>
        <w:rPr>
          <w:rFonts w:hint="eastAsia"/>
          <w:highlight w:val="none"/>
        </w:rPr>
        <w:t>座加油站为基数，结合“十五五”期间</w:t>
      </w:r>
      <w:r>
        <w:rPr>
          <w:rFonts w:hint="eastAsia"/>
          <w:highlight w:val="none"/>
          <w:lang w:val="en-US" w:eastAsia="zh-CN"/>
        </w:rPr>
        <w:t>预测</w:t>
      </w:r>
      <w:r>
        <w:rPr>
          <w:rFonts w:hint="eastAsia"/>
          <w:highlight w:val="none"/>
        </w:rPr>
        <w:t>成品油销售量年均</w:t>
      </w:r>
      <w:r>
        <w:rPr>
          <w:rFonts w:hint="eastAsia"/>
          <w:highlight w:val="none"/>
          <w:lang w:val="en-US" w:eastAsia="zh-CN"/>
        </w:rPr>
        <w:t>*</w:t>
      </w:r>
      <w:r>
        <w:rPr>
          <w:rFonts w:hint="eastAsia"/>
          <w:highlight w:val="none"/>
        </w:rPr>
        <w:t>%的增长趋势</w:t>
      </w:r>
      <w:r>
        <w:rPr>
          <w:rFonts w:hint="eastAsia"/>
          <w:highlight w:val="none"/>
          <w:lang w:val="en-US" w:eastAsia="zh-CN"/>
        </w:rPr>
        <w:t>，设定加油站网点规模与成品油消费需求同步增长，维持现状单站服务辐射能力与运营负荷水平，匹配全域机动车通行、生产生活及物流运输用油需求。经复利测算，至2030年满足成品油消费需求的零售站点理论数量约*座，该测算方式依托实际用油消费数据，更贴合区域成品油实际流通及消费特征。</w:t>
      </w:r>
    </w:p>
    <w:p w14:paraId="5420CE4E">
      <w:pPr>
        <w:pStyle w:val="3"/>
        <w:rPr>
          <w:rFonts w:hint="default" w:ascii="Times New Roman Bold" w:hAnsi="Times New Roman Bold" w:eastAsia="黑体" w:cstheme="minorBidi"/>
          <w:szCs w:val="24"/>
          <w:highlight w:val="none"/>
          <w:lang w:val="en-US" w:eastAsia="zh-CN"/>
        </w:rPr>
      </w:pPr>
      <w:bookmarkStart w:id="88" w:name="_Toc4449"/>
      <w:bookmarkStart w:id="89" w:name="_Toc12867"/>
      <w:bookmarkStart w:id="90" w:name="_Toc27518"/>
      <w:bookmarkStart w:id="91" w:name="_Toc25182"/>
      <w:bookmarkStart w:id="92" w:name="_Toc25367"/>
      <w:r>
        <w:rPr>
          <w:rFonts w:hint="eastAsia" w:ascii="Times New Roman Bold" w:hAnsi="Times New Roman Bold" w:cstheme="minorBidi"/>
          <w:szCs w:val="24"/>
          <w:highlight w:val="none"/>
          <w:lang w:val="en-US" w:eastAsia="zh-CN"/>
        </w:rPr>
        <w:t>五、</w:t>
      </w:r>
      <w:r>
        <w:rPr>
          <w:rFonts w:hint="eastAsia" w:ascii="Times New Roman Bold" w:hAnsi="Times New Roman Bold" w:eastAsia="黑体" w:cstheme="minorBidi"/>
          <w:szCs w:val="24"/>
          <w:highlight w:val="none"/>
          <w:lang w:val="en-US" w:eastAsia="zh-CN"/>
        </w:rPr>
        <w:t>预测结论</w:t>
      </w:r>
      <w:bookmarkEnd w:id="88"/>
      <w:bookmarkEnd w:id="89"/>
      <w:bookmarkEnd w:id="90"/>
      <w:bookmarkEnd w:id="91"/>
      <w:bookmarkEnd w:id="92"/>
    </w:p>
    <w:p w14:paraId="6A61604A">
      <w:pPr>
        <w:spacing w:line="540" w:lineRule="exact"/>
        <w:rPr>
          <w:rFonts w:hint="eastAsia"/>
          <w:highlight w:val="none"/>
          <w:lang w:val="en-US" w:eastAsia="zh-CN"/>
        </w:rPr>
      </w:pPr>
      <w:r>
        <w:rPr>
          <w:rFonts w:hint="eastAsia"/>
          <w:highlight w:val="none"/>
          <w:lang w:val="en-US" w:eastAsia="zh-CN"/>
        </w:rPr>
        <w:t>本次分别从宏观经济增长和成品油消费需求两个维度开展加油站网点规模测算，两种方法测算逻辑相互印证、结果基本趋同。同时，加油站网点布局除受经济规模、油品消费量影响外，还与路网结构、地理区位、服务半径、城乡网点补盲等多重因素相关，理论测算仅反映刚性基础需求。综合考虑师市全域路网完善、机动车保有量提升、城乡服务覆盖均衡性以及行业适度超前布局的原则，同时为远期经济发展、新能源替代过渡期预留承载余量，建议2030年师市加油站总数控制提升至* 座。</w:t>
      </w:r>
    </w:p>
    <w:p w14:paraId="1BB65FE8">
      <w:pPr>
        <w:spacing w:line="540" w:lineRule="exact"/>
        <w:rPr>
          <w:rFonts w:hint="eastAsia" w:ascii="Times New Roman" w:hAnsi="Times New Roman" w:cstheme="minorBidi"/>
          <w:sz w:val="32"/>
          <w:szCs w:val="24"/>
          <w:lang w:val="en-US" w:eastAsia="zh-CN"/>
        </w:rPr>
      </w:pPr>
      <w:r>
        <w:rPr>
          <w:rFonts w:hint="eastAsia"/>
          <w:highlight w:val="none"/>
          <w:lang w:val="en-US" w:eastAsia="zh-CN"/>
        </w:rPr>
        <w:t>“十五五”期间规划新增加油站*座，其中包含续建 “十四五”期间未完工站点*座，既能够匹配规划期内成品油刚性消费需求，又可优化全域零售网络布局、完善便民服务配套。</w:t>
      </w:r>
      <w:r>
        <w:rPr>
          <w:rFonts w:hint="eastAsia" w:ascii="Times New Roman" w:hAnsi="Times New Roman" w:cstheme="minorBidi"/>
          <w:sz w:val="32"/>
          <w:szCs w:val="24"/>
          <w:lang w:val="en-US" w:eastAsia="zh-CN"/>
        </w:rPr>
        <w:br w:type="page"/>
      </w:r>
    </w:p>
    <w:p w14:paraId="2D50DA63">
      <w:pPr>
        <w:pStyle w:val="2"/>
        <w:keepNext w:val="0"/>
        <w:keepLines w:val="0"/>
        <w:pageBreakBefore w:val="0"/>
        <w:widowControl/>
        <w:kinsoku/>
        <w:wordWrap/>
        <w:overflowPunct/>
        <w:topLinePunct w:val="0"/>
        <w:autoSpaceDE/>
        <w:autoSpaceDN/>
        <w:bidi w:val="0"/>
        <w:adjustRightInd/>
        <w:snapToGrid/>
        <w:jc w:val="center"/>
        <w:textAlignment w:val="auto"/>
        <w:rPr>
          <w:rFonts w:hint="default"/>
          <w:lang w:val="en-US" w:eastAsia="zh-CN"/>
        </w:rPr>
      </w:pPr>
      <w:bookmarkStart w:id="93" w:name="_Toc25829"/>
      <w:bookmarkStart w:id="94" w:name="_Toc30366"/>
      <w:bookmarkStart w:id="95" w:name="_Toc14960"/>
      <w:bookmarkStart w:id="96" w:name="_Toc604"/>
      <w:r>
        <w:rPr>
          <w:rFonts w:hint="eastAsia"/>
          <w:lang w:val="en-US" w:eastAsia="zh-CN"/>
        </w:rPr>
        <w:t>第五章 空间布局</w:t>
      </w:r>
      <w:bookmarkEnd w:id="93"/>
      <w:bookmarkEnd w:id="94"/>
      <w:bookmarkEnd w:id="95"/>
      <w:bookmarkEnd w:id="96"/>
    </w:p>
    <w:p w14:paraId="1C5266DF">
      <w:pPr>
        <w:pStyle w:val="3"/>
        <w:bidi w:val="0"/>
        <w:rPr>
          <w:rFonts w:hint="eastAsia"/>
          <w:lang w:val="en-US" w:eastAsia="zh-CN"/>
        </w:rPr>
      </w:pPr>
      <w:bookmarkStart w:id="97" w:name="_Toc17594"/>
      <w:bookmarkStart w:id="98" w:name="_Toc25712"/>
      <w:bookmarkStart w:id="99" w:name="_Toc11868"/>
      <w:bookmarkStart w:id="100" w:name="_Toc15462"/>
      <w:bookmarkStart w:id="101" w:name="_Toc18922"/>
      <w:r>
        <w:rPr>
          <w:rFonts w:hint="eastAsia"/>
          <w:lang w:val="en-US" w:eastAsia="zh-CN"/>
        </w:rPr>
        <w:t>一、布局原则</w:t>
      </w:r>
      <w:bookmarkEnd w:id="97"/>
      <w:bookmarkEnd w:id="98"/>
      <w:bookmarkEnd w:id="99"/>
      <w:bookmarkEnd w:id="100"/>
      <w:bookmarkEnd w:id="101"/>
    </w:p>
    <w:p w14:paraId="51B88799">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lang w:val="en-US" w:eastAsia="zh-CN"/>
        </w:rPr>
      </w:pPr>
      <w:r>
        <w:rPr>
          <w:rFonts w:hint="default"/>
          <w:b/>
          <w:bCs/>
          <w:lang w:val="en-US" w:eastAsia="zh-CN"/>
        </w:rPr>
        <w:t>符合规划</w:t>
      </w:r>
      <w:r>
        <w:rPr>
          <w:rFonts w:hint="eastAsia"/>
          <w:b/>
          <w:bCs/>
          <w:lang w:val="en-US" w:eastAsia="zh-CN"/>
        </w:rPr>
        <w:t>原则</w:t>
      </w:r>
      <w:r>
        <w:rPr>
          <w:rFonts w:hint="default"/>
          <w:b/>
          <w:bCs/>
          <w:lang w:val="en-US" w:eastAsia="zh-CN"/>
        </w:rPr>
        <w:t>。</w:t>
      </w:r>
      <w:r>
        <w:rPr>
          <w:rFonts w:hint="default"/>
          <w:lang w:val="en-US" w:eastAsia="zh-CN"/>
        </w:rPr>
        <w:t>按照国家有关规范标准，加油站选址设置应符合</w:t>
      </w:r>
      <w:r>
        <w:rPr>
          <w:rFonts w:hint="eastAsia"/>
          <w:lang w:val="en-US" w:eastAsia="zh-CN"/>
        </w:rPr>
        <w:t>师市</w:t>
      </w:r>
      <w:r>
        <w:rPr>
          <w:rFonts w:hint="default"/>
          <w:lang w:val="en-US" w:eastAsia="zh-CN"/>
        </w:rPr>
        <w:t>国土空间总体规划、片区控制性详细规划、道路交通等专项规划，满足环境保护和防火安全要求，并应选在交通便利的地方。</w:t>
      </w:r>
    </w:p>
    <w:p w14:paraId="01406B71">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lang w:val="en-US" w:eastAsia="zh-CN"/>
        </w:rPr>
      </w:pPr>
      <w:r>
        <w:rPr>
          <w:rFonts w:hint="default"/>
          <w:b/>
          <w:bCs/>
          <w:lang w:val="en-US" w:eastAsia="zh-CN"/>
        </w:rPr>
        <w:t>合理设置</w:t>
      </w:r>
      <w:r>
        <w:rPr>
          <w:rFonts w:hint="eastAsia"/>
          <w:b/>
          <w:bCs/>
          <w:lang w:val="en-US" w:eastAsia="zh-CN"/>
        </w:rPr>
        <w:t>原则</w:t>
      </w:r>
      <w:r>
        <w:rPr>
          <w:rFonts w:hint="default"/>
          <w:b/>
          <w:bCs/>
          <w:lang w:val="en-US" w:eastAsia="zh-CN"/>
        </w:rPr>
        <w:t>。</w:t>
      </w:r>
      <w:r>
        <w:rPr>
          <w:rFonts w:hint="default"/>
          <w:lang w:val="en-US" w:eastAsia="zh-CN"/>
        </w:rPr>
        <w:t>城市建成区内</w:t>
      </w:r>
      <w:r>
        <w:rPr>
          <w:rFonts w:hint="default"/>
          <w:lang w:val="en-US" w:eastAsia="zh-Hans"/>
        </w:rPr>
        <w:t>的</w:t>
      </w:r>
      <w:r>
        <w:rPr>
          <w:rFonts w:hint="default"/>
          <w:lang w:val="en-US" w:eastAsia="zh-CN"/>
        </w:rPr>
        <w:t>加油</w:t>
      </w:r>
      <w:r>
        <w:rPr>
          <w:rFonts w:hint="default"/>
          <w:lang w:val="en-US" w:eastAsia="zh-Hans"/>
        </w:rPr>
        <w:t>站</w:t>
      </w:r>
      <w:r>
        <w:rPr>
          <w:rFonts w:hint="default"/>
          <w:lang w:val="en-US" w:eastAsia="zh-CN"/>
        </w:rPr>
        <w:t>，宜靠近城市道路，但不宜选在城市干道的交叉路口附近；郊区站应靠近主要公路或城镇交通出入口附近；站址一般布置在主要车辆流向的右侧，在重要的交通走廊、出入节点路段两侧及双向车流量较大区域，允许成对设置加油站（建议按照同一个许可证编号进行建设和管理）。</w:t>
      </w:r>
    </w:p>
    <w:p w14:paraId="429456A7">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b w:val="0"/>
          <w:bCs w:val="0"/>
          <w:lang w:val="en-US" w:eastAsia="zh-CN"/>
        </w:rPr>
      </w:pPr>
      <w:r>
        <w:rPr>
          <w:rFonts w:hint="eastAsia"/>
          <w:b/>
          <w:bCs/>
          <w:lang w:val="en-US" w:eastAsia="zh-CN"/>
        </w:rPr>
        <w:t>均衡布置原则。</w:t>
      </w:r>
      <w:r>
        <w:rPr>
          <w:rFonts w:hint="eastAsia"/>
          <w:b w:val="0"/>
          <w:bCs w:val="0"/>
        </w:rPr>
        <w:t>根据加油站的服务特性，规划布局要遵循“面线结合、</w:t>
      </w:r>
      <w:r>
        <w:rPr>
          <w:rFonts w:hint="eastAsia"/>
          <w:b w:val="0"/>
          <w:bCs w:val="0"/>
          <w:lang w:eastAsia="zh-CN"/>
        </w:rPr>
        <w:t>均衡</w:t>
      </w:r>
      <w:r>
        <w:rPr>
          <w:rFonts w:hint="eastAsia"/>
          <w:b w:val="0"/>
          <w:bCs w:val="0"/>
        </w:rPr>
        <w:t>布置”的原则。中心城区规划加油站按“面”考虑，以服务半径为控制指标，国道、省道以及其他等级的道路按“线</w:t>
      </w:r>
      <w:r>
        <w:rPr>
          <w:rFonts w:hint="eastAsia"/>
          <w:b w:val="0"/>
          <w:bCs w:val="0"/>
          <w:lang w:eastAsia="zh-CN"/>
        </w:rPr>
        <w:t>”</w:t>
      </w:r>
      <w:r>
        <w:rPr>
          <w:rFonts w:hint="eastAsia"/>
          <w:b w:val="0"/>
          <w:bCs w:val="0"/>
        </w:rPr>
        <w:t>考虑。</w:t>
      </w:r>
    </w:p>
    <w:p w14:paraId="091AE814">
      <w:pPr>
        <w:keepNext w:val="0"/>
        <w:keepLines w:val="0"/>
        <w:pageBreakBefore w:val="0"/>
        <w:widowControl w:val="0"/>
        <w:kinsoku/>
        <w:wordWrap/>
        <w:overflowPunct w:val="0"/>
        <w:topLinePunct w:val="0"/>
        <w:autoSpaceDE/>
        <w:autoSpaceDN/>
        <w:bidi w:val="0"/>
        <w:adjustRightInd/>
        <w:snapToGrid/>
        <w:spacing w:line="600" w:lineRule="exact"/>
        <w:textAlignment w:val="auto"/>
        <w:rPr>
          <w:rFonts w:hint="default"/>
        </w:rPr>
      </w:pPr>
      <w:r>
        <w:rPr>
          <w:rFonts w:hint="default"/>
          <w:b/>
          <w:bCs/>
          <w:lang w:val="en-US" w:eastAsia="zh-CN"/>
        </w:rPr>
        <w:t>安全</w:t>
      </w:r>
      <w:r>
        <w:rPr>
          <w:rFonts w:hint="eastAsia"/>
          <w:b/>
          <w:bCs/>
          <w:lang w:val="en-US" w:eastAsia="zh-CN"/>
        </w:rPr>
        <w:t>合规</w:t>
      </w:r>
      <w:r>
        <w:rPr>
          <w:rFonts w:hint="default"/>
          <w:b/>
          <w:bCs/>
          <w:lang w:val="en-US" w:eastAsia="zh-CN"/>
        </w:rPr>
        <w:t>原则。</w:t>
      </w:r>
      <w:r>
        <w:rPr>
          <w:rFonts w:hint="default"/>
          <w:lang w:val="en-US" w:eastAsia="zh-CN"/>
        </w:rPr>
        <w:t>加油站</w:t>
      </w:r>
      <w:r>
        <w:rPr>
          <w:rFonts w:hint="default"/>
        </w:rPr>
        <w:t>具有交通、商业服务和危险设施三重属性</w:t>
      </w:r>
      <w:r>
        <w:rPr>
          <w:rFonts w:hint="eastAsia"/>
          <w:lang w:eastAsia="zh-CN"/>
        </w:rPr>
        <w:t>，布局需</w:t>
      </w:r>
      <w:r>
        <w:rPr>
          <w:rFonts w:hint="eastAsia"/>
          <w:lang w:val="en-US" w:eastAsia="zh-CN"/>
        </w:rPr>
        <w:t>遵守</w:t>
      </w:r>
      <w:r>
        <w:rPr>
          <w:rFonts w:hint="eastAsia"/>
          <w:lang w:eastAsia="zh-CN"/>
        </w:rPr>
        <w:t>“主动避让、合规建设”</w:t>
      </w:r>
      <w:r>
        <w:rPr>
          <w:rFonts w:hint="default"/>
        </w:rPr>
        <w:t>。主动避开人流密集区及重要建筑（商业街、文化中心、文物古迹、学校、医院等）、城市景观道路及风景区、工业园区等封闭区域；远离煤气站、变电所等易燃易爆高风险基础设施，以及人防出入口、地下管道等地下构筑物。加油（气、氢）及合建站设施，与站外建（构）筑物的安全间距需符合《汽车加油加气加氢站技术标准》（GB50156-2021）、《加氢站安全技术规范》（GB/T34584-2017）；与充电站合建时，充电工艺设施防火距离应满足GB50016、GB5099规定；化工园区及企业配套站，还需符合《化工园区危险品运输车辆停车场建设标准》（T/CPCIF 0050-2020）、《橇装式汽车加油站技术标准》（SH/T 3134-2023）全部要求。</w:t>
      </w:r>
    </w:p>
    <w:p w14:paraId="66D5F41D">
      <w:pPr>
        <w:ind w:firstLine="640"/>
        <w:rPr>
          <w:rFonts w:hint="default"/>
        </w:rPr>
      </w:pPr>
      <w:r>
        <w:rPr>
          <w:rFonts w:hint="default"/>
          <w:b/>
          <w:bCs/>
          <w:lang w:val="en-US" w:eastAsia="zh-CN"/>
        </w:rPr>
        <w:t>环境友好</w:t>
      </w:r>
      <w:r>
        <w:rPr>
          <w:rFonts w:hint="eastAsia"/>
          <w:b/>
          <w:bCs/>
          <w:lang w:val="en-US" w:eastAsia="zh-CN"/>
        </w:rPr>
        <w:t>原则</w:t>
      </w:r>
      <w:r>
        <w:rPr>
          <w:rFonts w:hint="default"/>
          <w:b/>
          <w:bCs/>
          <w:lang w:val="en-US" w:eastAsia="zh-CN"/>
        </w:rPr>
        <w:t>。</w:t>
      </w:r>
      <w:r>
        <w:rPr>
          <w:rFonts w:hint="default"/>
          <w:lang w:val="en-US" w:eastAsia="zh-CN"/>
        </w:rPr>
        <w:t>加油站</w:t>
      </w:r>
      <w:r>
        <w:rPr>
          <w:rFonts w:hint="default"/>
        </w:rPr>
        <w:t>布点时要避开环境要求较高的地段，站址选择需满足生态保护红线、环境质量底线、资源利用</w:t>
      </w:r>
      <w:r>
        <w:rPr>
          <w:rFonts w:hint="eastAsia"/>
          <w:lang w:eastAsia="zh-CN"/>
        </w:rPr>
        <w:t>上限</w:t>
      </w:r>
      <w:r>
        <w:rPr>
          <w:rFonts w:hint="default"/>
        </w:rPr>
        <w:t>和生态环境准入清单等“三线一单”的管控要求，加油站施建、日常运营以及应急处置过程中</w:t>
      </w:r>
      <w:r>
        <w:rPr>
          <w:rFonts w:hint="default"/>
          <w:lang w:val="en-US" w:eastAsia="zh-CN"/>
        </w:rPr>
        <w:t>须严格遵守</w:t>
      </w:r>
      <w:r>
        <w:rPr>
          <w:rFonts w:hint="default"/>
        </w:rPr>
        <w:t>《加油站地下水污染防治技术指南（试行）》和《加油站大气污染物排放标准》（GB20952-2020）</w:t>
      </w:r>
      <w:r>
        <w:rPr>
          <w:rFonts w:hint="default"/>
          <w:lang w:eastAsia="zh-CN"/>
        </w:rPr>
        <w:t>、</w:t>
      </w:r>
      <w:r>
        <w:rPr>
          <w:rFonts w:hint="default"/>
        </w:rPr>
        <w:t>《汽车加油加气加氢站技术标准》（GB50156-2021）、《爆炸危险环境电力装置设计规范》（GB50058-2014）、《储油库、加油站大气污染治理项目验收检测技术规范》（HJ/T431-2008）、《排污单位自行监测技术指南总则》（HJ819）、《排污许可证申请与核发技术规范储油库、加油站》（HJ1118）</w:t>
      </w:r>
      <w:r>
        <w:rPr>
          <w:rFonts w:hint="default"/>
          <w:lang w:eastAsia="zh-CN"/>
        </w:rPr>
        <w:t>等</w:t>
      </w:r>
      <w:r>
        <w:rPr>
          <w:rFonts w:hint="default"/>
        </w:rPr>
        <w:t>相关要求。</w:t>
      </w:r>
      <w:r>
        <w:rPr>
          <w:rFonts w:hint="default"/>
          <w:lang w:val="en-US" w:eastAsia="zh-CN"/>
        </w:rPr>
        <w:t>所有</w:t>
      </w:r>
      <w:r>
        <w:rPr>
          <w:rFonts w:hint="default"/>
        </w:rPr>
        <w:t>加油站必须安装油气回收治理和在线监测设施，并与生态环境部门稳定联网，严控油品（包括含醇汽油）装卸、储存和加油过程中油气污染排放，切实减少挥发性有机物排放量，有效防治臭氧污染，做到经济效益和生态效益相统一、相促进</w:t>
      </w:r>
      <w:r>
        <w:rPr>
          <w:rFonts w:hint="default"/>
          <w:lang w:eastAsia="zh-CN"/>
        </w:rPr>
        <w:t>。</w:t>
      </w:r>
    </w:p>
    <w:p w14:paraId="7ABBB4FB">
      <w:pPr>
        <w:ind w:firstLine="643"/>
        <w:rPr>
          <w:rFonts w:hint="default"/>
          <w:lang w:val="en-US" w:eastAsia="zh-CN"/>
        </w:rPr>
      </w:pPr>
      <w:r>
        <w:rPr>
          <w:rFonts w:hint="default"/>
          <w:b/>
          <w:bCs/>
          <w:lang w:val="en-US" w:eastAsia="zh-CN"/>
        </w:rPr>
        <w:t>综合规划。</w:t>
      </w:r>
      <w:r>
        <w:rPr>
          <w:rFonts w:hint="default"/>
        </w:rPr>
        <w:t>根据</w:t>
      </w:r>
      <w:r>
        <w:rPr>
          <w:rFonts w:hint="default"/>
          <w:lang w:val="en-US" w:eastAsia="zh-CN"/>
        </w:rPr>
        <w:t>第五师双河市</w:t>
      </w:r>
      <w:r>
        <w:rPr>
          <w:rFonts w:hint="default"/>
        </w:rPr>
        <w:t>经济社会发展和</w:t>
      </w:r>
      <w:r>
        <w:rPr>
          <w:rFonts w:hint="default"/>
          <w:lang w:val="en-US" w:eastAsia="zh-CN"/>
        </w:rPr>
        <w:t>成品油</w:t>
      </w:r>
      <w:r>
        <w:rPr>
          <w:rFonts w:hint="default"/>
        </w:rPr>
        <w:t>零售市场发展需要，在新建、改建和扩建加油站时，</w:t>
      </w:r>
      <w:r>
        <w:rPr>
          <w:rFonts w:hint="default"/>
          <w:lang w:val="en-US" w:eastAsia="zh-CN"/>
        </w:rPr>
        <w:t>建议</w:t>
      </w:r>
      <w:r>
        <w:rPr>
          <w:rFonts w:hint="default"/>
        </w:rPr>
        <w:t>将充电桩、加气站等设施设备统筹规划，协调两者关系，既要充分发挥加油站的市场主导作用，也要积极促进充电桩、加气站等新型车用燃料加注站的健康有序发展，大力推进综合服务站点布局建设。</w:t>
      </w:r>
    </w:p>
    <w:p w14:paraId="0C7A8846">
      <w:pPr>
        <w:pStyle w:val="3"/>
        <w:bidi w:val="0"/>
        <w:rPr>
          <w:rFonts w:hint="eastAsia"/>
          <w:highlight w:val="none"/>
          <w:lang w:val="en-US" w:eastAsia="zh-CN"/>
        </w:rPr>
      </w:pPr>
      <w:bookmarkStart w:id="102" w:name="_Toc11593"/>
      <w:bookmarkStart w:id="103" w:name="_Toc10211"/>
      <w:bookmarkStart w:id="104" w:name="_Toc25638"/>
      <w:bookmarkStart w:id="105" w:name="_Toc18774"/>
      <w:bookmarkStart w:id="106" w:name="_Toc23502"/>
      <w:r>
        <w:rPr>
          <w:rFonts w:hint="eastAsia"/>
          <w:highlight w:val="none"/>
          <w:lang w:val="en-US" w:eastAsia="zh-CN"/>
        </w:rPr>
        <w:t>二、</w:t>
      </w:r>
      <w:bookmarkEnd w:id="102"/>
      <w:r>
        <w:rPr>
          <w:rFonts w:hint="eastAsia"/>
          <w:highlight w:val="none"/>
          <w:lang w:val="en-US" w:eastAsia="zh-CN"/>
        </w:rPr>
        <w:t>总体布局方案</w:t>
      </w:r>
      <w:bookmarkEnd w:id="103"/>
      <w:bookmarkEnd w:id="104"/>
      <w:bookmarkEnd w:id="105"/>
      <w:bookmarkEnd w:id="106"/>
    </w:p>
    <w:p w14:paraId="6921B223">
      <w:pPr>
        <w:bidi w:val="0"/>
        <w:rPr>
          <w:rFonts w:hint="default"/>
          <w:highlight w:val="none"/>
        </w:rPr>
      </w:pPr>
      <w:r>
        <w:rPr>
          <w:rFonts w:hint="default"/>
          <w:highlight w:val="none"/>
          <w:lang w:val="en-US" w:eastAsia="zh-CN"/>
        </w:rPr>
        <w:t>规划至2030年，</w:t>
      </w:r>
      <w:r>
        <w:rPr>
          <w:rFonts w:hint="default"/>
          <w:highlight w:val="none"/>
        </w:rPr>
        <w:t>师市</w:t>
      </w:r>
      <w:r>
        <w:rPr>
          <w:rFonts w:hint="eastAsia"/>
          <w:highlight w:val="none"/>
          <w:lang w:val="en-US" w:eastAsia="zh-CN"/>
        </w:rPr>
        <w:t>加油站点总数控制在*座，其中保留现状建成站点*座、“十五五”期间</w:t>
      </w:r>
      <w:r>
        <w:rPr>
          <w:rFonts w:hint="default"/>
          <w:highlight w:val="none"/>
        </w:rPr>
        <w:t>新建站点</w:t>
      </w:r>
      <w:r>
        <w:rPr>
          <w:rFonts w:hint="eastAsia"/>
          <w:highlight w:val="none"/>
          <w:lang w:val="en-US" w:eastAsia="zh-CN"/>
        </w:rPr>
        <w:t>*</w:t>
      </w:r>
      <w:r>
        <w:rPr>
          <w:rFonts w:hint="default"/>
          <w:highlight w:val="none"/>
        </w:rPr>
        <w:t>座，</w:t>
      </w:r>
      <w:r>
        <w:rPr>
          <w:rFonts w:hint="eastAsia"/>
          <w:highlight w:val="none"/>
          <w:lang w:val="en-US" w:eastAsia="zh-CN"/>
        </w:rPr>
        <w:t>包括</w:t>
      </w:r>
      <w:r>
        <w:rPr>
          <w:rFonts w:hint="default"/>
          <w:highlight w:val="none"/>
        </w:rPr>
        <w:t>续建“十四五”期间未完成建设站点</w:t>
      </w:r>
      <w:r>
        <w:rPr>
          <w:rFonts w:hint="eastAsia"/>
          <w:highlight w:val="none"/>
          <w:lang w:val="en-US" w:eastAsia="zh-CN"/>
        </w:rPr>
        <w:t>*</w:t>
      </w:r>
      <w:r>
        <w:rPr>
          <w:rFonts w:hint="default"/>
          <w:highlight w:val="none"/>
        </w:rPr>
        <w:t>座。</w:t>
      </w:r>
    </w:p>
    <w:p w14:paraId="40E79ACB">
      <w:pPr>
        <w:bidi w:val="0"/>
        <w:rPr>
          <w:rFonts w:hint="eastAsia"/>
          <w:highlight w:val="none"/>
          <w:lang w:val="en-US" w:eastAsia="zh-CN"/>
        </w:rPr>
      </w:pPr>
      <w:r>
        <w:rPr>
          <w:rFonts w:hint="default"/>
          <w:highlight w:val="none"/>
          <w:lang w:val="en-US" w:eastAsia="zh-CN"/>
        </w:rPr>
        <w:t>新增及改扩建站点选址充分考量第五师双河市国土空间总体规划、各团场国</w:t>
      </w:r>
      <w:r>
        <w:rPr>
          <w:rFonts w:hint="eastAsia"/>
          <w:highlight w:val="none"/>
          <w:lang w:val="en-US" w:eastAsia="zh-CN"/>
        </w:rPr>
        <w:t>土空间总体规划、各园区总体规划、“三区三线”等上位规划条件，为便于规划实施和空间弹性控制，对于控规已编制的加油站地块按控规的分图则进行落实，控规未编制的加油站地块允许其在一定范围内移动，但必须符合加油站选址及服务半径的要求。</w:t>
      </w:r>
    </w:p>
    <w:p w14:paraId="79748FF7">
      <w:pPr>
        <w:bidi w:val="0"/>
        <w:rPr>
          <w:rFonts w:hint="eastAsia"/>
          <w:highlight w:val="none"/>
          <w:lang w:val="en-US" w:eastAsia="zh-CN"/>
        </w:rPr>
      </w:pPr>
      <w:r>
        <w:rPr>
          <w:rFonts w:hint="eastAsia"/>
          <w:highlight w:val="none"/>
          <w:lang w:val="en-US" w:eastAsia="zh-CN"/>
        </w:rPr>
        <w:t>新建站点用地性质为商业用地、建设用地、未利用地、荒地，均未超出城镇开发边界；改扩建后的加油加气站点，其消防规划及配套设施相应进行同步提升。</w:t>
      </w:r>
    </w:p>
    <w:p w14:paraId="549001F1">
      <w:pPr>
        <w:bidi w:val="0"/>
        <w:rPr>
          <w:rFonts w:hint="default"/>
          <w:highlight w:val="none"/>
        </w:rPr>
      </w:pPr>
      <w:r>
        <w:rPr>
          <w:rFonts w:hint="eastAsia"/>
          <w:highlight w:val="none"/>
          <w:lang w:val="en-US" w:eastAsia="zh-CN"/>
        </w:rPr>
        <w:t>根据加油站点规划目标、原则、标准、选址及规模要求，结合第五师双河市加油站点布局现状情况、需求预测以及路网规划建设等情况根据加油站点规划目标、原则、标准、选址及规模要求，“十五五”期间</w:t>
      </w:r>
      <w:r>
        <w:rPr>
          <w:rFonts w:hint="default"/>
          <w:highlight w:val="none"/>
        </w:rPr>
        <w:t>师市规划</w:t>
      </w:r>
      <w:r>
        <w:rPr>
          <w:rFonts w:hint="eastAsia"/>
          <w:highlight w:val="none"/>
          <w:lang w:val="en-US" w:eastAsia="zh-CN"/>
        </w:rPr>
        <w:t>新增12</w:t>
      </w:r>
      <w:r>
        <w:rPr>
          <w:rFonts w:hint="default"/>
          <w:highlight w:val="none"/>
        </w:rPr>
        <w:t>座站点，</w:t>
      </w:r>
      <w:r>
        <w:rPr>
          <w:rFonts w:hint="eastAsia"/>
          <w:highlight w:val="none"/>
          <w:lang w:val="en-US" w:eastAsia="zh-CN"/>
        </w:rPr>
        <w:t>包括</w:t>
      </w:r>
      <w:r>
        <w:rPr>
          <w:rFonts w:hint="default"/>
          <w:highlight w:val="none"/>
        </w:rPr>
        <w:t>续建“十四五”期间未完成建设站点</w:t>
      </w:r>
      <w:r>
        <w:rPr>
          <w:rFonts w:hint="eastAsia"/>
          <w:highlight w:val="none"/>
          <w:lang w:eastAsia="zh-CN"/>
        </w:rPr>
        <w:t>2</w:t>
      </w:r>
      <w:r>
        <w:rPr>
          <w:rFonts w:hint="default"/>
          <w:highlight w:val="none"/>
        </w:rPr>
        <w:t>座。</w:t>
      </w:r>
    </w:p>
    <w:p w14:paraId="335D7EC9">
      <w:pPr>
        <w:rPr>
          <w:rFonts w:hint="default"/>
          <w:highlight w:val="none"/>
          <w:lang w:val="en-US" w:eastAsia="zh-CN"/>
        </w:rPr>
      </w:pPr>
      <w:r>
        <w:rPr>
          <w:rFonts w:hint="eastAsia"/>
          <w:highlight w:val="none"/>
          <w:lang w:val="en-US" w:eastAsia="zh-CN"/>
        </w:rPr>
        <w:t>81团新建站点2座；</w:t>
      </w:r>
    </w:p>
    <w:p w14:paraId="7EBF28AB">
      <w:pPr>
        <w:rPr>
          <w:rFonts w:hint="eastAsia"/>
          <w:highlight w:val="none"/>
          <w:lang w:val="en-US" w:eastAsia="zh-CN"/>
        </w:rPr>
      </w:pPr>
      <w:r>
        <w:rPr>
          <w:rFonts w:hint="eastAsia"/>
          <w:highlight w:val="none"/>
          <w:lang w:val="en-US" w:eastAsia="zh-CN"/>
        </w:rPr>
        <w:t>84团新建站点2座；</w:t>
      </w:r>
    </w:p>
    <w:p w14:paraId="02D80CC1">
      <w:pPr>
        <w:rPr>
          <w:rFonts w:hint="default"/>
          <w:highlight w:val="none"/>
          <w:lang w:val="en-US" w:eastAsia="zh-CN"/>
        </w:rPr>
      </w:pPr>
      <w:r>
        <w:rPr>
          <w:rFonts w:hint="eastAsia"/>
          <w:highlight w:val="none"/>
          <w:lang w:val="en-US" w:eastAsia="zh-CN"/>
        </w:rPr>
        <w:t>86团新建站点1座、续建站点1座；</w:t>
      </w:r>
    </w:p>
    <w:p w14:paraId="60763B48">
      <w:pPr>
        <w:rPr>
          <w:rFonts w:hint="default"/>
          <w:highlight w:val="none"/>
          <w:lang w:val="en-US" w:eastAsia="zh-CN"/>
        </w:rPr>
      </w:pPr>
      <w:r>
        <w:rPr>
          <w:rFonts w:hint="eastAsia"/>
          <w:highlight w:val="none"/>
          <w:lang w:val="en-US" w:eastAsia="zh-CN"/>
        </w:rPr>
        <w:t>87团新建站点1座；</w:t>
      </w:r>
    </w:p>
    <w:p w14:paraId="4020B03B">
      <w:pPr>
        <w:rPr>
          <w:rFonts w:hint="eastAsia"/>
          <w:highlight w:val="none"/>
          <w:lang w:val="en-US" w:eastAsia="zh-CN"/>
        </w:rPr>
      </w:pPr>
      <w:r>
        <w:rPr>
          <w:rFonts w:hint="eastAsia"/>
          <w:highlight w:val="none"/>
          <w:lang w:val="en-US" w:eastAsia="zh-CN"/>
        </w:rPr>
        <w:t>89团新建站点1座；</w:t>
      </w:r>
    </w:p>
    <w:p w14:paraId="09F41E58">
      <w:pPr>
        <w:rPr>
          <w:rFonts w:hint="default"/>
          <w:highlight w:val="none"/>
          <w:lang w:val="en-US" w:eastAsia="zh-CN"/>
        </w:rPr>
      </w:pPr>
      <w:r>
        <w:rPr>
          <w:rFonts w:hint="eastAsia"/>
          <w:highlight w:val="none"/>
          <w:lang w:val="en-US" w:eastAsia="zh-CN"/>
        </w:rPr>
        <w:t>90团新建站点1座；</w:t>
      </w:r>
    </w:p>
    <w:p w14:paraId="1DAEC46D">
      <w:pPr>
        <w:rPr>
          <w:rFonts w:hint="eastAsia"/>
          <w:highlight w:val="none"/>
          <w:lang w:val="en-US" w:eastAsia="zh-CN"/>
        </w:rPr>
      </w:pPr>
      <w:r>
        <w:rPr>
          <w:rFonts w:hint="eastAsia"/>
          <w:highlight w:val="none"/>
          <w:lang w:val="en-US" w:eastAsia="zh-CN"/>
        </w:rPr>
        <w:t>91团新建站点2座；</w:t>
      </w:r>
    </w:p>
    <w:p w14:paraId="6F69E268">
      <w:pPr>
        <w:rPr>
          <w:rFonts w:hint="eastAsia"/>
          <w:highlight w:val="none"/>
          <w:lang w:val="en-US" w:eastAsia="zh-CN"/>
        </w:rPr>
      </w:pPr>
      <w:r>
        <w:rPr>
          <w:rFonts w:hint="eastAsia"/>
          <w:highlight w:val="none"/>
          <w:lang w:val="en-US" w:eastAsia="zh-CN"/>
        </w:rPr>
        <w:t>双河市续建站点1座。</w:t>
      </w:r>
    </w:p>
    <w:p w14:paraId="2D8A3D8F">
      <w:pPr>
        <w:rPr>
          <w:rFonts w:hint="eastAsia"/>
          <w:highlight w:val="none"/>
          <w:lang w:val="en-US" w:eastAsia="zh-CN"/>
        </w:rPr>
      </w:pPr>
    </w:p>
    <w:p w14:paraId="60BADCB3">
      <w:pPr>
        <w:rPr>
          <w:rFonts w:hint="eastAsia"/>
          <w:highlight w:val="none"/>
          <w:lang w:val="en-US" w:eastAsia="zh-CN"/>
        </w:rPr>
      </w:pPr>
    </w:p>
    <w:p w14:paraId="7CC624AB">
      <w:pPr>
        <w:rPr>
          <w:rFonts w:hint="eastAsia"/>
          <w:highlight w:val="none"/>
          <w:lang w:val="en-US" w:eastAsia="zh-CN"/>
        </w:rPr>
      </w:pPr>
    </w:p>
    <w:p w14:paraId="737C649C">
      <w:pPr>
        <w:rPr>
          <w:rFonts w:hint="eastAsia"/>
          <w:highlight w:val="none"/>
          <w:lang w:val="en-US" w:eastAsia="zh-CN"/>
        </w:rPr>
      </w:pPr>
    </w:p>
    <w:p w14:paraId="1D3840AD">
      <w:pPr>
        <w:rPr>
          <w:rFonts w:hint="eastAsia"/>
          <w:highlight w:val="none"/>
          <w:lang w:val="en-US" w:eastAsia="zh-CN"/>
        </w:rPr>
      </w:pPr>
    </w:p>
    <w:p w14:paraId="630DE746">
      <w:pPr>
        <w:rPr>
          <w:rFonts w:hint="eastAsia"/>
          <w:highlight w:val="none"/>
          <w:lang w:val="en-US" w:eastAsia="zh-CN"/>
        </w:rPr>
      </w:pPr>
    </w:p>
    <w:p w14:paraId="14F93213">
      <w:pPr>
        <w:rPr>
          <w:rFonts w:hint="eastAsia"/>
          <w:highlight w:val="none"/>
          <w:lang w:val="en-US" w:eastAsia="zh-CN"/>
        </w:rPr>
      </w:pPr>
    </w:p>
    <w:p w14:paraId="1DAEE031">
      <w:pPr>
        <w:rPr>
          <w:rFonts w:hint="eastAsia"/>
          <w:highlight w:val="none"/>
          <w:lang w:val="en-US" w:eastAsia="zh-CN"/>
        </w:rPr>
      </w:pPr>
    </w:p>
    <w:p w14:paraId="6B80B7AD">
      <w:pPr>
        <w:rPr>
          <w:rFonts w:hint="eastAsia"/>
          <w:highlight w:val="none"/>
          <w:lang w:val="en-US" w:eastAsia="zh-CN"/>
        </w:rPr>
      </w:pPr>
    </w:p>
    <w:p w14:paraId="48611433">
      <w:pPr>
        <w:bidi w:val="0"/>
        <w:ind w:left="0" w:leftChars="0" w:firstLine="0" w:firstLineChars="0"/>
        <w:jc w:val="center"/>
        <w:rPr>
          <w:rFonts w:hint="eastAsia" w:ascii="黑体" w:hAnsi="黑体" w:eastAsia="黑体" w:cs="黑体"/>
          <w:sz w:val="28"/>
          <w:szCs w:val="28"/>
          <w:highlight w:val="none"/>
          <w:lang w:val="en-US" w:eastAsia="zh-CN"/>
        </w:rPr>
      </w:pPr>
      <w:bookmarkStart w:id="107" w:name="_Toc12764"/>
      <w:bookmarkStart w:id="108" w:name="_Toc16273"/>
      <w:r>
        <w:rPr>
          <w:rFonts w:hint="eastAsia" w:ascii="黑体" w:hAnsi="黑体" w:eastAsia="黑体" w:cs="黑体"/>
          <w:sz w:val="28"/>
          <w:szCs w:val="28"/>
          <w:highlight w:val="none"/>
          <w:lang w:val="en-US" w:eastAsia="zh-CN"/>
        </w:rPr>
        <w:t>表5-1 第五师双河市成品油零售体系“十五五”规划站点明细表</w:t>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9"/>
        <w:gridCol w:w="2436"/>
        <w:gridCol w:w="4788"/>
        <w:gridCol w:w="1025"/>
      </w:tblGrid>
      <w:tr w14:paraId="3052B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blHeader/>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8690">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序号</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CA74">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加油站（点）名称</w:t>
            </w:r>
          </w:p>
        </w:tc>
        <w:tc>
          <w:tcPr>
            <w:tcW w:w="2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A7C9">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地址</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6B21">
            <w:pPr>
              <w:pStyle w:val="29"/>
              <w:wordWrap/>
              <w:overflowPunct/>
              <w:bidi w:val="0"/>
              <w:spacing w:line="360" w:lineRule="auto"/>
              <w:ind w:firstLine="0" w:firstLineChars="0"/>
              <w:rPr>
                <w:rFonts w:hint="eastAsia" w:ascii="Times New Roman" w:hAnsi="Times New Roman" w:eastAsia="仿宋_GB2312" w:cs="Times New Roman"/>
                <w:b/>
                <w:bCs/>
                <w:kern w:val="2"/>
                <w:sz w:val="24"/>
                <w:szCs w:val="24"/>
                <w:lang w:val="en-US" w:eastAsia="zh-CN" w:bidi="ar-SA"/>
              </w:rPr>
            </w:pPr>
            <w:r>
              <w:rPr>
                <w:rFonts w:hint="eastAsia" w:ascii="Times New Roman" w:hAnsi="Times New Roman" w:cs="Times New Roman"/>
                <w:b/>
                <w:bCs/>
                <w:lang w:val="en-US" w:eastAsia="zh-CN"/>
              </w:rPr>
              <w:t>备注</w:t>
            </w:r>
          </w:p>
        </w:tc>
      </w:tr>
      <w:tr w14:paraId="3E7F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4AF9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2A95">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kern w:val="2"/>
                <w:sz w:val="24"/>
                <w:szCs w:val="24"/>
                <w:shd w:val="clear"/>
                <w:lang w:val="en-US" w:eastAsia="zh-CN" w:bidi="ar-SA"/>
              </w:rPr>
              <w:t>81团12连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A4D7">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spacing w:val="0"/>
                <w:kern w:val="2"/>
                <w:sz w:val="24"/>
                <w:szCs w:val="24"/>
                <w:shd w:val="clear"/>
                <w:vertAlign w:val="baseline"/>
                <w:lang w:val="en-US" w:eastAsia="zh-CN" w:bidi="ar-SA"/>
              </w:rPr>
              <w:t>81团12连办公室南侧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AF6A">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3CB6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D2F4B">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2</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6B4E">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81团6连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015C">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6连</w:t>
            </w:r>
            <w:r>
              <w:rPr>
                <w:rFonts w:hint="eastAsia" w:cs="Times New Roman"/>
                <w:b w:val="0"/>
                <w:bCs w:val="0"/>
                <w:lang w:val="en-US" w:eastAsia="zh-CN"/>
              </w:rPr>
              <w:t>连</w:t>
            </w:r>
            <w:r>
              <w:rPr>
                <w:rFonts w:hint="eastAsia" w:ascii="Times New Roman" w:hAnsi="Times New Roman" w:cs="Times New Roman"/>
                <w:b w:val="0"/>
                <w:bCs w:val="0"/>
                <w:lang w:val="en-US" w:eastAsia="zh-CN"/>
              </w:rPr>
              <w:t>接G577交叉口</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C72D">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1859C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331B">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3</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E947">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84团2连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82E7">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84团2连农机大院内，紧邻路边</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E500">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778F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584D">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4</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81D5">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84团8连怪石峪景区</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621F">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怪石峪检查站边，出入车辆均需过检查站后进入拟建站点</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891B">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29282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035C7">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5</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4560">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kern w:val="2"/>
                <w:sz w:val="24"/>
                <w:szCs w:val="24"/>
                <w:shd w:val="clear"/>
                <w:lang w:val="en-US" w:eastAsia="zh-CN" w:bidi="ar-SA"/>
              </w:rPr>
              <w:t>86团中</w:t>
            </w:r>
            <w:r>
              <w:rPr>
                <w:rFonts w:hint="eastAsia" w:ascii="Times New Roman" w:hAnsi="Times New Roman" w:cs="Times New Roman"/>
                <w:b w:val="0"/>
                <w:bCs w:val="0"/>
                <w:spacing w:val="0"/>
                <w:kern w:val="2"/>
                <w:sz w:val="24"/>
                <w:szCs w:val="24"/>
                <w:shd w:val="clear"/>
                <w:lang w:val="en-US" w:eastAsia="zh-CN" w:bidi="ar-SA"/>
              </w:rPr>
              <w:t>闽能源</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35F4">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博乐市友谊街与G219线交汇处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466C">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续建</w:t>
            </w:r>
          </w:p>
        </w:tc>
      </w:tr>
      <w:tr w14:paraId="381C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D2DC">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6</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E469">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86团邻工业园区</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9D1F">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博乐市赛里木湖路东延，S205东侧三角地块（租赁站旁）</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FB6D">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default"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2E20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36C39">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kern w:val="2"/>
                <w:sz w:val="24"/>
                <w:szCs w:val="24"/>
                <w:lang w:val="en-US" w:eastAsia="zh-CN" w:bidi="ar-SA"/>
              </w:rPr>
              <w:t>7</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814E">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87团2连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B5F2">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S304线右侧（巨树林景区入口）处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4F98">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1D13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0BEC">
            <w:pPr>
              <w:pStyle w:val="29"/>
              <w:wordWrap/>
              <w:overflowPunct/>
              <w:bidi w:val="0"/>
              <w:spacing w:line="360" w:lineRule="auto"/>
              <w:ind w:firstLine="0" w:firstLineChars="0"/>
              <w:jc w:val="center"/>
              <w:rPr>
                <w:rFonts w:hint="eastAsia"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8</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C3A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89团14连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B278">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89团阿塔线与浩阿线东北侧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3D45">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0F23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18C1E">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kern w:val="2"/>
                <w:sz w:val="24"/>
                <w:szCs w:val="24"/>
                <w:lang w:val="en-US" w:eastAsia="zh-CN" w:bidi="ar-SA"/>
              </w:rPr>
              <w:t>9</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6C48">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90团4连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EFD8">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90团4连S611路支路</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5CD1">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0F8C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F8207">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10</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3AB9">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91团2连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5A5B">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91团建工路北侧2连</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FF69">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6DBF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2788D">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11</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5E07">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91团7连</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D2B7">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G312线辅道，91团7连东侧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7DDC">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2E99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B9552">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12</w:t>
            </w:r>
          </w:p>
        </w:tc>
        <w:tc>
          <w:tcPr>
            <w:tcW w:w="1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632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双河市综合加油站</w:t>
            </w:r>
          </w:p>
        </w:tc>
        <w:tc>
          <w:tcPr>
            <w:tcW w:w="26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98F1">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双河市金山路与上海路交汇处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4F1F">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续建</w:t>
            </w:r>
          </w:p>
        </w:tc>
      </w:tr>
    </w:tbl>
    <w:p w14:paraId="27D131AF">
      <w:pPr>
        <w:pStyle w:val="3"/>
        <w:rPr>
          <w:rFonts w:hint="default"/>
          <w:lang w:val="en-US" w:eastAsia="zh-CN"/>
        </w:rPr>
      </w:pPr>
      <w:bookmarkStart w:id="109" w:name="_Toc31803"/>
      <w:bookmarkStart w:id="110" w:name="_Toc15023"/>
      <w:r>
        <w:rPr>
          <w:rFonts w:hint="eastAsia"/>
          <w:lang w:val="en-US" w:eastAsia="zh-CN"/>
        </w:rPr>
        <w:t>三、布局标准及要求</w:t>
      </w:r>
      <w:bookmarkEnd w:id="107"/>
      <w:bookmarkEnd w:id="108"/>
      <w:bookmarkEnd w:id="109"/>
      <w:bookmarkEnd w:id="110"/>
    </w:p>
    <w:p w14:paraId="7D8FA7F8">
      <w:pPr>
        <w:pStyle w:val="4"/>
        <w:bidi w:val="0"/>
        <w:rPr>
          <w:rFonts w:hint="default"/>
          <w:lang w:val="en-US" w:eastAsia="zh-CN"/>
        </w:rPr>
      </w:pPr>
      <w:bookmarkStart w:id="111" w:name="_Toc74815475"/>
      <w:bookmarkStart w:id="112" w:name="_Toc65736144"/>
      <w:bookmarkStart w:id="113" w:name="_Toc78437219"/>
      <w:r>
        <w:rPr>
          <w:rFonts w:hint="eastAsia"/>
          <w:lang w:val="en-US" w:eastAsia="zh-CN"/>
        </w:rPr>
        <w:t>（一）布点区域选择</w:t>
      </w:r>
      <w:bookmarkEnd w:id="111"/>
      <w:bookmarkEnd w:id="112"/>
      <w:bookmarkEnd w:id="113"/>
      <w:r>
        <w:rPr>
          <w:rFonts w:hint="eastAsia"/>
          <w:lang w:val="en-US" w:eastAsia="zh-CN"/>
        </w:rPr>
        <w:t>要求</w:t>
      </w:r>
    </w:p>
    <w:p w14:paraId="41739FD6">
      <w:pPr>
        <w:bidi w:val="0"/>
        <w:rPr>
          <w:rFonts w:hint="eastAsia"/>
          <w:lang w:val="en-US" w:eastAsia="zh-CN"/>
        </w:rPr>
      </w:pPr>
      <w:r>
        <w:rPr>
          <w:rFonts w:hint="eastAsia"/>
          <w:lang w:val="en-US" w:eastAsia="zh-CN"/>
        </w:rPr>
        <w:t>新增站布点既要受道路交通与国土空间规划约束，同时按照《</w:t>
      </w:r>
      <w:r>
        <w:rPr>
          <w:rFonts w:hint="default"/>
        </w:rPr>
        <w:t>汽车加油加气加氢站技术标准</w:t>
      </w:r>
      <w:r>
        <w:rPr>
          <w:rFonts w:hint="eastAsia"/>
          <w:lang w:val="en-US" w:eastAsia="zh-CN"/>
        </w:rPr>
        <w:t>》</w:t>
      </w:r>
      <w:r>
        <w:rPr>
          <w:rFonts w:hint="default"/>
        </w:rPr>
        <w:t>（GB50156-2021）要求，</w:t>
      </w:r>
      <w:r>
        <w:rPr>
          <w:rFonts w:hint="eastAsia"/>
          <w:lang w:val="en-US" w:eastAsia="zh-CN"/>
        </w:rPr>
        <w:t>加油站布点需要遵循如下标准。</w:t>
      </w:r>
    </w:p>
    <w:p w14:paraId="2E867FBC">
      <w:pPr>
        <w:bidi w:val="0"/>
        <w:rPr>
          <w:rFonts w:hint="eastAsia"/>
          <w:lang w:val="en-US" w:eastAsia="zh-CN"/>
        </w:rPr>
      </w:pPr>
      <w:r>
        <w:rPr>
          <w:rFonts w:hint="eastAsia"/>
          <w:lang w:val="en-US" w:eastAsia="zh-CN"/>
        </w:rPr>
        <w:t>1.城市建成区原则上以对现有加油站进行升级改造为主，在条件允许的情况下增加其服务功能，对于建成区内新建道路、新建城区可考虑布点。</w:t>
      </w:r>
    </w:p>
    <w:p w14:paraId="60C8D0F7">
      <w:pPr>
        <w:bidi w:val="0"/>
        <w:rPr>
          <w:rFonts w:hint="eastAsia"/>
          <w:lang w:val="en-US" w:eastAsia="zh-CN"/>
        </w:rPr>
      </w:pPr>
      <w:r>
        <w:rPr>
          <w:rFonts w:hint="eastAsia"/>
          <w:lang w:val="en-US" w:eastAsia="zh-CN"/>
        </w:rPr>
        <w:t>2.居民集中居住区、新建社区、商业中心内不设置加油站。</w:t>
      </w:r>
    </w:p>
    <w:p w14:paraId="60F04C96">
      <w:pPr>
        <w:bidi w:val="0"/>
        <w:rPr>
          <w:rFonts w:hint="eastAsia"/>
          <w:lang w:val="en-US" w:eastAsia="zh-CN"/>
        </w:rPr>
      </w:pPr>
      <w:r>
        <w:rPr>
          <w:rFonts w:hint="eastAsia"/>
          <w:lang w:val="en-US" w:eastAsia="zh-CN"/>
        </w:rPr>
        <w:t>3.重点在新城区、新建工业园区、物流园区、农业园区、新增和改扩建的道路、网点不足的团场等区域规划新增站点。</w:t>
      </w:r>
    </w:p>
    <w:p w14:paraId="007980C8">
      <w:pPr>
        <w:bidi w:val="0"/>
        <w:rPr>
          <w:rFonts w:hint="eastAsia"/>
          <w:lang w:val="en-US" w:eastAsia="zh-CN"/>
        </w:rPr>
      </w:pPr>
      <w:r>
        <w:rPr>
          <w:rFonts w:hint="eastAsia"/>
          <w:lang w:val="en-US" w:eastAsia="zh-CN"/>
        </w:rPr>
        <w:t>4.需求增加的团场等布点空白区可规划建设加油站。</w:t>
      </w:r>
    </w:p>
    <w:p w14:paraId="7CD40375">
      <w:pPr>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适应交通基础设施发展要求，结合公路网（高速公路、高等级公路、国道、省道、县乡道路等）建设，规划设置加油站（点）。</w:t>
      </w:r>
    </w:p>
    <w:p w14:paraId="2B26E72D">
      <w:pPr>
        <w:bidi w:val="0"/>
        <w:rPr>
          <w:rFonts w:hint="eastAsia"/>
          <w:lang w:val="en-US" w:eastAsia="zh-CN"/>
        </w:rPr>
      </w:pPr>
      <w:r>
        <w:rPr>
          <w:rFonts w:hint="eastAsia"/>
          <w:lang w:val="en-US" w:eastAsia="zh-CN"/>
        </w:rPr>
        <w:t>6.关于高速公路加油站设置：高速公路加油站设立与高速公路服务区（停车区）同步设立，不再进行规划确认。</w:t>
      </w:r>
    </w:p>
    <w:p w14:paraId="051D5793">
      <w:pPr>
        <w:bidi w:val="0"/>
        <w:rPr>
          <w:rFonts w:hint="eastAsia"/>
          <w:lang w:val="en-US" w:eastAsia="zh-CN"/>
        </w:rPr>
      </w:pPr>
      <w:r>
        <w:rPr>
          <w:rFonts w:hint="eastAsia"/>
          <w:lang w:val="en-US" w:eastAsia="zh-CN"/>
        </w:rPr>
        <w:t>7.符合生态保护红线、环境质量底线、资源利用上限和生态环境准入清单等“三线一单”的管控要求。</w:t>
      </w:r>
    </w:p>
    <w:p w14:paraId="58BA4025">
      <w:pPr>
        <w:pStyle w:val="4"/>
        <w:bidi w:val="0"/>
        <w:rPr>
          <w:rFonts w:hint="eastAsia"/>
          <w:lang w:val="en-US" w:eastAsia="zh-CN"/>
        </w:rPr>
      </w:pPr>
      <w:bookmarkStart w:id="114" w:name="_Toc65736145"/>
      <w:bookmarkStart w:id="115" w:name="_Toc74815476"/>
      <w:bookmarkStart w:id="116" w:name="_Toc78437220"/>
      <w:r>
        <w:rPr>
          <w:rFonts w:hint="eastAsia"/>
          <w:lang w:val="en-US" w:eastAsia="zh-CN"/>
        </w:rPr>
        <w:t>（二）布点密度要求</w:t>
      </w:r>
      <w:bookmarkEnd w:id="114"/>
      <w:bookmarkEnd w:id="115"/>
      <w:bookmarkEnd w:id="116"/>
    </w:p>
    <w:p w14:paraId="2876A773">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eastAsia" w:eastAsia="仿宋_GB2312"/>
          <w:lang w:eastAsia="zh-CN"/>
        </w:rPr>
      </w:pPr>
      <w:r>
        <w:rPr>
          <w:rFonts w:hint="eastAsia" w:cs="Times New Roman"/>
          <w:b w:val="0"/>
          <w:bCs w:val="0"/>
          <w:color w:val="auto"/>
          <w:highlight w:val="none"/>
          <w:lang w:val="en-US" w:eastAsia="zh-CN"/>
        </w:rPr>
        <w:t>1.</w:t>
      </w:r>
      <w:r>
        <w:rPr>
          <w:rFonts w:hint="default" w:cs="Times New Roman"/>
          <w:b w:val="0"/>
          <w:bCs w:val="0"/>
          <w:color w:val="auto"/>
          <w:highlight w:val="none"/>
        </w:rPr>
        <w:t>《城市综合交通体系规划标准》GB/T51328-2018</w:t>
      </w:r>
      <w:r>
        <w:rPr>
          <w:rFonts w:hint="eastAsia" w:cs="Times New Roman"/>
          <w:b w:val="0"/>
          <w:bCs w:val="0"/>
          <w:color w:val="auto"/>
          <w:highlight w:val="none"/>
          <w:lang w:eastAsia="zh-CN"/>
        </w:rPr>
        <w:t>：</w:t>
      </w:r>
    </w:p>
    <w:p w14:paraId="2D5FA56F">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default" w:cs="Times New Roman"/>
          <w:b w:val="0"/>
          <w:bCs w:val="0"/>
          <w:color w:val="auto"/>
          <w:highlight w:val="none"/>
        </w:rPr>
      </w:pPr>
      <w:r>
        <w:rPr>
          <w:rFonts w:hint="default" w:cs="Times New Roman"/>
          <w:b w:val="0"/>
          <w:bCs w:val="0"/>
          <w:color w:val="auto"/>
          <w:highlight w:val="none"/>
        </w:rPr>
        <w:t>城市公共加油站的服务半径宜为0.9</w:t>
      </w:r>
      <w:r>
        <w:rPr>
          <w:rFonts w:hint="eastAsia" w:cs="Times New Roman"/>
          <w:b w:val="0"/>
          <w:bCs w:val="0"/>
          <w:color w:val="auto"/>
          <w:highlight w:val="none"/>
          <w:lang w:eastAsia="zh-CN"/>
        </w:rPr>
        <w:t>～</w:t>
      </w:r>
      <w:r>
        <w:rPr>
          <w:rFonts w:hint="default" w:cs="Times New Roman"/>
          <w:b w:val="0"/>
          <w:bCs w:val="0"/>
          <w:color w:val="auto"/>
          <w:highlight w:val="none"/>
        </w:rPr>
        <w:t>1.2km。</w:t>
      </w:r>
    </w:p>
    <w:p w14:paraId="18700749">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eastAsia="仿宋_GB2312" w:cs="Times New Roman"/>
          <w:b w:val="0"/>
          <w:bCs w:val="0"/>
          <w:color w:val="auto"/>
          <w:highlight w:val="none"/>
          <w:lang w:eastAsia="zh-CN"/>
        </w:rPr>
      </w:pPr>
      <w:r>
        <w:rPr>
          <w:rFonts w:hint="eastAsia" w:cs="Times New Roman"/>
          <w:b w:val="0"/>
          <w:bCs w:val="0"/>
          <w:color w:val="auto"/>
          <w:highlight w:val="none"/>
          <w:lang w:val="en-US" w:eastAsia="zh-CN"/>
        </w:rPr>
        <w:t>2.</w:t>
      </w:r>
      <w:r>
        <w:rPr>
          <w:rFonts w:hint="default" w:cs="Times New Roman"/>
          <w:b w:val="0"/>
          <w:bCs w:val="0"/>
          <w:color w:val="auto"/>
          <w:highlight w:val="none"/>
        </w:rPr>
        <w:t>《成品油零售企业管理技术规范》SB/T10390-2004</w:t>
      </w:r>
      <w:r>
        <w:rPr>
          <w:rFonts w:hint="eastAsia" w:cs="Times New Roman"/>
          <w:b w:val="0"/>
          <w:bCs w:val="0"/>
          <w:color w:val="auto"/>
          <w:highlight w:val="none"/>
          <w:lang w:eastAsia="zh-CN"/>
        </w:rPr>
        <w:t>：</w:t>
      </w:r>
    </w:p>
    <w:p w14:paraId="6D39EC0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Times New Roman" w:hAnsi="Times New Roman" w:cs="Times New Roman"/>
          <w:color w:val="auto"/>
          <w:highlight w:val="none"/>
          <w:lang w:val="en-US" w:eastAsia="zh-CN"/>
        </w:rPr>
      </w:pPr>
      <w:r>
        <w:rPr>
          <w:rFonts w:hint="default" w:cs="Times New Roman"/>
          <w:b w:val="0"/>
          <w:bCs w:val="0"/>
          <w:color w:val="auto"/>
          <w:highlight w:val="none"/>
        </w:rPr>
        <w:t>国道、省道加油站设置</w:t>
      </w:r>
      <w:r>
        <w:rPr>
          <w:rFonts w:hint="eastAsia" w:cs="Times New Roman"/>
          <w:b w:val="0"/>
          <w:bCs w:val="0"/>
          <w:color w:val="auto"/>
          <w:highlight w:val="none"/>
          <w:lang w:eastAsia="zh-CN"/>
        </w:rPr>
        <w:t>：</w:t>
      </w:r>
      <w:r>
        <w:rPr>
          <w:rFonts w:hint="default" w:cs="Times New Roman"/>
          <w:b w:val="0"/>
          <w:bCs w:val="0"/>
          <w:color w:val="auto"/>
          <w:highlight w:val="none"/>
        </w:rPr>
        <w:t>每百公里不超过</w:t>
      </w:r>
      <w:r>
        <w:rPr>
          <w:rFonts w:hint="eastAsia" w:cs="Times New Roman"/>
          <w:b w:val="0"/>
          <w:bCs w:val="0"/>
          <w:color w:val="auto"/>
          <w:highlight w:val="none"/>
          <w:lang w:eastAsia="zh-CN"/>
        </w:rPr>
        <w:t>6</w:t>
      </w:r>
      <w:r>
        <w:rPr>
          <w:rFonts w:hint="default" w:cs="Times New Roman"/>
          <w:b w:val="0"/>
          <w:bCs w:val="0"/>
          <w:color w:val="auto"/>
          <w:highlight w:val="none"/>
        </w:rPr>
        <w:t>对</w:t>
      </w:r>
      <w:r>
        <w:rPr>
          <w:rFonts w:hint="eastAsia" w:cs="Times New Roman"/>
          <w:b w:val="0"/>
          <w:bCs w:val="0"/>
          <w:color w:val="auto"/>
          <w:highlight w:val="none"/>
          <w:lang w:eastAsia="zh-CN"/>
        </w:rPr>
        <w:t>（</w:t>
      </w:r>
      <w:r>
        <w:rPr>
          <w:rFonts w:hint="eastAsia" w:cs="Times New Roman"/>
          <w:b w:val="0"/>
          <w:bCs w:val="0"/>
          <w:color w:val="auto"/>
          <w:highlight w:val="none"/>
          <w:lang w:val="en-US" w:eastAsia="zh-CN"/>
        </w:rPr>
        <w:t>12座）</w:t>
      </w:r>
      <w:r>
        <w:rPr>
          <w:rFonts w:hint="eastAsia" w:cs="Times New Roman"/>
          <w:b w:val="0"/>
          <w:bCs w:val="0"/>
          <w:color w:val="auto"/>
          <w:highlight w:val="none"/>
          <w:lang w:eastAsia="zh-CN"/>
        </w:rPr>
        <w:t>，</w:t>
      </w:r>
      <w:r>
        <w:rPr>
          <w:rFonts w:hint="default" w:ascii="Times New Roman" w:hAnsi="Times New Roman" w:cs="Times New Roman"/>
          <w:b w:val="0"/>
          <w:bCs w:val="0"/>
          <w:color w:val="auto"/>
          <w:highlight w:val="none"/>
        </w:rPr>
        <w:t>即在总量符合要求的基础上，与相邻加油站车行距离原则上不低于8公里，在</w:t>
      </w:r>
      <w:r>
        <w:rPr>
          <w:rFonts w:hint="default" w:ascii="Times New Roman" w:hAnsi="Times New Roman" w:cs="Times New Roman"/>
          <w:color w:val="auto"/>
          <w:highlight w:val="none"/>
        </w:rPr>
        <w:t>道路设置隔离带的情况下，可根据车流量酌情设置对站；国省道穿越城区的路段可参照城区加油站设置原则；布点类型为国省道加油站的，若所在道路与城区道路交叉，与城区已有最近加油站的车</w:t>
      </w:r>
      <w:r>
        <w:rPr>
          <w:rFonts w:hint="default" w:ascii="Times New Roman" w:hAnsi="Times New Roman" w:cs="Times New Roman"/>
          <w:color w:val="auto"/>
          <w:highlight w:val="none"/>
          <w:lang w:val="en-US" w:eastAsia="zh-CN"/>
        </w:rPr>
        <w:t>行距离不得低于1.8公里，若所在道路与县乡道交叉，与县乡道已有最近加油站的车行距离不得低于8公里。</w:t>
      </w:r>
    </w:p>
    <w:p w14:paraId="3746AD3E">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default" w:cs="Times New Roman"/>
          <w:color w:val="auto"/>
          <w:highlight w:val="none"/>
        </w:rPr>
      </w:pPr>
      <w:r>
        <w:rPr>
          <w:rFonts w:hint="default" w:cs="Times New Roman"/>
          <w:color w:val="auto"/>
          <w:highlight w:val="none"/>
        </w:rPr>
        <w:t>高速公路加油站设置</w:t>
      </w:r>
      <w:r>
        <w:rPr>
          <w:rFonts w:hint="eastAsia" w:cs="Times New Roman"/>
          <w:color w:val="auto"/>
          <w:highlight w:val="none"/>
          <w:lang w:eastAsia="zh-CN"/>
        </w:rPr>
        <w:t>：</w:t>
      </w:r>
      <w:r>
        <w:rPr>
          <w:rFonts w:hint="default" w:cs="Times New Roman"/>
          <w:color w:val="auto"/>
          <w:highlight w:val="none"/>
        </w:rPr>
        <w:t>每百公里不超过</w:t>
      </w:r>
      <w:r>
        <w:rPr>
          <w:rFonts w:hint="eastAsia" w:cs="Times New Roman"/>
          <w:color w:val="auto"/>
          <w:highlight w:val="none"/>
          <w:lang w:val="en-US" w:eastAsia="zh-CN"/>
        </w:rPr>
        <w:t>2</w:t>
      </w:r>
      <w:r>
        <w:rPr>
          <w:rFonts w:hint="default" w:cs="Times New Roman"/>
          <w:color w:val="auto"/>
          <w:highlight w:val="none"/>
        </w:rPr>
        <w:t>对。</w:t>
      </w:r>
    </w:p>
    <w:p w14:paraId="552367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color w:val="auto"/>
          <w:highlight w:val="none"/>
          <w:lang w:eastAsia="zh-CN"/>
        </w:rPr>
      </w:pPr>
      <w:r>
        <w:rPr>
          <w:rFonts w:hint="default" w:cs="Times New Roman"/>
          <w:color w:val="auto"/>
          <w:highlight w:val="none"/>
        </w:rPr>
        <w:t>城区加油站的服务半径不少于0.9km</w:t>
      </w:r>
      <w:r>
        <w:rPr>
          <w:rFonts w:hint="eastAsia" w:cs="Times New Roman"/>
          <w:color w:val="auto"/>
          <w:highlight w:val="none"/>
          <w:lang w:eastAsia="zh-CN"/>
        </w:rPr>
        <w:t>，</w:t>
      </w:r>
      <w:r>
        <w:rPr>
          <w:rFonts w:hint="default" w:ascii="Times New Roman" w:hAnsi="Times New Roman" w:cs="Times New Roman"/>
          <w:color w:val="auto"/>
          <w:highlight w:val="none"/>
        </w:rPr>
        <w:t>即与周边最近加油站的车行距离不得低于</w:t>
      </w:r>
      <w:r>
        <w:rPr>
          <w:rFonts w:hint="default" w:ascii="Times New Roman" w:hAnsi="Times New Roman" w:cs="Times New Roman"/>
          <w:color w:val="auto"/>
          <w:highlight w:val="none"/>
          <w:lang w:val="en-US" w:eastAsia="zh-CN"/>
        </w:rPr>
        <w:t>1.8</w:t>
      </w:r>
      <w:r>
        <w:rPr>
          <w:rFonts w:hint="default" w:ascii="Times New Roman" w:hAnsi="Times New Roman" w:cs="Times New Roman"/>
          <w:color w:val="auto"/>
          <w:highlight w:val="none"/>
        </w:rPr>
        <w:t>公里。布局类型为城区加油站的，</w:t>
      </w:r>
      <w:r>
        <w:rPr>
          <w:rFonts w:hint="default" w:ascii="Times New Roman" w:hAnsi="Times New Roman" w:cs="Times New Roman"/>
          <w:color w:val="auto"/>
          <w:highlight w:val="none"/>
          <w:lang w:val="en-US" w:eastAsia="zh-CN"/>
        </w:rPr>
        <w:t>若</w:t>
      </w:r>
      <w:r>
        <w:rPr>
          <w:rFonts w:hint="default" w:ascii="Times New Roman" w:hAnsi="Times New Roman" w:cs="Times New Roman"/>
          <w:color w:val="auto"/>
          <w:highlight w:val="none"/>
        </w:rPr>
        <w:t>所在道路与国省道、县乡道（含村道，下同）交叉，与国省道、县乡道已有最近加油站的车行</w:t>
      </w:r>
      <w:r>
        <w:rPr>
          <w:rFonts w:hint="default" w:ascii="Times New Roman" w:hAnsi="Times New Roman" w:cs="Times New Roman"/>
          <w:color w:val="auto"/>
          <w:highlight w:val="none"/>
          <w:lang w:eastAsia="zh-CN"/>
        </w:rPr>
        <w:t>距离</w:t>
      </w:r>
      <w:r>
        <w:rPr>
          <w:rFonts w:hint="default" w:ascii="Times New Roman" w:hAnsi="Times New Roman" w:cs="Times New Roman"/>
          <w:color w:val="auto"/>
          <w:highlight w:val="none"/>
        </w:rPr>
        <w:t>不得</w:t>
      </w:r>
      <w:r>
        <w:rPr>
          <w:rFonts w:hint="default" w:ascii="Times New Roman" w:hAnsi="Times New Roman" w:cs="Times New Roman"/>
          <w:color w:val="auto"/>
          <w:highlight w:val="none"/>
          <w:lang w:eastAsia="zh-CN"/>
        </w:rPr>
        <w:t>低于</w:t>
      </w:r>
      <w:r>
        <w:rPr>
          <w:rFonts w:hint="default" w:ascii="Times New Roman" w:hAnsi="Times New Roman" w:cs="Times New Roman"/>
          <w:color w:val="auto"/>
          <w:highlight w:val="none"/>
          <w:lang w:val="en-US" w:eastAsia="zh-CN"/>
        </w:rPr>
        <w:t>1.8</w:t>
      </w:r>
      <w:r>
        <w:rPr>
          <w:rFonts w:hint="default" w:ascii="Times New Roman" w:hAnsi="Times New Roman" w:cs="Times New Roman"/>
          <w:color w:val="auto"/>
          <w:highlight w:val="none"/>
        </w:rPr>
        <w:t>公里</w:t>
      </w:r>
      <w:r>
        <w:rPr>
          <w:rFonts w:hint="default" w:ascii="Times New Roman" w:hAnsi="Times New Roman" w:cs="Times New Roman"/>
          <w:color w:val="auto"/>
          <w:highlight w:val="none"/>
          <w:lang w:eastAsia="zh-CN"/>
        </w:rPr>
        <w:t>。</w:t>
      </w:r>
    </w:p>
    <w:p w14:paraId="426CB7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县乡</w:t>
      </w:r>
      <w:r>
        <w:rPr>
          <w:rFonts w:hint="default" w:ascii="Times New Roman" w:hAnsi="Times New Roman" w:cs="Times New Roman"/>
          <w:color w:val="auto"/>
          <w:highlight w:val="none"/>
          <w:lang w:val="en-US" w:eastAsia="zh-CN"/>
        </w:rPr>
        <w:t>公路沿线原则上百公里不超过10座，即在总量符合要求的基础上，与相邻加油站车行距离原则上不低于10公里。</w:t>
      </w:r>
    </w:p>
    <w:p w14:paraId="16B917A2">
      <w:pPr>
        <w:pStyle w:val="4"/>
        <w:bidi w:val="0"/>
        <w:rPr>
          <w:rFonts w:hint="default"/>
          <w:lang w:val="en-US" w:eastAsia="zh-CN"/>
        </w:rPr>
      </w:pPr>
      <w:r>
        <w:rPr>
          <w:rFonts w:hint="eastAsia"/>
          <w:lang w:val="en-US" w:eastAsia="zh-CN"/>
        </w:rPr>
        <w:t>（三）站点等级划分</w:t>
      </w:r>
    </w:p>
    <w:p w14:paraId="09551EB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Cs w:val="32"/>
          <w:lang w:val="en-US" w:eastAsia="zh-CN" w:bidi="ar-SA"/>
        </w:rPr>
      </w:pPr>
      <w:r>
        <w:rPr>
          <w:rFonts w:hint="eastAsia" w:cs="Times New Roman"/>
          <w:szCs w:val="32"/>
          <w:lang w:val="en-US" w:eastAsia="zh-CN"/>
        </w:rPr>
        <w:t>根据国家标准</w:t>
      </w:r>
      <w:r>
        <w:rPr>
          <w:rFonts w:hint="default" w:ascii="Times New Roman" w:hAnsi="Times New Roman" w:cs="Times New Roman"/>
          <w:szCs w:val="32"/>
        </w:rPr>
        <w:t>《汽车加油加气加氢站技术标准》（GB50156-2021）的相关规定，</w:t>
      </w:r>
      <w:r>
        <w:rPr>
          <w:rFonts w:hint="default" w:ascii="Times New Roman" w:hAnsi="Times New Roman" w:eastAsia="仿宋_GB2312" w:cs="Times New Roman"/>
          <w:b w:val="0"/>
          <w:bCs w:val="0"/>
          <w:kern w:val="2"/>
          <w:szCs w:val="32"/>
          <w:lang w:val="en-US" w:eastAsia="zh-CN" w:bidi="ar-SA"/>
        </w:rPr>
        <w:t>城市站</w:t>
      </w:r>
      <w:r>
        <w:rPr>
          <w:rFonts w:hint="default" w:cs="Times New Roman"/>
          <w:b w:val="0"/>
          <w:bCs w:val="0"/>
          <w:kern w:val="2"/>
          <w:szCs w:val="32"/>
          <w:lang w:val="en-US" w:eastAsia="zh-CN" w:bidi="ar-SA"/>
        </w:rPr>
        <w:t>点</w:t>
      </w:r>
      <w:r>
        <w:rPr>
          <w:rFonts w:hint="default" w:ascii="Times New Roman" w:hAnsi="Times New Roman" w:eastAsia="仿宋_GB2312" w:cs="Times New Roman"/>
          <w:b w:val="0"/>
          <w:bCs w:val="0"/>
          <w:kern w:val="2"/>
          <w:szCs w:val="32"/>
          <w:lang w:val="en-US" w:eastAsia="zh-CN" w:bidi="ar-SA"/>
        </w:rPr>
        <w:t>应该大、中、小相结合，其用地面积应根据昼夜加油车次数不同而有别，用地面积包括站内建筑、加油设施、车辆小修、车行道路、隔离绿地等。加油站、加油加气合建站的等级划分标准如下：</w:t>
      </w:r>
    </w:p>
    <w:p w14:paraId="58DE446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Cs w:val="32"/>
          <w:lang w:val="en-US" w:eastAsia="zh-CN" w:bidi="ar-SA"/>
        </w:rPr>
      </w:pPr>
    </w:p>
    <w:p w14:paraId="3CF95B4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Cs w:val="32"/>
          <w:lang w:val="en-US" w:eastAsia="zh-CN" w:bidi="ar-SA"/>
        </w:rPr>
      </w:pPr>
    </w:p>
    <w:p w14:paraId="30B6F3A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Cs w:val="32"/>
          <w:lang w:val="en-US" w:eastAsia="zh-CN" w:bidi="ar-SA"/>
        </w:rPr>
      </w:pPr>
    </w:p>
    <w:p w14:paraId="7C1E9A2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kern w:val="2"/>
          <w:szCs w:val="32"/>
          <w:lang w:val="en-US" w:eastAsia="zh-CN" w:bidi="ar-SA"/>
        </w:rPr>
      </w:pPr>
    </w:p>
    <w:p w14:paraId="1553F4F6">
      <w:pPr>
        <w:pStyle w:val="25"/>
        <w:jc w:val="center"/>
        <w:rPr>
          <w:rFonts w:hint="eastAsia"/>
        </w:rPr>
      </w:pPr>
      <w:r>
        <w:rPr>
          <w:rFonts w:hint="eastAsia"/>
          <w:lang w:val="en-US" w:eastAsia="zh-CN"/>
        </w:rPr>
        <w:t xml:space="preserve">表5-2 </w:t>
      </w:r>
      <w:r>
        <w:rPr>
          <w:rFonts w:hint="eastAsia"/>
        </w:rPr>
        <w:t>加油站</w:t>
      </w:r>
      <w:r>
        <w:rPr>
          <w:rFonts w:hint="eastAsia"/>
          <w:lang w:val="en-US" w:eastAsia="zh-CN"/>
        </w:rPr>
        <w:t>等级划分一览表</w:t>
      </w:r>
    </w:p>
    <w:tbl>
      <w:tblPr>
        <w:tblStyle w:val="28"/>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630"/>
        <w:gridCol w:w="1741"/>
        <w:gridCol w:w="1654"/>
        <w:gridCol w:w="2636"/>
      </w:tblGrid>
      <w:tr w14:paraId="7690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00" w:type="pct"/>
            <w:vMerge w:val="restart"/>
            <w:vAlign w:val="center"/>
          </w:tcPr>
          <w:p w14:paraId="0F8B3975">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黑体" w:cs="黑体"/>
                <w:b w:val="0"/>
                <w:bCs/>
                <w:sz w:val="28"/>
                <w:szCs w:val="28"/>
              </w:rPr>
            </w:pPr>
            <w:r>
              <w:rPr>
                <w:rFonts w:hint="eastAsia" w:ascii="Times New Roman" w:hAnsi="Times New Roman" w:eastAsia="黑体" w:cs="黑体"/>
                <w:b w:val="0"/>
                <w:bCs/>
                <w:sz w:val="28"/>
                <w:szCs w:val="28"/>
              </w:rPr>
              <w:t>加油站等级</w:t>
            </w:r>
          </w:p>
        </w:tc>
        <w:tc>
          <w:tcPr>
            <w:tcW w:w="4399" w:type="pct"/>
            <w:gridSpan w:val="4"/>
            <w:vAlign w:val="center"/>
          </w:tcPr>
          <w:p w14:paraId="32514C62">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黑体" w:cs="黑体"/>
                <w:b w:val="0"/>
                <w:bCs/>
                <w:sz w:val="28"/>
                <w:szCs w:val="28"/>
              </w:rPr>
            </w:pPr>
            <w:r>
              <w:rPr>
                <w:rFonts w:hint="eastAsia" w:eastAsia="黑体" w:cs="黑体"/>
                <w:b w:val="0"/>
                <w:bCs/>
                <w:sz w:val="28"/>
                <w:szCs w:val="28"/>
                <w:lang w:val="en-US" w:eastAsia="zh-CN"/>
              </w:rPr>
              <w:t>加油站油罐容量（m³）</w:t>
            </w:r>
          </w:p>
        </w:tc>
      </w:tr>
      <w:tr w14:paraId="5F93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00" w:type="pct"/>
            <w:vMerge w:val="continue"/>
            <w:vAlign w:val="center"/>
          </w:tcPr>
          <w:p w14:paraId="6C7BF9B8">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黑体" w:cs="黑体"/>
                <w:b w:val="0"/>
                <w:bCs/>
                <w:sz w:val="28"/>
                <w:szCs w:val="28"/>
              </w:rPr>
            </w:pPr>
          </w:p>
        </w:tc>
        <w:tc>
          <w:tcPr>
            <w:tcW w:w="936" w:type="pct"/>
            <w:vAlign w:val="center"/>
          </w:tcPr>
          <w:p w14:paraId="73E238C8">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黑体" w:cs="黑体"/>
                <w:bCs/>
                <w:sz w:val="28"/>
                <w:szCs w:val="28"/>
              </w:rPr>
            </w:pPr>
            <w:r>
              <w:rPr>
                <w:rFonts w:hint="eastAsia" w:eastAsia="黑体" w:cs="黑体"/>
                <w:bCs/>
                <w:sz w:val="28"/>
                <w:szCs w:val="28"/>
                <w:lang w:val="en-US" w:eastAsia="zh-CN"/>
              </w:rPr>
              <w:t>总容积</w:t>
            </w:r>
          </w:p>
        </w:tc>
        <w:tc>
          <w:tcPr>
            <w:tcW w:w="1000" w:type="pct"/>
            <w:vAlign w:val="center"/>
          </w:tcPr>
          <w:p w14:paraId="5833D589">
            <w:pPr>
              <w:keepNext w:val="0"/>
              <w:keepLines w:val="0"/>
              <w:suppressLineNumbers w:val="0"/>
              <w:spacing w:before="0" w:beforeAutospacing="0" w:after="0" w:afterAutospacing="0" w:line="240" w:lineRule="atLeast"/>
              <w:ind w:left="0" w:right="0" w:firstLine="0" w:firstLineChars="0"/>
              <w:jc w:val="left"/>
              <w:rPr>
                <w:rFonts w:hint="eastAsia" w:ascii="Times New Roman" w:hAnsi="Times New Roman" w:eastAsia="黑体" w:cs="黑体"/>
                <w:bCs/>
                <w:sz w:val="28"/>
                <w:szCs w:val="28"/>
              </w:rPr>
            </w:pPr>
            <w:r>
              <w:rPr>
                <w:rFonts w:hint="eastAsia" w:eastAsia="黑体" w:cs="黑体"/>
                <w:b w:val="0"/>
                <w:bCs/>
                <w:sz w:val="28"/>
                <w:szCs w:val="28"/>
                <w:lang w:val="en-US" w:eastAsia="zh-CN"/>
              </w:rPr>
              <w:t>单罐容积</w:t>
            </w:r>
          </w:p>
        </w:tc>
        <w:tc>
          <w:tcPr>
            <w:tcW w:w="950" w:type="pct"/>
            <w:vAlign w:val="center"/>
          </w:tcPr>
          <w:p w14:paraId="599E5D08">
            <w:pPr>
              <w:keepNext w:val="0"/>
              <w:keepLines w:val="0"/>
              <w:suppressLineNumbers w:val="0"/>
              <w:spacing w:before="0" w:beforeAutospacing="0" w:after="0" w:afterAutospacing="0" w:line="240" w:lineRule="atLeast"/>
              <w:ind w:left="0" w:right="0" w:firstLine="0" w:firstLineChars="0"/>
              <w:jc w:val="center"/>
              <w:rPr>
                <w:rFonts w:hint="eastAsia" w:ascii="Times New Roman" w:hAnsi="Times New Roman" w:eastAsia="黑体" w:cs="黑体"/>
                <w:b w:val="0"/>
                <w:bCs/>
                <w:sz w:val="28"/>
                <w:szCs w:val="28"/>
                <w:lang w:val="en-US" w:eastAsia="zh-CN"/>
              </w:rPr>
            </w:pPr>
            <w:r>
              <w:rPr>
                <w:rFonts w:hint="eastAsia" w:eastAsia="黑体" w:cs="黑体"/>
                <w:b w:val="0"/>
                <w:bCs/>
                <w:sz w:val="28"/>
                <w:szCs w:val="28"/>
                <w:lang w:val="en-US" w:eastAsia="zh-CN"/>
              </w:rPr>
              <w:t>加油机（台）</w:t>
            </w:r>
          </w:p>
        </w:tc>
        <w:tc>
          <w:tcPr>
            <w:tcW w:w="1511" w:type="pct"/>
            <w:vAlign w:val="center"/>
          </w:tcPr>
          <w:p w14:paraId="0E002066">
            <w:pPr>
              <w:keepNext w:val="0"/>
              <w:keepLines w:val="0"/>
              <w:suppressLineNumbers w:val="0"/>
              <w:spacing w:before="0" w:beforeAutospacing="0" w:after="0" w:afterAutospacing="0" w:line="240" w:lineRule="atLeast"/>
              <w:ind w:left="0" w:right="0" w:firstLine="0" w:firstLineChars="0"/>
              <w:jc w:val="center"/>
              <w:rPr>
                <w:rFonts w:hint="eastAsia" w:eastAsia="黑体" w:cs="黑体"/>
                <w:b w:val="0"/>
                <w:bCs/>
                <w:sz w:val="28"/>
                <w:szCs w:val="28"/>
                <w:lang w:val="en-US" w:eastAsia="zh-CN"/>
              </w:rPr>
            </w:pPr>
            <w:r>
              <w:rPr>
                <w:rFonts w:hint="eastAsia" w:eastAsia="黑体" w:cs="黑体"/>
                <w:b w:val="0"/>
                <w:bCs/>
                <w:sz w:val="28"/>
                <w:szCs w:val="28"/>
                <w:lang w:val="en-US" w:eastAsia="zh-CN"/>
              </w:rPr>
              <w:t>最小占地面积（㎡）</w:t>
            </w:r>
          </w:p>
        </w:tc>
      </w:tr>
      <w:tr w14:paraId="2BFE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00" w:type="pct"/>
            <w:vAlign w:val="center"/>
          </w:tcPr>
          <w:p w14:paraId="08FD2EF2">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b w:val="0"/>
                <w:bCs w:val="0"/>
                <w:sz w:val="24"/>
                <w:szCs w:val="24"/>
              </w:rPr>
            </w:pPr>
            <w:r>
              <w:rPr>
                <w:rFonts w:hint="eastAsia" w:cs="Times New Roman"/>
                <w:b w:val="0"/>
                <w:bCs w:val="0"/>
                <w:sz w:val="24"/>
                <w:szCs w:val="24"/>
                <w:lang w:val="en-US" w:eastAsia="zh-CN"/>
              </w:rPr>
              <w:t>一级</w:t>
            </w:r>
          </w:p>
        </w:tc>
        <w:tc>
          <w:tcPr>
            <w:tcW w:w="936" w:type="pct"/>
            <w:vAlign w:val="center"/>
          </w:tcPr>
          <w:p w14:paraId="6C0CBC59">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150＜v≤210</w:t>
            </w:r>
          </w:p>
        </w:tc>
        <w:tc>
          <w:tcPr>
            <w:tcW w:w="1000" w:type="pct"/>
            <w:shd w:val="clear" w:color="auto" w:fill="auto"/>
            <w:vAlign w:val="center"/>
          </w:tcPr>
          <w:p w14:paraId="10672BB7">
            <w:pPr>
              <w:keepNext w:val="0"/>
              <w:keepLines w:val="0"/>
              <w:suppressLineNumbers w:val="0"/>
              <w:spacing w:before="0" w:beforeAutospacing="0" w:after="0" w:afterAutospacing="0" w:line="240" w:lineRule="atLeast"/>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eastAsia" w:cs="Times New Roman"/>
                <w:sz w:val="24"/>
                <w:szCs w:val="24"/>
                <w:lang w:val="en-US" w:eastAsia="zh-CN"/>
              </w:rPr>
              <w:t>v≤50</w:t>
            </w:r>
          </w:p>
        </w:tc>
        <w:tc>
          <w:tcPr>
            <w:tcW w:w="950" w:type="pct"/>
            <w:vAlign w:val="center"/>
          </w:tcPr>
          <w:p w14:paraId="2495FF3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8-12</w:t>
            </w:r>
          </w:p>
        </w:tc>
        <w:tc>
          <w:tcPr>
            <w:tcW w:w="1511" w:type="pct"/>
            <w:vAlign w:val="center"/>
          </w:tcPr>
          <w:p w14:paraId="4CA74D50">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2000</w:t>
            </w:r>
          </w:p>
        </w:tc>
      </w:tr>
      <w:tr w14:paraId="41CA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00" w:type="pct"/>
            <w:vAlign w:val="center"/>
          </w:tcPr>
          <w:p w14:paraId="1833FF5F">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b w:val="0"/>
                <w:bCs w:val="0"/>
                <w:sz w:val="24"/>
                <w:szCs w:val="24"/>
              </w:rPr>
            </w:pPr>
            <w:r>
              <w:rPr>
                <w:rFonts w:hint="eastAsia" w:cs="Times New Roman"/>
                <w:b w:val="0"/>
                <w:bCs w:val="0"/>
                <w:sz w:val="24"/>
                <w:szCs w:val="24"/>
                <w:lang w:val="en-US" w:eastAsia="zh-CN"/>
              </w:rPr>
              <w:t>二级</w:t>
            </w:r>
          </w:p>
        </w:tc>
        <w:tc>
          <w:tcPr>
            <w:tcW w:w="936" w:type="pct"/>
            <w:vAlign w:val="center"/>
          </w:tcPr>
          <w:p w14:paraId="6A4B1918">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90＜v≤150</w:t>
            </w:r>
          </w:p>
        </w:tc>
        <w:tc>
          <w:tcPr>
            <w:tcW w:w="1000" w:type="pct"/>
            <w:shd w:val="clear" w:color="auto" w:fill="auto"/>
            <w:vAlign w:val="center"/>
          </w:tcPr>
          <w:p w14:paraId="6EA0600E">
            <w:pPr>
              <w:keepNext w:val="0"/>
              <w:keepLines w:val="0"/>
              <w:suppressLineNumbers w:val="0"/>
              <w:spacing w:before="0" w:beforeAutospacing="0" w:after="0" w:afterAutospacing="0" w:line="240" w:lineRule="atLeast"/>
              <w:ind w:left="0" w:leftChars="0" w:right="0" w:rightChars="0" w:firstLine="0" w:firstLineChars="0"/>
              <w:jc w:val="center"/>
              <w:rPr>
                <w:rFonts w:hint="default" w:ascii="Times New Roman" w:hAnsi="Times New Roman" w:eastAsia="仿宋_GB2312" w:cs="Times New Roman"/>
                <w:kern w:val="2"/>
                <w:sz w:val="24"/>
                <w:szCs w:val="24"/>
                <w:lang w:val="en-US" w:eastAsia="zh-CN" w:bidi="ar-SA"/>
              </w:rPr>
            </w:pPr>
            <w:r>
              <w:rPr>
                <w:rFonts w:hint="eastAsia" w:cs="Times New Roman"/>
                <w:sz w:val="24"/>
                <w:szCs w:val="24"/>
                <w:lang w:val="en-US" w:eastAsia="zh-CN"/>
              </w:rPr>
              <w:t>v≤50</w:t>
            </w:r>
          </w:p>
        </w:tc>
        <w:tc>
          <w:tcPr>
            <w:tcW w:w="950" w:type="pct"/>
            <w:vAlign w:val="center"/>
          </w:tcPr>
          <w:p w14:paraId="18995B8C">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6-8</w:t>
            </w:r>
          </w:p>
        </w:tc>
        <w:tc>
          <w:tcPr>
            <w:tcW w:w="1511" w:type="pct"/>
            <w:vAlign w:val="center"/>
          </w:tcPr>
          <w:p w14:paraId="5ACA8C63">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1500</w:t>
            </w:r>
          </w:p>
        </w:tc>
      </w:tr>
      <w:tr w14:paraId="139A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00" w:type="pct"/>
            <w:vAlign w:val="center"/>
          </w:tcPr>
          <w:p w14:paraId="437CD656">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b w:val="0"/>
                <w:bCs w:val="0"/>
                <w:sz w:val="24"/>
                <w:szCs w:val="24"/>
              </w:rPr>
            </w:pPr>
            <w:r>
              <w:rPr>
                <w:rFonts w:hint="eastAsia" w:cs="Times New Roman"/>
                <w:b w:val="0"/>
                <w:bCs w:val="0"/>
                <w:sz w:val="24"/>
                <w:szCs w:val="24"/>
                <w:lang w:val="en-US" w:eastAsia="zh-CN"/>
              </w:rPr>
              <w:t>三级</w:t>
            </w:r>
          </w:p>
        </w:tc>
        <w:tc>
          <w:tcPr>
            <w:tcW w:w="936" w:type="pct"/>
            <w:vAlign w:val="center"/>
          </w:tcPr>
          <w:p w14:paraId="20BE8EDE">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v≤90</w:t>
            </w:r>
          </w:p>
        </w:tc>
        <w:tc>
          <w:tcPr>
            <w:tcW w:w="1000" w:type="pct"/>
            <w:vAlign w:val="center"/>
          </w:tcPr>
          <w:p w14:paraId="598AFC3F">
            <w:pPr>
              <w:keepNext w:val="0"/>
              <w:keepLines w:val="0"/>
              <w:suppressLineNumbers w:val="0"/>
              <w:spacing w:before="0" w:beforeAutospacing="0" w:after="0" w:afterAutospacing="0" w:line="240" w:lineRule="atLeast"/>
              <w:ind w:left="0" w:right="0" w:firstLine="0" w:firstLineChars="0"/>
              <w:jc w:val="center"/>
              <w:rPr>
                <w:rFonts w:hint="eastAsia" w:cs="Times New Roman"/>
                <w:sz w:val="24"/>
                <w:szCs w:val="24"/>
                <w:lang w:val="en-US" w:eastAsia="zh-CN"/>
              </w:rPr>
            </w:pPr>
            <w:r>
              <w:rPr>
                <w:rFonts w:hint="eastAsia" w:cs="Times New Roman"/>
                <w:sz w:val="24"/>
                <w:szCs w:val="24"/>
                <w:lang w:val="en-US" w:eastAsia="zh-CN"/>
              </w:rPr>
              <w:t>汽油罐≤30，</w:t>
            </w:r>
          </w:p>
          <w:p w14:paraId="2DFD014B">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柴油罐≤50</w:t>
            </w:r>
          </w:p>
        </w:tc>
        <w:tc>
          <w:tcPr>
            <w:tcW w:w="950" w:type="pct"/>
            <w:vAlign w:val="center"/>
          </w:tcPr>
          <w:p w14:paraId="2D34AE2E">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rPr>
            </w:pPr>
            <w:r>
              <w:rPr>
                <w:rFonts w:hint="eastAsia" w:cs="Times New Roman"/>
                <w:sz w:val="24"/>
                <w:szCs w:val="24"/>
                <w:lang w:val="en-US" w:eastAsia="zh-CN"/>
              </w:rPr>
              <w:t>4-6</w:t>
            </w:r>
          </w:p>
        </w:tc>
        <w:tc>
          <w:tcPr>
            <w:tcW w:w="1511" w:type="pct"/>
            <w:vAlign w:val="center"/>
          </w:tcPr>
          <w:p w14:paraId="0F8C2F1D">
            <w:pPr>
              <w:keepNext w:val="0"/>
              <w:keepLines w:val="0"/>
              <w:suppressLineNumbers w:val="0"/>
              <w:spacing w:before="0" w:beforeAutospacing="0" w:after="0" w:afterAutospacing="0" w:line="240" w:lineRule="atLeast"/>
              <w:ind w:left="0" w:right="0" w:firstLine="0" w:firstLineChars="0"/>
              <w:jc w:val="center"/>
              <w:rPr>
                <w:rFonts w:hint="default" w:ascii="Times New Roman" w:hAnsi="Times New Roman" w:eastAsia="仿宋_GB2312" w:cs="Times New Roman"/>
                <w:sz w:val="24"/>
                <w:szCs w:val="24"/>
                <w:lang w:val="en-US" w:eastAsia="zh-CN"/>
              </w:rPr>
            </w:pPr>
            <w:r>
              <w:rPr>
                <w:rFonts w:hint="eastAsia" w:cs="Times New Roman"/>
                <w:sz w:val="24"/>
                <w:szCs w:val="24"/>
                <w:lang w:val="en-US" w:eastAsia="zh-CN"/>
              </w:rPr>
              <w:t>1200</w:t>
            </w:r>
          </w:p>
        </w:tc>
      </w:tr>
      <w:tr w14:paraId="71FA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5"/>
            <w:vAlign w:val="center"/>
          </w:tcPr>
          <w:p w14:paraId="0E6D59FF">
            <w:pPr>
              <w:keepNext w:val="0"/>
              <w:keepLines w:val="0"/>
              <w:suppressLineNumbers w:val="0"/>
              <w:spacing w:before="0" w:beforeAutospacing="0" w:after="0" w:afterAutospacing="0" w:line="240" w:lineRule="atLeast"/>
              <w:ind w:left="0" w:right="0" w:firstLine="0" w:firstLineChars="0"/>
              <w:jc w:val="left"/>
              <w:rPr>
                <w:rFonts w:hint="default" w:cs="Times New Roman"/>
                <w:sz w:val="24"/>
                <w:szCs w:val="24"/>
                <w:lang w:val="en-US" w:eastAsia="zh-CN"/>
              </w:rPr>
            </w:pPr>
            <w:r>
              <w:rPr>
                <w:rFonts w:hint="eastAsia" w:cs="Times New Roman"/>
                <w:sz w:val="24"/>
                <w:szCs w:val="24"/>
                <w:lang w:val="en-US" w:eastAsia="zh-CN"/>
              </w:rPr>
              <w:t>注：v为油罐总容积，柴油罐容积可折半计入油罐总容积。</w:t>
            </w:r>
            <w:r>
              <w:rPr>
                <w:rFonts w:hint="eastAsia"/>
                <w:sz w:val="21"/>
                <w:szCs w:val="21"/>
              </w:rPr>
              <w:t>附设机械化洗车的站点，其用地面积应增加160～200㎡。</w:t>
            </w:r>
          </w:p>
        </w:tc>
      </w:tr>
    </w:tbl>
    <w:p w14:paraId="047E96B5">
      <w:pPr>
        <w:pStyle w:val="25"/>
        <w:jc w:val="center"/>
        <w:rPr>
          <w:rFonts w:hint="eastAsia"/>
          <w:lang w:val="en-US" w:eastAsia="zh-CN"/>
        </w:rPr>
      </w:pPr>
      <w:r>
        <w:rPr>
          <w:rFonts w:hint="eastAsia"/>
          <w:lang w:val="en-US" w:eastAsia="zh-CN"/>
        </w:rPr>
        <w:t xml:space="preserve">表5-3 </w:t>
      </w:r>
      <w:r>
        <w:rPr>
          <w:rFonts w:hint="eastAsia"/>
        </w:rPr>
        <w:t>加油</w:t>
      </w:r>
      <w:r>
        <w:rPr>
          <w:rFonts w:hint="eastAsia"/>
          <w:lang w:val="en-US" w:eastAsia="zh-CN"/>
        </w:rPr>
        <w:t>与LNG加气合建站等级划分一览表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2"/>
        <w:gridCol w:w="5449"/>
        <w:gridCol w:w="1043"/>
      </w:tblGrid>
      <w:tr w14:paraId="3547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tcPr>
          <w:p w14:paraId="79B28FDE">
            <w:pPr>
              <w:pStyle w:val="25"/>
              <w:spacing w:line="240" w:lineRule="atLeast"/>
              <w:jc w:val="center"/>
              <w:rPr>
                <w:rFonts w:hint="default"/>
                <w:vertAlign w:val="baseline"/>
                <w:lang w:val="en-US" w:eastAsia="zh-CN"/>
              </w:rPr>
            </w:pPr>
            <w:r>
              <w:rPr>
                <w:rFonts w:hint="eastAsia"/>
                <w:vertAlign w:val="baseline"/>
                <w:lang w:val="en-US" w:eastAsia="zh-CN"/>
              </w:rPr>
              <w:t>合建站等级</w:t>
            </w:r>
          </w:p>
        </w:tc>
        <w:tc>
          <w:tcPr>
            <w:tcW w:w="3046" w:type="pct"/>
          </w:tcPr>
          <w:p w14:paraId="65F70291">
            <w:pPr>
              <w:pStyle w:val="25"/>
              <w:spacing w:line="240" w:lineRule="atLeast"/>
              <w:jc w:val="center"/>
              <w:rPr>
                <w:rFonts w:hint="default"/>
                <w:vertAlign w:val="baseline"/>
                <w:lang w:val="en-US" w:eastAsia="zh-CN"/>
              </w:rPr>
            </w:pPr>
            <w:r>
              <w:rPr>
                <w:rFonts w:hint="eastAsia"/>
                <w:vertAlign w:val="baseline"/>
                <w:lang w:val="en-US" w:eastAsia="zh-CN"/>
              </w:rPr>
              <w:t>油罐与LNG储罐总容积计算公式</w:t>
            </w:r>
          </w:p>
        </w:tc>
        <w:tc>
          <w:tcPr>
            <w:tcW w:w="582" w:type="pct"/>
          </w:tcPr>
          <w:p w14:paraId="3F1F439A">
            <w:pPr>
              <w:pStyle w:val="25"/>
              <w:spacing w:line="240" w:lineRule="atLeast"/>
              <w:jc w:val="center"/>
              <w:rPr>
                <w:rFonts w:hint="eastAsia"/>
                <w:vertAlign w:val="baseline"/>
                <w:lang w:val="en-US" w:eastAsia="zh-CN"/>
              </w:rPr>
            </w:pPr>
          </w:p>
        </w:tc>
      </w:tr>
      <w:tr w14:paraId="199D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vMerge w:val="restart"/>
            <w:vAlign w:val="center"/>
          </w:tcPr>
          <w:p w14:paraId="5C91AFA9">
            <w:pPr>
              <w:pStyle w:val="25"/>
              <w:spacing w:line="240" w:lineRule="atLeast"/>
              <w:jc w:val="center"/>
              <w:rPr>
                <w:rFonts w:hint="eastAsia" w:eastAsia="仿宋_GB2312" w:cs="Times New Roman"/>
                <w:bCs w:val="0"/>
                <w:sz w:val="24"/>
                <w:szCs w:val="24"/>
                <w:vertAlign w:val="baseline"/>
                <w:lang w:val="en-US" w:eastAsia="zh-CN"/>
              </w:rPr>
            </w:pPr>
            <w:r>
              <w:rPr>
                <w:rFonts w:hint="eastAsia" w:eastAsia="仿宋_GB2312" w:cs="Times New Roman"/>
                <w:bCs w:val="0"/>
                <w:sz w:val="24"/>
                <w:szCs w:val="24"/>
                <w:vertAlign w:val="baseline"/>
                <w:lang w:val="en-US" w:eastAsia="zh-CN"/>
              </w:rPr>
              <w:t>一级</w:t>
            </w:r>
          </w:p>
        </w:tc>
        <w:tc>
          <w:tcPr>
            <w:tcW w:w="3046" w:type="pct"/>
            <w:vAlign w:val="center"/>
          </w:tcPr>
          <w:p w14:paraId="4A253C45">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V01/240+VLNG1/180≤0.8</w:t>
            </w:r>
          </w:p>
        </w:tc>
        <w:tc>
          <w:tcPr>
            <w:tcW w:w="582" w:type="pct"/>
            <w:vAlign w:val="center"/>
          </w:tcPr>
          <w:p w14:paraId="3E159E46">
            <w:pPr>
              <w:pStyle w:val="25"/>
              <w:spacing w:line="240" w:lineRule="atLeast"/>
              <w:jc w:val="center"/>
              <w:rPr>
                <w:rFonts w:hint="eastAsia" w:eastAsia="仿宋_GB2312" w:cs="Times New Roman"/>
                <w:bCs w:val="0"/>
                <w:sz w:val="24"/>
                <w:szCs w:val="24"/>
                <w:vertAlign w:val="baseline"/>
                <w:lang w:val="en-US" w:eastAsia="zh-CN"/>
              </w:rPr>
            </w:pPr>
          </w:p>
        </w:tc>
      </w:tr>
      <w:tr w14:paraId="4582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vMerge w:val="continue"/>
            <w:vAlign w:val="center"/>
          </w:tcPr>
          <w:p w14:paraId="76182A3D">
            <w:pPr>
              <w:pStyle w:val="25"/>
              <w:spacing w:line="240" w:lineRule="atLeast"/>
              <w:jc w:val="center"/>
              <w:rPr>
                <w:rFonts w:hint="default" w:eastAsia="仿宋_GB2312" w:cs="Times New Roman"/>
                <w:bCs w:val="0"/>
                <w:sz w:val="24"/>
                <w:szCs w:val="24"/>
                <w:vertAlign w:val="baseline"/>
                <w:lang w:val="en-US" w:eastAsia="zh-CN"/>
              </w:rPr>
            </w:pPr>
          </w:p>
        </w:tc>
        <w:tc>
          <w:tcPr>
            <w:tcW w:w="3046" w:type="pct"/>
            <w:vAlign w:val="center"/>
          </w:tcPr>
          <w:p w14:paraId="61984474">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V01/240+VLNG1/180≤0.7</w:t>
            </w:r>
          </w:p>
        </w:tc>
        <w:tc>
          <w:tcPr>
            <w:tcW w:w="582" w:type="pct"/>
            <w:vAlign w:val="center"/>
          </w:tcPr>
          <w:p w14:paraId="54AF86D8">
            <w:pPr>
              <w:pStyle w:val="25"/>
              <w:spacing w:line="240" w:lineRule="atLeast"/>
              <w:jc w:val="center"/>
              <w:rPr>
                <w:rFonts w:hint="eastAsia" w:eastAsia="仿宋_GB2312" w:cs="Times New Roman"/>
                <w:bCs w:val="0"/>
                <w:sz w:val="24"/>
                <w:szCs w:val="24"/>
                <w:vertAlign w:val="baseline"/>
                <w:lang w:val="en-US" w:eastAsia="zh-CN"/>
              </w:rPr>
            </w:pPr>
          </w:p>
        </w:tc>
      </w:tr>
      <w:tr w14:paraId="4DE0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1371" w:type="pct"/>
            <w:vMerge w:val="restart"/>
            <w:vAlign w:val="center"/>
          </w:tcPr>
          <w:p w14:paraId="766625AF">
            <w:pPr>
              <w:pStyle w:val="25"/>
              <w:spacing w:line="240" w:lineRule="atLeast"/>
              <w:jc w:val="center"/>
              <w:rPr>
                <w:rFonts w:hint="default" w:eastAsia="仿宋_GB2312" w:cs="Times New Roman"/>
                <w:bCs w:val="0"/>
                <w:sz w:val="24"/>
                <w:szCs w:val="24"/>
                <w:vertAlign w:val="baseline"/>
                <w:lang w:val="en-US" w:eastAsia="zh-CN"/>
              </w:rPr>
            </w:pPr>
            <w:r>
              <w:rPr>
                <w:rFonts w:hint="eastAsia" w:eastAsia="仿宋_GB2312" w:cs="Times New Roman"/>
                <w:bCs w:val="0"/>
                <w:sz w:val="24"/>
                <w:szCs w:val="24"/>
                <w:vertAlign w:val="baseline"/>
                <w:lang w:val="en-US" w:eastAsia="zh-CN"/>
              </w:rPr>
              <w:t>二级</w:t>
            </w:r>
          </w:p>
        </w:tc>
        <w:tc>
          <w:tcPr>
            <w:tcW w:w="3046" w:type="pct"/>
            <w:vAlign w:val="center"/>
          </w:tcPr>
          <w:p w14:paraId="68C1F91D">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V02/180+VLNG2/120≤0.8</w:t>
            </w:r>
          </w:p>
        </w:tc>
        <w:tc>
          <w:tcPr>
            <w:tcW w:w="582" w:type="pct"/>
            <w:vAlign w:val="center"/>
          </w:tcPr>
          <w:p w14:paraId="0DD262A1">
            <w:pPr>
              <w:pStyle w:val="25"/>
              <w:spacing w:line="240" w:lineRule="atLeast"/>
              <w:jc w:val="center"/>
              <w:rPr>
                <w:rFonts w:hint="eastAsia" w:eastAsia="仿宋_GB2312" w:cs="Times New Roman"/>
                <w:bCs w:val="0"/>
                <w:sz w:val="24"/>
                <w:szCs w:val="24"/>
                <w:vertAlign w:val="baseline"/>
                <w:lang w:val="en-US" w:eastAsia="zh-CN"/>
              </w:rPr>
            </w:pPr>
          </w:p>
        </w:tc>
      </w:tr>
      <w:tr w14:paraId="30F0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vMerge w:val="continue"/>
            <w:vAlign w:val="center"/>
          </w:tcPr>
          <w:p w14:paraId="260116BE">
            <w:pPr>
              <w:pStyle w:val="25"/>
              <w:spacing w:line="240" w:lineRule="atLeast"/>
              <w:jc w:val="center"/>
              <w:rPr>
                <w:rFonts w:hint="eastAsia" w:eastAsia="仿宋_GB2312" w:cs="Times New Roman"/>
                <w:bCs w:val="0"/>
                <w:sz w:val="24"/>
                <w:szCs w:val="24"/>
                <w:vertAlign w:val="baseline"/>
                <w:lang w:val="en-US" w:eastAsia="zh-CN"/>
              </w:rPr>
            </w:pPr>
          </w:p>
        </w:tc>
        <w:tc>
          <w:tcPr>
            <w:tcW w:w="3046" w:type="pct"/>
            <w:vAlign w:val="center"/>
          </w:tcPr>
          <w:p w14:paraId="2A32DC30">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V02/180+VLNG2/120≤0.7</w:t>
            </w:r>
          </w:p>
        </w:tc>
        <w:tc>
          <w:tcPr>
            <w:tcW w:w="582" w:type="pct"/>
            <w:vAlign w:val="center"/>
          </w:tcPr>
          <w:p w14:paraId="76457BBB">
            <w:pPr>
              <w:pStyle w:val="25"/>
              <w:spacing w:line="240" w:lineRule="atLeast"/>
              <w:jc w:val="center"/>
              <w:rPr>
                <w:rFonts w:hint="eastAsia" w:eastAsia="仿宋_GB2312" w:cs="Times New Roman"/>
                <w:bCs w:val="0"/>
                <w:sz w:val="24"/>
                <w:szCs w:val="24"/>
                <w:vertAlign w:val="baseline"/>
                <w:lang w:val="en-US" w:eastAsia="zh-CN"/>
              </w:rPr>
            </w:pPr>
          </w:p>
        </w:tc>
      </w:tr>
      <w:tr w14:paraId="07F5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vMerge w:val="restart"/>
            <w:vAlign w:val="center"/>
          </w:tcPr>
          <w:p w14:paraId="26BA45A6">
            <w:pPr>
              <w:pStyle w:val="25"/>
              <w:spacing w:line="240" w:lineRule="atLeast"/>
              <w:jc w:val="center"/>
              <w:rPr>
                <w:rFonts w:hint="default" w:eastAsia="仿宋_GB2312" w:cs="Times New Roman"/>
                <w:bCs w:val="0"/>
                <w:sz w:val="24"/>
                <w:szCs w:val="24"/>
                <w:vertAlign w:val="baseline"/>
                <w:lang w:val="en-US" w:eastAsia="zh-CN"/>
              </w:rPr>
            </w:pPr>
            <w:r>
              <w:rPr>
                <w:rFonts w:hint="eastAsia" w:eastAsia="仿宋_GB2312" w:cs="Times New Roman"/>
                <w:bCs w:val="0"/>
                <w:sz w:val="24"/>
                <w:szCs w:val="24"/>
                <w:vertAlign w:val="baseline"/>
                <w:lang w:val="en-US" w:eastAsia="zh-CN"/>
              </w:rPr>
              <w:t>三级</w:t>
            </w:r>
          </w:p>
        </w:tc>
        <w:tc>
          <w:tcPr>
            <w:tcW w:w="3046" w:type="pct"/>
            <w:vAlign w:val="center"/>
          </w:tcPr>
          <w:p w14:paraId="24BDCD5B">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V03/120+VLNG3/60≤0.8</w:t>
            </w:r>
          </w:p>
        </w:tc>
        <w:tc>
          <w:tcPr>
            <w:tcW w:w="582" w:type="pct"/>
            <w:vAlign w:val="center"/>
          </w:tcPr>
          <w:p w14:paraId="28712039">
            <w:pPr>
              <w:pStyle w:val="25"/>
              <w:spacing w:line="240" w:lineRule="atLeast"/>
              <w:jc w:val="center"/>
              <w:rPr>
                <w:rFonts w:hint="eastAsia" w:eastAsia="仿宋_GB2312" w:cs="Times New Roman"/>
                <w:bCs w:val="0"/>
                <w:sz w:val="24"/>
                <w:szCs w:val="24"/>
                <w:vertAlign w:val="baseline"/>
                <w:lang w:val="en-US" w:eastAsia="zh-CN"/>
              </w:rPr>
            </w:pPr>
          </w:p>
        </w:tc>
      </w:tr>
      <w:tr w14:paraId="7FE8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71" w:type="pct"/>
            <w:vMerge w:val="continue"/>
            <w:vAlign w:val="center"/>
          </w:tcPr>
          <w:p w14:paraId="0B2BC705">
            <w:pPr>
              <w:pStyle w:val="25"/>
              <w:spacing w:line="240" w:lineRule="atLeast"/>
              <w:jc w:val="center"/>
              <w:rPr>
                <w:rFonts w:hint="eastAsia" w:eastAsia="仿宋_GB2312" w:cs="Times New Roman"/>
                <w:bCs w:val="0"/>
                <w:sz w:val="24"/>
                <w:szCs w:val="24"/>
                <w:vertAlign w:val="baseline"/>
                <w:lang w:val="en-US" w:eastAsia="zh-CN"/>
              </w:rPr>
            </w:pPr>
          </w:p>
        </w:tc>
        <w:tc>
          <w:tcPr>
            <w:tcW w:w="3046" w:type="pct"/>
            <w:vAlign w:val="center"/>
          </w:tcPr>
          <w:p w14:paraId="6626CCE1">
            <w:pPr>
              <w:keepNext w:val="0"/>
              <w:widowControl/>
              <w:spacing w:line="240" w:lineRule="atLeast"/>
              <w:jc w:val="left"/>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kern w:val="2"/>
                <w:sz w:val="24"/>
                <w:szCs w:val="24"/>
                <w:lang w:val="en-US" w:eastAsia="zh-CN" w:bidi="ar-SA"/>
              </w:rPr>
              <w:t>V03/120+VLNG3/60≤0.7</w:t>
            </w:r>
          </w:p>
        </w:tc>
        <w:tc>
          <w:tcPr>
            <w:tcW w:w="582" w:type="pct"/>
            <w:vAlign w:val="center"/>
          </w:tcPr>
          <w:p w14:paraId="52797863">
            <w:pPr>
              <w:pStyle w:val="25"/>
              <w:spacing w:line="240" w:lineRule="atLeast"/>
              <w:jc w:val="center"/>
              <w:rPr>
                <w:rFonts w:hint="eastAsia" w:eastAsia="仿宋_GB2312" w:cs="Times New Roman"/>
                <w:bCs w:val="0"/>
                <w:sz w:val="24"/>
                <w:szCs w:val="24"/>
                <w:vertAlign w:val="baseline"/>
                <w:lang w:val="en-US" w:eastAsia="zh-CN"/>
              </w:rPr>
            </w:pPr>
          </w:p>
        </w:tc>
      </w:tr>
      <w:tr w14:paraId="6C60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3"/>
            <w:vAlign w:val="center"/>
          </w:tcPr>
          <w:p w14:paraId="3B474FD4">
            <w:pPr>
              <w:pStyle w:val="26"/>
              <w:keepNext w:val="0"/>
              <w:keepLines w:val="0"/>
              <w:pageBreakBefore w:val="0"/>
              <w:widowControl/>
              <w:suppressLineNumbers w:val="0"/>
              <w:kinsoku/>
              <w:wordWrap/>
              <w:overflowPunct w:val="0"/>
              <w:topLinePunct w:val="0"/>
              <w:autoSpaceDE/>
              <w:autoSpaceDN/>
              <w:bidi w:val="0"/>
              <w:adjustRightInd/>
              <w:snapToGrid/>
              <w:spacing w:line="240" w:lineRule="atLeast"/>
              <w:jc w:val="left"/>
              <w:textAlignment w:val="center"/>
              <w:rPr>
                <w:rFonts w:hint="eastAsia" w:cs="Times New Roman"/>
                <w:bCs w:val="0"/>
                <w:color w:val="auto"/>
                <w:kern w:val="2"/>
                <w:lang w:bidi="ar-SA"/>
              </w:rPr>
            </w:pPr>
            <w:r>
              <w:rPr>
                <w:rFonts w:hint="eastAsia" w:ascii="Times New Roman" w:hAnsi="Times New Roman" w:eastAsia="仿宋_GB2312" w:cs="Times New Roman"/>
                <w:bCs w:val="0"/>
                <w:color w:val="auto"/>
                <w:kern w:val="2"/>
                <w:sz w:val="24"/>
                <w:szCs w:val="24"/>
                <w:lang w:val="en-US" w:eastAsia="zh-CN" w:bidi="ar-SA"/>
              </w:rPr>
              <w:t>注：1.V01、V02、V03分别为一、二、三级合建站中油品储罐总容积（m³）；VLNG1、VLNG2、VLNG3分别为一、二、三级合建站中LNG储罐的总容积（m³）；</w:t>
            </w:r>
            <w:r>
              <w:rPr>
                <w:rFonts w:hint="eastAsia" w:cs="Times New Roman"/>
                <w:bCs w:val="0"/>
                <w:color w:val="auto"/>
                <w:kern w:val="2"/>
                <w:sz w:val="24"/>
                <w:szCs w:val="24"/>
                <w:lang w:val="en-US" w:eastAsia="zh-CN" w:bidi="ar-SA"/>
              </w:rPr>
              <w:t>“</w:t>
            </w:r>
            <w:r>
              <w:rPr>
                <w:rFonts w:hint="eastAsia" w:ascii="Times New Roman" w:hAnsi="Times New Roman" w:eastAsia="仿宋_GB2312" w:cs="Times New Roman"/>
                <w:bCs w:val="0"/>
                <w:color w:val="auto"/>
                <w:kern w:val="2"/>
                <w:sz w:val="24"/>
                <w:szCs w:val="24"/>
                <w:lang w:val="en-US" w:eastAsia="zh-CN" w:bidi="ar-SA"/>
              </w:rPr>
              <w:t>”为除号；</w:t>
            </w:r>
          </w:p>
          <w:p w14:paraId="2AA5E29F">
            <w:pPr>
              <w:pStyle w:val="26"/>
              <w:keepNext w:val="0"/>
              <w:keepLines w:val="0"/>
              <w:pageBreakBefore w:val="0"/>
              <w:widowControl/>
              <w:suppressLineNumbers w:val="0"/>
              <w:kinsoku/>
              <w:wordWrap/>
              <w:overflowPunct w:val="0"/>
              <w:topLinePunct w:val="0"/>
              <w:autoSpaceDE/>
              <w:autoSpaceDN/>
              <w:bidi w:val="0"/>
              <w:adjustRightInd/>
              <w:snapToGrid/>
              <w:spacing w:line="240" w:lineRule="atLeast"/>
              <w:jc w:val="left"/>
              <w:textAlignment w:val="center"/>
              <w:rPr>
                <w:rFonts w:hint="eastAsia" w:cs="Times New Roman"/>
                <w:bCs w:val="0"/>
                <w:color w:val="auto"/>
                <w:kern w:val="2"/>
                <w:lang w:bidi="ar-SA"/>
              </w:rPr>
            </w:pPr>
            <w:r>
              <w:rPr>
                <w:rFonts w:hint="eastAsia" w:ascii="Times New Roman" w:hAnsi="Times New Roman" w:eastAsia="仿宋_GB2312" w:cs="Times New Roman"/>
                <w:bCs w:val="0"/>
                <w:color w:val="auto"/>
                <w:kern w:val="2"/>
                <w:sz w:val="24"/>
                <w:szCs w:val="24"/>
                <w:lang w:val="en-US" w:eastAsia="zh-CN" w:bidi="ar-SA"/>
              </w:rPr>
              <w:t>2.柴油罐容积可折半计入</w:t>
            </w:r>
            <w:r>
              <w:rPr>
                <w:rFonts w:hint="eastAsia" w:cs="Times New Roman"/>
                <w:bCs w:val="0"/>
                <w:color w:val="auto"/>
                <w:kern w:val="2"/>
                <w:sz w:val="24"/>
                <w:szCs w:val="24"/>
                <w:lang w:val="en-US" w:eastAsia="zh-CN" w:bidi="ar-SA"/>
              </w:rPr>
              <w:t>油罐</w:t>
            </w:r>
            <w:r>
              <w:rPr>
                <w:rFonts w:hint="eastAsia" w:ascii="Times New Roman" w:hAnsi="Times New Roman" w:eastAsia="仿宋_GB2312" w:cs="Times New Roman"/>
                <w:bCs w:val="0"/>
                <w:color w:val="auto"/>
                <w:kern w:val="2"/>
                <w:sz w:val="24"/>
                <w:szCs w:val="24"/>
                <w:lang w:val="en-US" w:eastAsia="zh-CN" w:bidi="ar-SA"/>
              </w:rPr>
              <w:t>总容积；</w:t>
            </w:r>
          </w:p>
          <w:p w14:paraId="2EB7DD98">
            <w:pPr>
              <w:pStyle w:val="26"/>
              <w:keepNext w:val="0"/>
              <w:keepLines w:val="0"/>
              <w:pageBreakBefore w:val="0"/>
              <w:widowControl/>
              <w:suppressLineNumbers w:val="0"/>
              <w:kinsoku/>
              <w:wordWrap/>
              <w:overflowPunct w:val="0"/>
              <w:topLinePunct w:val="0"/>
              <w:autoSpaceDE/>
              <w:autoSpaceDN/>
              <w:bidi w:val="0"/>
              <w:adjustRightInd/>
              <w:snapToGrid/>
              <w:spacing w:line="240" w:lineRule="atLeast"/>
              <w:jc w:val="left"/>
              <w:textAlignment w:val="center"/>
              <w:rPr>
                <w:rFonts w:hint="eastAsia" w:cs="Times New Roman"/>
                <w:bCs w:val="0"/>
                <w:color w:val="auto"/>
                <w:kern w:val="2"/>
                <w:lang w:bidi="ar-SA"/>
              </w:rPr>
            </w:pPr>
            <w:r>
              <w:rPr>
                <w:rFonts w:hint="eastAsia" w:ascii="Times New Roman" w:hAnsi="Times New Roman" w:eastAsia="仿宋_GB2312" w:cs="Times New Roman"/>
                <w:bCs w:val="0"/>
                <w:color w:val="auto"/>
                <w:kern w:val="2"/>
                <w:sz w:val="24"/>
                <w:szCs w:val="24"/>
                <w:lang w:val="en-US" w:eastAsia="zh-CN" w:bidi="ar-SA"/>
              </w:rPr>
              <w:t>3.当油罐总容积大于90m³时，油罐单罐容积不应大于50m³；当油罐总容积小于或等于90m³时，汽油罐单罐容积不应大于30m³，柴油罐单罐容积不应大于50m³；</w:t>
            </w:r>
          </w:p>
          <w:p w14:paraId="3F378DD0">
            <w:pPr>
              <w:pStyle w:val="26"/>
              <w:keepNext w:val="0"/>
              <w:keepLines w:val="0"/>
              <w:pageBreakBefore w:val="0"/>
              <w:widowControl/>
              <w:kinsoku/>
              <w:wordWrap/>
              <w:overflowPunct w:val="0"/>
              <w:topLinePunct w:val="0"/>
              <w:autoSpaceDE/>
              <w:autoSpaceDN/>
              <w:bidi w:val="0"/>
              <w:adjustRightInd/>
              <w:snapToGrid/>
              <w:spacing w:line="240" w:lineRule="atLeast"/>
              <w:jc w:val="left"/>
              <w:textAlignment w:val="center"/>
              <w:rPr>
                <w:rFonts w:hint="eastAsia" w:eastAsia="仿宋_GB2312" w:cs="Times New Roman"/>
                <w:bCs w:val="0"/>
                <w:sz w:val="24"/>
                <w:szCs w:val="24"/>
                <w:vertAlign w:val="baseline"/>
                <w:lang w:val="en-US" w:eastAsia="zh-CN"/>
              </w:rPr>
            </w:pPr>
            <w:r>
              <w:rPr>
                <w:rFonts w:hint="eastAsia" w:ascii="Times New Roman" w:hAnsi="Times New Roman" w:eastAsia="仿宋_GB2312" w:cs="Times New Roman"/>
                <w:bCs w:val="0"/>
                <w:color w:val="auto"/>
                <w:kern w:val="2"/>
                <w:sz w:val="24"/>
                <w:szCs w:val="24"/>
                <w:lang w:val="en-US" w:eastAsia="zh-CN" w:bidi="ar-SA"/>
              </w:rPr>
              <w:t>4.LNG储罐的单罐容积不应大于60m³。</w:t>
            </w:r>
          </w:p>
        </w:tc>
      </w:tr>
    </w:tbl>
    <w:p w14:paraId="49E8EA94">
      <w:pPr>
        <w:pStyle w:val="4"/>
        <w:bidi w:val="0"/>
        <w:rPr>
          <w:rFonts w:hint="eastAsia"/>
          <w:lang w:val="en-US" w:eastAsia="zh-CN"/>
        </w:rPr>
      </w:pPr>
      <w:r>
        <w:rPr>
          <w:rFonts w:hint="eastAsia"/>
          <w:lang w:val="en-US" w:eastAsia="zh-CN"/>
        </w:rPr>
        <w:t>（四）站址选择要求</w:t>
      </w:r>
    </w:p>
    <w:p w14:paraId="7C14CA87">
      <w:pPr>
        <w:bidi w:val="0"/>
        <w:rPr>
          <w:rFonts w:hint="eastAsia"/>
          <w:lang w:eastAsia="zh-CN"/>
        </w:rPr>
      </w:pPr>
      <w:r>
        <w:rPr>
          <w:rFonts w:hint="eastAsia"/>
        </w:rPr>
        <w:t>规划从消防安全、环境保护和交通安全三个方面考虑，提出</w:t>
      </w:r>
      <w:r>
        <w:rPr>
          <w:rFonts w:hint="eastAsia"/>
          <w:lang w:val="en-US" w:eastAsia="zh-CN"/>
        </w:rPr>
        <w:t>站点</w:t>
      </w:r>
      <w:r>
        <w:rPr>
          <w:rFonts w:hint="eastAsia"/>
        </w:rPr>
        <w:t>规划选址定点要求</w:t>
      </w:r>
      <w:r>
        <w:rPr>
          <w:rFonts w:hint="eastAsia"/>
          <w:lang w:eastAsia="zh-CN"/>
        </w:rPr>
        <w:t>。</w:t>
      </w:r>
    </w:p>
    <w:p w14:paraId="18E74F1A">
      <w:pPr>
        <w:bidi w:val="0"/>
        <w:rPr>
          <w:rFonts w:hint="eastAsia"/>
        </w:rPr>
      </w:pPr>
      <w:r>
        <w:rPr>
          <w:rFonts w:hint="eastAsia"/>
          <w:lang w:val="en-US" w:eastAsia="zh-CN"/>
        </w:rPr>
        <w:t>1.</w:t>
      </w:r>
      <w:r>
        <w:rPr>
          <w:rFonts w:hint="eastAsia"/>
        </w:rPr>
        <w:t>与人流聚散点和重要设施安全距离要求</w:t>
      </w:r>
    </w:p>
    <w:p w14:paraId="61A203B4">
      <w:pPr>
        <w:bidi w:val="0"/>
        <w:rPr>
          <w:rFonts w:hint="eastAsia"/>
        </w:rPr>
      </w:pPr>
      <w:r>
        <w:rPr>
          <w:rFonts w:hint="eastAsia"/>
        </w:rPr>
        <w:t>加油站出入口与学校、医院和居住小区等设施的主要出入口距离不宜小于50m，避免加油车辆给行人带来不便；与桥梁引道口、隧道口、铁路平交道口、军事设施、堤防等重要设施的距离应大于100m。在轨道交通控制保护区内不得建设加油站，轨道交通控制保护区即轨道交通地下工程结构边线、高架车站及高架线路工程结构水平投影外侧30m，以及地面车站及地面线路、车辆段、控制中心、变电站用地范围外侧20m范围以内区域。加油站、加油加气合建站的油罐、加油机和通气管管口与站外建、构筑物的防火距离，按照《汽车加油加气站设计与施工规范》（GB50156-2012）（2014局部修订版）的要求。</w:t>
      </w:r>
    </w:p>
    <w:p w14:paraId="670AD721">
      <w:pPr>
        <w:bidi w:val="0"/>
        <w:rPr>
          <w:rFonts w:hint="eastAsia"/>
          <w:lang w:eastAsia="zh-CN"/>
        </w:rPr>
      </w:pPr>
      <w:r>
        <w:rPr>
          <w:rFonts w:hint="eastAsia"/>
          <w:lang w:val="en-US" w:eastAsia="zh-CN"/>
        </w:rPr>
        <w:t>2.</w:t>
      </w:r>
      <w:r>
        <w:rPr>
          <w:rFonts w:hint="eastAsia"/>
          <w:lang w:eastAsia="zh-CN"/>
        </w:rPr>
        <w:t>环境保护要求</w:t>
      </w:r>
    </w:p>
    <w:p w14:paraId="511CD1E2">
      <w:pPr>
        <w:bidi w:val="0"/>
        <w:rPr>
          <w:rFonts w:hint="eastAsia"/>
          <w:lang w:eastAsia="zh-CN"/>
        </w:rPr>
      </w:pPr>
      <w:r>
        <w:rPr>
          <w:rFonts w:hint="eastAsia"/>
          <w:lang w:eastAsia="zh-CN"/>
        </w:rPr>
        <w:t>在风景名胜区、疗养区、高级别墅区、高级宾馆区、居民住宅小区等区域内不宜设置加油站。加油站与城市一、二级饮用水源保护区及饮用水源取水点的水域距离不应小于1000m，陆域距离不应小于500m，避免对水资源产生污染。加油站的选址应考虑其作业及车辆出入对邻近易受噪声影响地方可能造成的噪声影响，尤其应考虑在夜间所造成的影响；加油站应与周边环境相协调，其建设不应影响城市景观。</w:t>
      </w:r>
    </w:p>
    <w:p w14:paraId="78B77A4F">
      <w:pPr>
        <w:bidi w:val="0"/>
        <w:rPr>
          <w:rFonts w:hint="eastAsia"/>
          <w:lang w:eastAsia="zh-CN"/>
        </w:rPr>
      </w:pPr>
      <w:r>
        <w:rPr>
          <w:rFonts w:hint="eastAsia"/>
          <w:lang w:val="en-US" w:eastAsia="zh-CN"/>
        </w:rPr>
        <w:t>3.</w:t>
      </w:r>
      <w:r>
        <w:rPr>
          <w:rFonts w:hint="eastAsia"/>
          <w:lang w:eastAsia="zh-CN"/>
        </w:rPr>
        <w:t>与道路交叉口的距离要求</w:t>
      </w:r>
    </w:p>
    <w:p w14:paraId="07BD04CB">
      <w:pPr>
        <w:bidi w:val="0"/>
        <w:rPr>
          <w:rFonts w:hint="eastAsia"/>
          <w:lang w:eastAsia="zh-CN"/>
        </w:rPr>
      </w:pPr>
      <w:r>
        <w:rPr>
          <w:rFonts w:hint="eastAsia"/>
          <w:lang w:eastAsia="zh-CN"/>
        </w:rPr>
        <w:t>城市道路交叉口是交通流的交汇点，不论是平面交叉口还是立体交叉口，都是交通流矛盾的集中点，如果加油站设于交叉口附近，加油车辆进出加油站，不但阻滞交通，降低交叉口的通行能力，还容易引发交通事故。因此，加油站应尽量避开交叉口，安排在路段中间；如确有必要，应对加油站的出入口进行合理布局，不应影响道路交叉口的通行能力；服务于高速公路的加油站距交叉口车流交汇点的距离应大于2km。</w:t>
      </w:r>
    </w:p>
    <w:p w14:paraId="7FAAB4ED">
      <w:pPr>
        <w:bidi w:val="0"/>
        <w:rPr>
          <w:rFonts w:hint="eastAsia"/>
          <w:lang w:eastAsia="zh-CN"/>
        </w:rPr>
      </w:pPr>
      <w:r>
        <w:rPr>
          <w:rFonts w:hint="eastAsia"/>
          <w:lang w:val="en-US" w:eastAsia="zh-CN"/>
        </w:rPr>
        <w:t>4.</w:t>
      </w:r>
      <w:r>
        <w:rPr>
          <w:rFonts w:hint="eastAsia"/>
          <w:lang w:eastAsia="zh-CN"/>
        </w:rPr>
        <w:t>出入口的行车视距要求</w:t>
      </w:r>
    </w:p>
    <w:p w14:paraId="26B388B0">
      <w:pPr>
        <w:bidi w:val="0"/>
        <w:rPr>
          <w:rFonts w:hint="eastAsia"/>
          <w:lang w:eastAsia="zh-CN"/>
        </w:rPr>
      </w:pPr>
      <w:r>
        <w:rPr>
          <w:rFonts w:hint="eastAsia"/>
          <w:lang w:eastAsia="zh-CN"/>
        </w:rPr>
        <w:t>加油站的出口和入口分别是加油车辆与相邻道路行驶车辆的分流点和汇合点，加油车辆进出加油站对道路行车会产生一定的影响，因此选址定点时必须保证加油站出入口的行车视距：出入口的行车视距一般不小于100m，特殊情况不得小于50m。加油站宜设在距道路弯道、竖曲线范围的100m之外。</w:t>
      </w:r>
    </w:p>
    <w:p w14:paraId="075B3BBB">
      <w:pPr>
        <w:pStyle w:val="4"/>
        <w:bidi w:val="0"/>
        <w:rPr>
          <w:rFonts w:hint="eastAsia"/>
          <w:lang w:val="en-US" w:eastAsia="zh-CN"/>
        </w:rPr>
      </w:pPr>
      <w:bookmarkStart w:id="117" w:name="_Toc74815481"/>
      <w:bookmarkStart w:id="118" w:name="_Toc78437225"/>
      <w:bookmarkStart w:id="119" w:name="_Toc1745034271"/>
      <w:bookmarkStart w:id="120" w:name="_Toc65736150"/>
      <w:bookmarkStart w:id="121" w:name="_Toc75536732"/>
      <w:r>
        <w:rPr>
          <w:rFonts w:hint="eastAsia"/>
          <w:lang w:val="en-US" w:eastAsia="zh-CN"/>
        </w:rPr>
        <w:t>（五）单站具体建设规模</w:t>
      </w:r>
      <w:bookmarkEnd w:id="117"/>
      <w:bookmarkEnd w:id="118"/>
      <w:bookmarkEnd w:id="119"/>
      <w:bookmarkEnd w:id="120"/>
      <w:bookmarkEnd w:id="121"/>
    </w:p>
    <w:p w14:paraId="00B3DA5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单站具体建设规模总体上取决于辐射区域车流量、车流结构、车流高峰期等，根据实际需求，可选择单一站、站点+便利店、站点+汽车服务以及站点+快餐店等不同用地组合。</w:t>
      </w:r>
      <w:r>
        <w:rPr>
          <w:rFonts w:hint="default"/>
        </w:rPr>
        <w:t>加油站一般分一级站、二级站和三级站三类（具体等级划分根据《汽车加油加气加氢站技术标准》（GB50156-2021）确定），</w:t>
      </w:r>
      <w:r>
        <w:rPr>
          <w:rFonts w:hint="eastAsia"/>
          <w:lang w:val="en-US" w:eastAsia="zh-CN"/>
        </w:rPr>
        <w:t>单站规模应遵循下列原则：</w:t>
      </w:r>
    </w:p>
    <w:p w14:paraId="1FC3BCC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1.在城市中心区和建成区为节约城市用地，不宜建一级加油站、一级加油加气合建站，中心城区小型站将成为城市加油站的发展方向。</w:t>
      </w:r>
    </w:p>
    <w:p w14:paraId="152CE00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2.高速公路加油站建设应配合服务区建设，需求量大、服务功能齐全的可考虑按照一级站标准建设。</w:t>
      </w:r>
    </w:p>
    <w:p w14:paraId="11E5C94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3.国道、省道应以一、二级站为主，具体根据车流量和周边环境确定加油站建设等级规模。</w:t>
      </w:r>
    </w:p>
    <w:p w14:paraId="4359823B">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4.县乡道路站建设应与建制乡镇规划统一考虑，以三级站与加油点相结合。</w:t>
      </w:r>
    </w:p>
    <w:p w14:paraId="7871C956">
      <w:pPr>
        <w:pStyle w:val="4"/>
        <w:bidi w:val="0"/>
        <w:rPr>
          <w:rFonts w:hint="eastAsia"/>
          <w:lang w:val="en-US" w:eastAsia="zh-CN"/>
        </w:rPr>
      </w:pPr>
      <w:bookmarkStart w:id="122" w:name="_Toc78437226"/>
      <w:bookmarkStart w:id="123" w:name="_Toc383019347"/>
      <w:bookmarkStart w:id="124" w:name="_Toc606825618"/>
      <w:r>
        <w:rPr>
          <w:rFonts w:hint="eastAsia"/>
          <w:lang w:val="en-US" w:eastAsia="zh-CN"/>
        </w:rPr>
        <w:t>（六）加油站建设功能要求</w:t>
      </w:r>
      <w:bookmarkEnd w:id="122"/>
      <w:bookmarkEnd w:id="123"/>
      <w:bookmarkEnd w:id="124"/>
    </w:p>
    <w:p w14:paraId="39571CB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提高网点服务水平。提升加油站综合服务功能，加油站原则上均可与电动汽车充电设施联合建站，在建设条件允许的情况下，各加油站点内部预留充换电等新能源供应设施和运营场地空间。鼓励引导有条件的企业按照相关法律法规和标准规范要求，有序推进加油、加气、充电等多种能源供给，不断满足客户多样化需求。推进智慧加油站建设，结合互联网、大数据、云平台等技术运用，推行自助结算，推广自助加油、提高服务效率，改善消费体验。</w:t>
      </w:r>
    </w:p>
    <w:p w14:paraId="033A164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lang w:val="en-US" w:eastAsia="zh-CN"/>
        </w:rPr>
      </w:pPr>
      <w:r>
        <w:rPr>
          <w:rFonts w:hint="eastAsia"/>
          <w:lang w:val="en-US" w:eastAsia="zh-CN"/>
        </w:rPr>
        <w:t>积极发展非油品业务。支持加油站因地制宜、因站制宜，推出便利店、汽配维修及保养美容、餐饮、休闲、旅游、租车等服务，优先支持有条件的加油站开展汽车服务，引导加油站由油品加注站向综合服务站转型。鼓励企业发展自有品牌便利店，或和品牌连锁便利店企业合作，提升加油站便利店品牌化、连锁化水平。</w:t>
      </w:r>
    </w:p>
    <w:p w14:paraId="33AD5E3D">
      <w:pPr>
        <w:pStyle w:val="4"/>
        <w:keepNext w:val="0"/>
        <w:keepLines w:val="0"/>
        <w:pageBreakBefore w:val="0"/>
        <w:widowControl w:val="0"/>
        <w:kinsoku/>
        <w:wordWrap/>
        <w:overflowPunct w:val="0"/>
        <w:topLinePunct w:val="0"/>
        <w:autoSpaceDE/>
        <w:autoSpaceDN/>
        <w:bidi w:val="0"/>
        <w:adjustRightInd/>
        <w:snapToGrid/>
        <w:ind w:firstLineChars="200"/>
        <w:textAlignment w:val="auto"/>
        <w:rPr>
          <w:rFonts w:hint="eastAsia"/>
          <w:lang w:val="en-US" w:eastAsia="zh-CN"/>
        </w:rPr>
      </w:pPr>
      <w:r>
        <w:rPr>
          <w:rFonts w:hint="eastAsia"/>
          <w:lang w:val="en-US" w:eastAsia="zh-CN"/>
        </w:rPr>
        <w:t>（七）加油站转型升级为综合能源补给站点</w:t>
      </w:r>
    </w:p>
    <w:p w14:paraId="19D558F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rPr>
        <w:t>为应对“新时代”的转变，需驱动加油站行业向更高阶的数字化、综合能源补给方向发展，即新建和符合条件的现有加油站需从单一油品供给向充换电、加气等多品类拓展，从能源补给服务向便利店</w:t>
      </w:r>
      <w:r>
        <w:rPr>
          <w:rFonts w:hint="eastAsia"/>
          <w:lang w:eastAsia="zh-CN"/>
        </w:rPr>
        <w:t>、</w:t>
      </w:r>
      <w:r>
        <w:rPr>
          <w:rFonts w:hint="eastAsia"/>
        </w:rPr>
        <w:t>汽服等多种商业形态延伸。</w:t>
      </w:r>
    </w:p>
    <w:p w14:paraId="4BB1F151">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b/>
          <w:bCs/>
        </w:rPr>
      </w:pPr>
      <w:r>
        <w:rPr>
          <w:rFonts w:hint="eastAsia"/>
          <w:b/>
          <w:bCs/>
        </w:rPr>
        <w:t>1</w:t>
      </w:r>
      <w:r>
        <w:rPr>
          <w:rFonts w:hint="eastAsia"/>
          <w:b/>
          <w:bCs/>
          <w:lang w:val="en-US" w:eastAsia="zh-CN"/>
        </w:rPr>
        <w:t>.</w:t>
      </w:r>
      <w:r>
        <w:rPr>
          <w:rFonts w:hint="eastAsia"/>
          <w:b/>
          <w:bCs/>
        </w:rPr>
        <w:t>提升加油站综合服务功能</w:t>
      </w:r>
    </w:p>
    <w:p w14:paraId="009A259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rPr>
        <w:t>鼓励有条件的企业按照法律法规和标准规范要求，提升加油站服务功能和服务质量，增加非油品消费服务功能，满足消费者多样化需求。建议加油站按如下方向转型升级</w:t>
      </w:r>
      <w:r>
        <w:rPr>
          <w:rFonts w:hint="eastAsia"/>
          <w:lang w:eastAsia="zh-CN"/>
        </w:rPr>
        <w:t>：</w:t>
      </w:r>
    </w:p>
    <w:p w14:paraId="3811A63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lang w:eastAsia="zh-CN"/>
        </w:rPr>
        <w:t>（</w:t>
      </w:r>
      <w:r>
        <w:rPr>
          <w:rFonts w:hint="eastAsia"/>
          <w:lang w:val="en-US" w:eastAsia="zh-CN"/>
        </w:rPr>
        <w:t>1</w:t>
      </w:r>
      <w:r>
        <w:rPr>
          <w:rFonts w:hint="eastAsia"/>
          <w:lang w:eastAsia="zh-CN"/>
        </w:rPr>
        <w:t>）</w:t>
      </w:r>
      <w:r>
        <w:rPr>
          <w:rFonts w:hint="eastAsia"/>
        </w:rPr>
        <w:t>保留调整</w:t>
      </w:r>
      <w:r>
        <w:rPr>
          <w:rFonts w:hint="eastAsia"/>
          <w:lang w:eastAsia="zh-CN"/>
        </w:rPr>
        <w:t>：</w:t>
      </w:r>
      <w:r>
        <w:rPr>
          <w:rFonts w:hint="eastAsia"/>
        </w:rPr>
        <w:t>保留城市城区内符合布局标准、现有规模较小且无升级改造条件的加油站</w:t>
      </w:r>
      <w:r>
        <w:rPr>
          <w:rFonts w:hint="eastAsia"/>
          <w:lang w:eastAsia="zh-CN"/>
        </w:rPr>
        <w:t>，</w:t>
      </w:r>
      <w:r>
        <w:rPr>
          <w:rFonts w:hint="eastAsia"/>
        </w:rPr>
        <w:t>后期有条件可逐步升级改造为综合能源补给站。</w:t>
      </w:r>
    </w:p>
    <w:p w14:paraId="1DFFB39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lang w:eastAsia="zh-CN"/>
        </w:rPr>
        <w:t>（</w:t>
      </w:r>
      <w:r>
        <w:rPr>
          <w:rFonts w:hint="eastAsia"/>
          <w:lang w:val="en-US" w:eastAsia="zh-CN"/>
        </w:rPr>
        <w:t>2</w:t>
      </w:r>
      <w:r>
        <w:rPr>
          <w:rFonts w:hint="eastAsia"/>
          <w:lang w:eastAsia="zh-CN"/>
        </w:rPr>
        <w:t>）</w:t>
      </w:r>
      <w:r>
        <w:rPr>
          <w:rFonts w:hint="eastAsia"/>
        </w:rPr>
        <w:t>改造升级</w:t>
      </w:r>
      <w:r>
        <w:rPr>
          <w:rFonts w:hint="eastAsia"/>
          <w:lang w:eastAsia="zh-CN"/>
        </w:rPr>
        <w:t>：</w:t>
      </w:r>
      <w:r>
        <w:rPr>
          <w:rFonts w:hint="eastAsia"/>
        </w:rPr>
        <w:t>城市建成区、高速公路、国省道、乡镇等具备改造升级条件的加油站，逐步升级为综合能源补给站。</w:t>
      </w:r>
    </w:p>
    <w:p w14:paraId="2252D9C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lang w:eastAsia="zh-CN"/>
        </w:rPr>
        <w:t>（</w:t>
      </w:r>
      <w:r>
        <w:rPr>
          <w:rFonts w:hint="eastAsia"/>
          <w:lang w:val="en-US" w:eastAsia="zh-CN"/>
        </w:rPr>
        <w:t>3</w:t>
      </w:r>
      <w:r>
        <w:rPr>
          <w:rFonts w:hint="eastAsia"/>
          <w:lang w:eastAsia="zh-CN"/>
        </w:rPr>
        <w:t>）</w:t>
      </w:r>
      <w:r>
        <w:rPr>
          <w:rFonts w:hint="eastAsia"/>
        </w:rPr>
        <w:t>新建迁建站点必须严格遵循</w:t>
      </w:r>
      <w:r>
        <w:rPr>
          <w:rFonts w:hint="eastAsia"/>
          <w:lang w:eastAsia="zh-CN"/>
        </w:rPr>
        <w:t>“</w:t>
      </w:r>
      <w:r>
        <w:rPr>
          <w:rFonts w:hint="eastAsia"/>
        </w:rPr>
        <w:t>多能互补、集约高效</w:t>
      </w:r>
      <w:r>
        <w:rPr>
          <w:rFonts w:hint="eastAsia"/>
          <w:lang w:eastAsia="zh-CN"/>
        </w:rPr>
        <w:t>”</w:t>
      </w:r>
      <w:r>
        <w:rPr>
          <w:rFonts w:hint="eastAsia"/>
        </w:rPr>
        <w:t>原则，原则上要求同步集成</w:t>
      </w:r>
      <w:r>
        <w:rPr>
          <w:rFonts w:hint="eastAsia"/>
          <w:lang w:eastAsia="zh-CN"/>
        </w:rPr>
        <w:t>至少一种</w:t>
      </w:r>
      <w:r>
        <w:rPr>
          <w:rFonts w:hint="eastAsia"/>
        </w:rPr>
        <w:t>新能源补给功能</w:t>
      </w:r>
      <w:r>
        <w:rPr>
          <w:rFonts w:hint="eastAsia"/>
          <w:lang w:eastAsia="zh-CN"/>
        </w:rPr>
        <w:t>（</w:t>
      </w:r>
      <w:r>
        <w:rPr>
          <w:rFonts w:hint="eastAsia"/>
        </w:rPr>
        <w:t>如充电桩、加气设施</w:t>
      </w:r>
      <w:r>
        <w:rPr>
          <w:rFonts w:hint="eastAsia"/>
          <w:lang w:eastAsia="zh-CN"/>
        </w:rPr>
        <w:t>）</w:t>
      </w:r>
      <w:r>
        <w:rPr>
          <w:rFonts w:hint="eastAsia"/>
        </w:rPr>
        <w:t>，其中城市建成区重点发展</w:t>
      </w:r>
      <w:r>
        <w:rPr>
          <w:rFonts w:hint="eastAsia"/>
          <w:lang w:eastAsia="zh-CN"/>
        </w:rPr>
        <w:t>“</w:t>
      </w:r>
      <w:r>
        <w:rPr>
          <w:rFonts w:hint="eastAsia"/>
        </w:rPr>
        <w:t>加油+新能源汽车充</w:t>
      </w:r>
      <w:r>
        <w:rPr>
          <w:rFonts w:hint="eastAsia"/>
          <w:lang w:val="en-US" w:eastAsia="zh-CN"/>
        </w:rPr>
        <w:t>电”</w:t>
      </w:r>
      <w:r>
        <w:rPr>
          <w:rFonts w:hint="eastAsia"/>
        </w:rPr>
        <w:t>复合模式，满足高密度电动出行需求</w:t>
      </w:r>
      <w:r>
        <w:rPr>
          <w:rFonts w:hint="eastAsia"/>
          <w:lang w:eastAsia="zh-CN"/>
        </w:rPr>
        <w:t>；</w:t>
      </w:r>
      <w:r>
        <w:rPr>
          <w:rFonts w:hint="eastAsia"/>
        </w:rPr>
        <w:t>交通枢纽、高速公路及旅游公路沿线原则上规划建设全要素综合能源补给站</w:t>
      </w:r>
      <w:r>
        <w:rPr>
          <w:rFonts w:hint="eastAsia"/>
          <w:lang w:eastAsia="zh-CN"/>
        </w:rPr>
        <w:t>（</w:t>
      </w:r>
      <w:r>
        <w:rPr>
          <w:rFonts w:hint="eastAsia"/>
        </w:rPr>
        <w:t>油气电一体化</w:t>
      </w:r>
      <w:r>
        <w:rPr>
          <w:rFonts w:hint="eastAsia"/>
          <w:lang w:eastAsia="zh-CN"/>
        </w:rPr>
        <w:t>）</w:t>
      </w:r>
      <w:r>
        <w:rPr>
          <w:rFonts w:hint="eastAsia"/>
        </w:rPr>
        <w:t>。</w:t>
      </w:r>
    </w:p>
    <w:p w14:paraId="7D8D69B0">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b/>
          <w:bCs/>
          <w:lang w:val="en-US" w:eastAsia="zh-CN"/>
        </w:rPr>
      </w:pPr>
      <w:r>
        <w:rPr>
          <w:rFonts w:hint="eastAsia"/>
          <w:b/>
          <w:bCs/>
          <w:lang w:val="en-US" w:eastAsia="zh-CN"/>
        </w:rPr>
        <w:t>2.拓展非油品服务业务</w:t>
      </w:r>
    </w:p>
    <w:p w14:paraId="0D7BA9B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eastAsia"/>
        </w:rPr>
      </w:pPr>
      <w:r>
        <w:rPr>
          <w:rFonts w:hint="eastAsia"/>
        </w:rPr>
        <w:t>鼓励加油站</w:t>
      </w:r>
      <w:r>
        <w:rPr>
          <w:rFonts w:hint="eastAsia"/>
          <w:lang w:val="en-US" w:eastAsia="zh-CN"/>
        </w:rPr>
        <w:t>点</w:t>
      </w:r>
      <w:r>
        <w:rPr>
          <w:rFonts w:hint="eastAsia"/>
        </w:rPr>
        <w:t>积极拓展非油品多元化业务。重点支持引入知名品牌战略合作伙伴，共同打造涵盖汽服生态</w:t>
      </w:r>
      <w:r>
        <w:rPr>
          <w:rFonts w:hint="eastAsia"/>
          <w:lang w:eastAsia="zh-CN"/>
        </w:rPr>
        <w:t>（</w:t>
      </w:r>
      <w:r>
        <w:rPr>
          <w:rFonts w:hint="eastAsia"/>
        </w:rPr>
        <w:t>如专业汽配维修、保养、汽车美容清洁</w:t>
      </w:r>
      <w:r>
        <w:rPr>
          <w:rFonts w:hint="eastAsia"/>
          <w:lang w:eastAsia="zh-CN"/>
        </w:rPr>
        <w:t>）</w:t>
      </w:r>
      <w:r>
        <w:rPr>
          <w:rFonts w:hint="eastAsia"/>
        </w:rPr>
        <w:t>、便捷生活</w:t>
      </w:r>
      <w:r>
        <w:rPr>
          <w:rFonts w:hint="eastAsia"/>
          <w:lang w:eastAsia="zh-CN"/>
        </w:rPr>
        <w:t>（</w:t>
      </w:r>
      <w:r>
        <w:rPr>
          <w:rFonts w:hint="eastAsia"/>
        </w:rPr>
        <w:t>如</w:t>
      </w:r>
      <w:r>
        <w:rPr>
          <w:rFonts w:hint="eastAsia"/>
          <w:lang w:val="en-US" w:eastAsia="zh-CN"/>
        </w:rPr>
        <w:t>快捷</w:t>
      </w:r>
      <w:r>
        <w:rPr>
          <w:rFonts w:hint="eastAsia"/>
        </w:rPr>
        <w:t>餐饮、休闲饮品、便利零售</w:t>
      </w:r>
      <w:r>
        <w:rPr>
          <w:rFonts w:hint="eastAsia"/>
          <w:lang w:eastAsia="zh-CN"/>
        </w:rPr>
        <w:t>）</w:t>
      </w:r>
      <w:r>
        <w:rPr>
          <w:rFonts w:hint="eastAsia"/>
        </w:rPr>
        <w:t>、出行服务</w:t>
      </w:r>
      <w:r>
        <w:rPr>
          <w:rFonts w:hint="eastAsia"/>
          <w:lang w:eastAsia="zh-CN"/>
        </w:rPr>
        <w:t>（</w:t>
      </w:r>
      <w:r>
        <w:rPr>
          <w:rFonts w:hint="eastAsia"/>
        </w:rPr>
        <w:t>如租车代办、高效洗车</w:t>
      </w:r>
      <w:r>
        <w:rPr>
          <w:rFonts w:hint="eastAsia"/>
          <w:lang w:eastAsia="zh-CN"/>
        </w:rPr>
        <w:t>）</w:t>
      </w:r>
      <w:r>
        <w:rPr>
          <w:rFonts w:hint="eastAsia"/>
        </w:rPr>
        <w:t>以及周边旅游配套等领域的增值或便民服务。</w:t>
      </w:r>
    </w:p>
    <w:p w14:paraId="3D7C62F4">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eastAsia"/>
          <w:b/>
          <w:bCs/>
          <w:lang w:val="en-US" w:eastAsia="zh-CN"/>
        </w:rPr>
      </w:pPr>
      <w:r>
        <w:rPr>
          <w:rFonts w:hint="eastAsia"/>
          <w:b/>
          <w:bCs/>
          <w:lang w:val="en-US" w:eastAsia="zh-CN"/>
        </w:rPr>
        <w:t>3.推进智慧加油站建设</w:t>
      </w:r>
    </w:p>
    <w:p w14:paraId="344C207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lang w:val="en-US" w:eastAsia="zh-CN"/>
        </w:rPr>
      </w:pPr>
      <w:r>
        <w:rPr>
          <w:rFonts w:hint="eastAsia"/>
        </w:rPr>
        <w:t>运用大数据、云计算、人工智能等技术，以客户和数据为纽带，将智慧运营的理念和标准贯穿精简支付、精细管理、精准营销等关键环节，注重移动支付、加油购物、汽车保养、办卡缴费等方面的建设，提升客户便捷化、多元化的消费体验，把加油站打造成为“安全、便捷、绿色、温馨、智能”的“人·车·生活”驿站，形成线上线下协同运营的客户服务综合平台，全面提升现代化综合服务商的品牌效益、经济效益和社会效益。</w:t>
      </w:r>
    </w:p>
    <w:p w14:paraId="2B960DDF">
      <w:pPr>
        <w:pStyle w:val="3"/>
        <w:bidi w:val="0"/>
        <w:rPr>
          <w:rFonts w:hint="eastAsia"/>
          <w:lang w:val="en-US" w:eastAsia="zh-CN"/>
        </w:rPr>
      </w:pPr>
      <w:bookmarkStart w:id="125" w:name="_Toc17029"/>
      <w:bookmarkStart w:id="126" w:name="_Toc3538"/>
      <w:bookmarkStart w:id="127" w:name="_Toc565"/>
      <w:bookmarkStart w:id="128" w:name="_Toc3316"/>
      <w:bookmarkStart w:id="129" w:name="_Toc15228"/>
      <w:r>
        <w:rPr>
          <w:rFonts w:hint="eastAsia"/>
          <w:lang w:val="en-US" w:eastAsia="zh-CN"/>
        </w:rPr>
        <w:t>四、燃油品质及环保要求</w:t>
      </w:r>
      <w:bookmarkEnd w:id="125"/>
      <w:bookmarkEnd w:id="126"/>
      <w:bookmarkEnd w:id="127"/>
      <w:bookmarkEnd w:id="128"/>
      <w:bookmarkEnd w:id="129"/>
    </w:p>
    <w:p w14:paraId="039FC7D8">
      <w:pPr>
        <w:bidi w:val="0"/>
        <w:rPr>
          <w:rFonts w:hint="default"/>
        </w:rPr>
      </w:pPr>
      <w:r>
        <w:rPr>
          <w:rFonts w:hint="eastAsia"/>
          <w:lang w:eastAsia="zh-CN"/>
        </w:rPr>
        <w:t>“</w:t>
      </w:r>
      <w:r>
        <w:rPr>
          <w:rFonts w:hint="default"/>
        </w:rPr>
        <w:t>十</w:t>
      </w:r>
      <w:r>
        <w:rPr>
          <w:rFonts w:hint="eastAsia"/>
          <w:lang w:val="en-US" w:eastAsia="zh-CN"/>
        </w:rPr>
        <w:t>五</w:t>
      </w:r>
      <w:r>
        <w:rPr>
          <w:rFonts w:hint="default"/>
        </w:rPr>
        <w:t>五</w:t>
      </w:r>
      <w:r>
        <w:rPr>
          <w:rFonts w:hint="eastAsia"/>
          <w:lang w:eastAsia="zh-CN"/>
        </w:rPr>
        <w:t>”</w:t>
      </w:r>
      <w:r>
        <w:rPr>
          <w:rFonts w:hint="default"/>
        </w:rPr>
        <w:t>期间，</w:t>
      </w:r>
      <w:r>
        <w:rPr>
          <w:rFonts w:hint="default"/>
          <w:lang w:eastAsia="zh-CN"/>
        </w:rPr>
        <w:t>第五师双河市</w:t>
      </w:r>
      <w:r>
        <w:rPr>
          <w:rFonts w:hint="default"/>
        </w:rPr>
        <w:t>继续推动提升燃油品质工作。按照</w:t>
      </w:r>
      <w:r>
        <w:rPr>
          <w:rFonts w:hint="default"/>
          <w:lang w:eastAsia="zh-CN"/>
        </w:rPr>
        <w:t>相关政策</w:t>
      </w:r>
      <w:r>
        <w:rPr>
          <w:rFonts w:hint="default"/>
        </w:rPr>
        <w:t>文件要求：</w:t>
      </w:r>
      <w:r>
        <w:rPr>
          <w:rFonts w:hint="default"/>
          <w:lang w:val="en-US" w:eastAsia="zh-CN"/>
        </w:rPr>
        <w:t>2019年起全面使用国六标准车用汽柴油，认真查验成品油经营企业的进销存台账和凭证，依法查处国Ⅴ以下油品冒充国Ⅵ油品、普通柴油冒充车用柴油、非标油冒充成品油、不合格品冒充合格品等违法行为</w:t>
      </w:r>
      <w:r>
        <w:rPr>
          <w:rFonts w:hint="default"/>
        </w:rPr>
        <w:t>。加油站不得销售不符合标准的车用汽、柴油。加油站项目审批、验收、检查严格执行环保部《储油库、加油站大气污染治理项目验收检测技术规范</w:t>
      </w:r>
      <w:r>
        <w:rPr>
          <w:rFonts w:hint="eastAsia"/>
          <w:lang w:eastAsia="zh-CN"/>
        </w:rPr>
        <w:t>》《</w:t>
      </w:r>
      <w:r>
        <w:rPr>
          <w:rFonts w:hint="default"/>
        </w:rPr>
        <w:t>加油站大气污染物排放标准》等相关条例，加快推进</w:t>
      </w:r>
      <w:r>
        <w:rPr>
          <w:rFonts w:hint="default"/>
          <w:lang w:eastAsia="zh-CN"/>
        </w:rPr>
        <w:t>第五师双河市</w:t>
      </w:r>
      <w:r>
        <w:rPr>
          <w:rFonts w:hint="default"/>
        </w:rPr>
        <w:t>油气回收治理，规范油气回收治理验收工作。</w:t>
      </w:r>
    </w:p>
    <w:p w14:paraId="48104457">
      <w:pPr>
        <w:pStyle w:val="3"/>
        <w:bidi w:val="0"/>
        <w:rPr>
          <w:rFonts w:hint="eastAsia"/>
          <w:lang w:val="en-US" w:eastAsia="zh-CN"/>
        </w:rPr>
      </w:pPr>
      <w:bookmarkStart w:id="130" w:name="_Toc24807"/>
      <w:bookmarkStart w:id="131" w:name="_Toc12419"/>
      <w:bookmarkStart w:id="132" w:name="_Toc14998"/>
      <w:bookmarkStart w:id="133" w:name="_Toc19108"/>
      <w:bookmarkStart w:id="134" w:name="_Toc9704"/>
      <w:r>
        <w:rPr>
          <w:rFonts w:hint="eastAsia"/>
          <w:lang w:val="en-US" w:eastAsia="zh-CN"/>
        </w:rPr>
        <w:t>五、风险环境管控要求</w:t>
      </w:r>
      <w:bookmarkEnd w:id="130"/>
      <w:bookmarkEnd w:id="131"/>
      <w:bookmarkEnd w:id="132"/>
      <w:bookmarkEnd w:id="133"/>
      <w:bookmarkEnd w:id="134"/>
    </w:p>
    <w:p w14:paraId="31A4A43A">
      <w:pPr>
        <w:bidi w:val="0"/>
        <w:rPr>
          <w:rFonts w:hint="eastAsia"/>
          <w:lang w:val="en-US" w:eastAsia="zh-CN"/>
        </w:rPr>
      </w:pPr>
      <w:r>
        <w:rPr>
          <w:rFonts w:hint="eastAsia"/>
          <w:lang w:val="en-US" w:eastAsia="zh-CN"/>
        </w:rPr>
        <w:t>加油站的规划、施建和日常运营应当充分评估环境风险及其环境友好性，按照“生态红线、预防为主、综合治理”的原则对保留站点和新增站点进行动态环境影响评价、环保风险事故预防、运营综合治理三个层面的环保综合管控。</w:t>
      </w:r>
    </w:p>
    <w:p w14:paraId="31063185">
      <w:pPr>
        <w:bidi w:val="0"/>
        <w:rPr>
          <w:rFonts w:hint="default"/>
          <w:lang w:val="en-US" w:eastAsia="zh-CN"/>
        </w:rPr>
      </w:pPr>
      <w:r>
        <w:rPr>
          <w:rFonts w:hint="eastAsia"/>
          <w:lang w:val="en-US" w:eastAsia="zh-CN"/>
        </w:rPr>
        <w:t>由于加油站的地下储油罐可能存在渗漏，对地下水源造成污染，同时加油站加油操作时也会挥发一部分气体，对环境造成影响，因此布点时要避开环境风险较高的地段，站址选择需满足生态保护红线、环境质量底线、资源利用上线和生态环境准入清单等“三线一单”的管控要求，加油站施建、日常运营以及应急处置过程中需遵循《加油站地下水污染防治技术指南（试行）》和《加油站大气污染物排放标准》（GB 20952-2020）中的相关要求。新建加油站点要建设双层罐，并定期开展地下水监测，根据监测结果采取污染防治措施；改建加油站要定期开展地下水监测，并根据监测结果及时采取污染防治措施，存在污染物超标的，要开展土壤污染状况调查；新建站点应建设防渗漏报警装置，并定期检查，防止泄漏。</w:t>
      </w:r>
    </w:p>
    <w:p w14:paraId="230F3C69">
      <w:pPr>
        <w:bidi w:val="0"/>
        <w:rPr>
          <w:rFonts w:hint="eastAsia"/>
          <w:lang w:val="en-US" w:eastAsia="zh-CN"/>
        </w:rPr>
      </w:pPr>
      <w:r>
        <w:rPr>
          <w:rFonts w:hint="eastAsia"/>
          <w:lang w:val="en-US" w:eastAsia="zh-CN"/>
        </w:rPr>
        <w:t>新建站点的施建和运营中的环保要求应当不低于保留站点的最新要求水平，如“双改”和“油气回收”等控制措施及其对应的VOCs等污染物的排放控制必须达到《加油站大气污染物排放标准》（GB 20952-2020）及地方的相关标准要求，尤其是液阻、密封性、气液比等关键指标应当高于保留站点的平均水平。所有新建、改扩建加油站点需落实加油站油气回收在线监控系统的安装与联网，严控油品装卸、储存和加油过程中油气污染排放，切实减少挥发性有机物排放量，完善环境监测网络。除此之外，随着生态环境保护等相关政策、法规、标准的更新，规划站点的日常运营、维护以及应急处置应当持续主动跟进，确保成品油零售经营体系的环境保护工作不缺位、不掉队，持续推进第五师双河市成品油流通规范有序和高质量发展。</w:t>
      </w:r>
    </w:p>
    <w:p w14:paraId="705EBF0B">
      <w:pPr>
        <w:rPr>
          <w:rFonts w:hint="default" w:ascii="Times New Roman" w:hAnsi="Times New Roman" w:eastAsia="仿宋_GB2312" w:cs="宋体"/>
          <w:sz w:val="32"/>
          <w:szCs w:val="32"/>
          <w:lang w:val="en-US" w:eastAsia="zh-CN"/>
        </w:rPr>
      </w:pPr>
      <w:r>
        <w:rPr>
          <w:rFonts w:hint="default" w:ascii="Times New Roman" w:hAnsi="Times New Roman" w:eastAsia="仿宋_GB2312" w:cs="宋体"/>
          <w:sz w:val="32"/>
          <w:szCs w:val="32"/>
          <w:lang w:val="en-US" w:eastAsia="zh-CN"/>
        </w:rPr>
        <w:br w:type="page"/>
      </w:r>
    </w:p>
    <w:p w14:paraId="74AAFC69">
      <w:pPr>
        <w:pStyle w:val="2"/>
        <w:bidi w:val="0"/>
        <w:jc w:val="center"/>
        <w:rPr>
          <w:rFonts w:hint="default"/>
          <w:lang w:val="en-US" w:eastAsia="zh-CN"/>
        </w:rPr>
      </w:pPr>
      <w:bookmarkStart w:id="135" w:name="_Toc9521"/>
      <w:bookmarkStart w:id="136" w:name="_Toc19486"/>
      <w:bookmarkStart w:id="137" w:name="_Toc14112"/>
      <w:bookmarkStart w:id="138" w:name="_Toc28368"/>
      <w:bookmarkStart w:id="139" w:name="_Toc11055"/>
      <w:r>
        <w:rPr>
          <w:rFonts w:hint="default"/>
          <w:lang w:val="en-US" w:eastAsia="zh-CN"/>
        </w:rPr>
        <w:t>第</w:t>
      </w:r>
      <w:r>
        <w:rPr>
          <w:rFonts w:hint="eastAsia"/>
          <w:lang w:val="en-US" w:eastAsia="zh-CN"/>
        </w:rPr>
        <w:t>六</w:t>
      </w:r>
      <w:r>
        <w:rPr>
          <w:rFonts w:hint="default"/>
          <w:lang w:val="en-US" w:eastAsia="zh-CN"/>
        </w:rPr>
        <w:t>章 实施保障措施</w:t>
      </w:r>
      <w:bookmarkEnd w:id="135"/>
      <w:bookmarkEnd w:id="136"/>
      <w:bookmarkEnd w:id="137"/>
      <w:bookmarkEnd w:id="138"/>
    </w:p>
    <w:p w14:paraId="7CDEFF4A">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40" w:name="_Toc8289"/>
      <w:bookmarkStart w:id="141" w:name="_Toc10916"/>
      <w:r>
        <w:rPr>
          <w:rFonts w:hint="eastAsia"/>
          <w:lang w:val="en-US" w:eastAsia="zh-CN"/>
        </w:rPr>
        <w:t>一、强化政策支撑，筑牢实施根基</w:t>
      </w:r>
      <w:bookmarkEnd w:id="140"/>
      <w:bookmarkEnd w:id="141"/>
    </w:p>
    <w:p w14:paraId="19C04A9D">
      <w:pPr>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42" w:name="_Toc26723"/>
      <w:r>
        <w:rPr>
          <w:rFonts w:hint="eastAsia"/>
          <w:lang w:val="en-US" w:eastAsia="zh-CN"/>
        </w:rPr>
        <w:t>完善成品油分销体系配套制度与规范，以国家及兵团法规为依据强化动态监管，凸显规划刚性约束，本规划为加油站审批核心依据，所有建设须符合要求，确需调整的，按法定程序办理，兼顾权威性与适应性。</w:t>
      </w:r>
      <w:bookmarkEnd w:id="142"/>
    </w:p>
    <w:p w14:paraId="31FA0E99">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r>
        <w:rPr>
          <w:rFonts w:hint="eastAsia"/>
          <w:lang w:val="en-US" w:eastAsia="zh-CN"/>
        </w:rPr>
        <w:tab/>
      </w:r>
      <w:r>
        <w:rPr>
          <w:rFonts w:hint="eastAsia"/>
          <w:lang w:val="en-US" w:eastAsia="zh-CN"/>
        </w:rPr>
        <w:t>二、严格审批管理，规范建设流程</w:t>
      </w:r>
      <w:bookmarkEnd w:id="139"/>
    </w:p>
    <w:p w14:paraId="6A4F6620">
      <w:pPr>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43" w:name="_Toc24540"/>
      <w:r>
        <w:rPr>
          <w:rFonts w:hint="eastAsia"/>
          <w:lang w:val="en-US" w:eastAsia="zh-CN"/>
        </w:rPr>
        <w:t>落实《兵团商务局关于下放成品油零售经营资格审批有关事项的通知》（兵商务字〔2019〕113号）要求，从严审查企业资格与建设条件。新建、改（扩）建项目须完成住建、自然资源等多部门手续，“手续不全不立项、要件不齐不开工”；对违规项目坚决不予证照并依法取缔。支持优质经营主体入市，加强已批项目跟踪，杜绝“争指标不建、慢建、乱建”，推动市场提质升级。</w:t>
      </w:r>
      <w:bookmarkEnd w:id="143"/>
      <w:bookmarkStart w:id="144" w:name="_Toc126"/>
      <w:bookmarkStart w:id="145" w:name="_Toc14101"/>
    </w:p>
    <w:p w14:paraId="63427499">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r>
        <w:rPr>
          <w:rFonts w:hint="eastAsia"/>
          <w:lang w:val="en-US" w:eastAsia="zh-CN"/>
        </w:rPr>
        <w:t>三、优化土地保障，夯实落地基础</w:t>
      </w:r>
      <w:bookmarkEnd w:id="144"/>
      <w:bookmarkEnd w:id="145"/>
      <w:bookmarkStart w:id="146" w:name="_Toc19549"/>
    </w:p>
    <w:p w14:paraId="45A0ABCC">
      <w:pPr>
        <w:pageBreakBefore w:val="0"/>
        <w:widowControl w:val="0"/>
        <w:kinsoku/>
        <w:wordWrap/>
        <w:overflowPunct w:val="0"/>
        <w:topLinePunct w:val="0"/>
        <w:autoSpaceDE/>
        <w:autoSpaceDN/>
        <w:bidi w:val="0"/>
        <w:adjustRightInd/>
        <w:snapToGrid/>
        <w:spacing w:line="540" w:lineRule="exact"/>
        <w:textAlignment w:val="auto"/>
        <w:rPr>
          <w:rFonts w:hint="eastAsia"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bidi="ar-SA"/>
        </w:rPr>
        <w:t>衔接《第五师双河市国土空间总体规划（2021—2035年）》，划定加油站布点红线，避开基本农田、生态敏感区等禁止区域，严守与公共建筑、民居的法定安全距离。鼓励多元主体参与建设，通过招拍挂等方式保障项目用地需求。</w:t>
      </w:r>
      <w:bookmarkEnd w:id="146"/>
      <w:bookmarkStart w:id="147" w:name="_Toc10365"/>
    </w:p>
    <w:p w14:paraId="14D9CF94">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48" w:name="_Toc2973"/>
      <w:r>
        <w:rPr>
          <w:rFonts w:hint="eastAsia"/>
          <w:lang w:val="en-US" w:eastAsia="zh-CN"/>
        </w:rPr>
        <w:t>四、从严市场监管，营造有序环境</w:t>
      </w:r>
      <w:bookmarkEnd w:id="147"/>
      <w:bookmarkEnd w:id="148"/>
    </w:p>
    <w:p w14:paraId="05467C70">
      <w:pPr>
        <w:bidi w:val="0"/>
        <w:rPr>
          <w:rFonts w:hint="eastAsia"/>
          <w:lang w:val="en-US" w:eastAsia="zh-CN"/>
        </w:rPr>
      </w:pPr>
      <w:bookmarkStart w:id="149" w:name="_Toc8393"/>
      <w:r>
        <w:rPr>
          <w:rFonts w:hint="eastAsia"/>
          <w:lang w:val="en-US" w:eastAsia="zh-CN"/>
        </w:rPr>
        <w:t>整合调整布局不合理站点，清理已批未建、长期停工项目，盘活存量。严打未批先建、无证经营等行为，强化项目全流程监管。完善成品油管理信息系统，精准预判供需。建立商务、自然资源等多部门协同监管机制，明确分工、联合执法，净化市场环境。</w:t>
      </w:r>
      <w:bookmarkEnd w:id="149"/>
      <w:bookmarkStart w:id="150" w:name="_Toc23929"/>
    </w:p>
    <w:p w14:paraId="3BAAA811">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51" w:name="_Toc14317"/>
      <w:r>
        <w:rPr>
          <w:rFonts w:hint="eastAsia"/>
          <w:lang w:val="en-US" w:eastAsia="zh-CN"/>
        </w:rPr>
        <w:t>五、健全台账管理，规范经营行为</w:t>
      </w:r>
      <w:bookmarkEnd w:id="150"/>
      <w:bookmarkEnd w:id="151"/>
    </w:p>
    <w:p w14:paraId="2C74E13E">
      <w:pPr>
        <w:bidi w:val="0"/>
        <w:rPr>
          <w:rFonts w:hint="eastAsia"/>
          <w:lang w:val="en-US" w:eastAsia="zh-CN"/>
        </w:rPr>
      </w:pPr>
      <w:bookmarkStart w:id="152" w:name="_Toc16440"/>
      <w:r>
        <w:rPr>
          <w:rFonts w:hint="eastAsia"/>
          <w:lang w:val="en-US" w:eastAsia="zh-CN"/>
        </w:rPr>
        <w:t>督促企业落实台账制度，如实上报油品购销数据，完善来源、去向、检验报告等凭证档案，确保账册完整可溯。严格散装汽油购销实名登记，将台账管理纳入“双随机、一公开”检查重点，对违法违规行为严肃处理，推动诚信经营。</w:t>
      </w:r>
      <w:bookmarkEnd w:id="152"/>
      <w:bookmarkStart w:id="153" w:name="_Toc2700"/>
    </w:p>
    <w:p w14:paraId="299999E9">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54" w:name="_Toc2341"/>
      <w:r>
        <w:rPr>
          <w:rFonts w:hint="eastAsia"/>
          <w:lang w:val="en-US" w:eastAsia="zh-CN"/>
        </w:rPr>
        <w:t>六、坚守安全环保，推动绿色发展</w:t>
      </w:r>
      <w:bookmarkEnd w:id="153"/>
      <w:bookmarkEnd w:id="154"/>
    </w:p>
    <w:p w14:paraId="4C8BD2B0">
      <w:pPr>
        <w:bidi w:val="0"/>
        <w:rPr>
          <w:rFonts w:hint="eastAsia"/>
          <w:lang w:val="en-US" w:eastAsia="zh-CN"/>
        </w:rPr>
      </w:pPr>
      <w:bookmarkStart w:id="155" w:name="_Toc26661"/>
      <w:r>
        <w:rPr>
          <w:rFonts w:hint="eastAsia"/>
          <w:lang w:val="en-US" w:eastAsia="zh-CN"/>
        </w:rPr>
        <w:t>落实《危险化学品安全管理条例》，强化加油站全周期安全管理：严把准入关，符合《汽车加油站设计与施工规范》；加强从业人员安全培训，考核合格方可上岗；健全安全规程与应急预案，保障安全投入；严追安全责任，推广视频监控、油气回收等智能设备。完善应急机制，提升事故处置能力。执行大气污染治理相关标准，规范环保审批验收，推动行业绿色低碳发展。</w:t>
      </w:r>
      <w:bookmarkEnd w:id="155"/>
      <w:bookmarkStart w:id="156" w:name="_Toc26220"/>
    </w:p>
    <w:p w14:paraId="7109EE6F">
      <w:pPr>
        <w:pStyle w:val="4"/>
        <w:pageBreakBefore w:val="0"/>
        <w:widowControl w:val="0"/>
        <w:kinsoku/>
        <w:wordWrap/>
        <w:overflowPunct w:val="0"/>
        <w:topLinePunct w:val="0"/>
        <w:autoSpaceDE/>
        <w:autoSpaceDN/>
        <w:bidi w:val="0"/>
        <w:adjustRightInd/>
        <w:snapToGrid/>
        <w:spacing w:line="540" w:lineRule="exact"/>
        <w:textAlignment w:val="auto"/>
        <w:rPr>
          <w:rFonts w:hint="eastAsia"/>
          <w:lang w:val="en-US" w:eastAsia="zh-CN"/>
        </w:rPr>
      </w:pPr>
      <w:bookmarkStart w:id="157" w:name="_Toc16451"/>
      <w:r>
        <w:rPr>
          <w:rFonts w:hint="eastAsia"/>
          <w:lang w:val="en-US" w:eastAsia="zh-CN"/>
        </w:rPr>
        <w:t>七、健全协同机制，凝聚实施合力</w:t>
      </w:r>
      <w:bookmarkEnd w:id="156"/>
      <w:bookmarkEnd w:id="157"/>
    </w:p>
    <w:p w14:paraId="6AEBE140">
      <w:pPr>
        <w:bidi w:val="0"/>
        <w:rPr>
          <w:rFonts w:hint="eastAsia"/>
          <w:lang w:val="en-US" w:eastAsia="zh-CN"/>
        </w:rPr>
      </w:pPr>
      <w:r>
        <w:rPr>
          <w:rFonts w:hint="eastAsia"/>
          <w:lang w:val="en-US" w:eastAsia="zh-CN"/>
        </w:rPr>
        <w:t>建立跨部门联合监管与协同推进机制，完善“放管服”后流通管理体制。师市商务部门履行统筹职责，加强与自然资源、应急管理等部门衔接，建立分工明确的工作机制，解决建设难点。深化与企业常态化沟通，推动资源共享、数据互通，为规划实施提供精准支撑。</w:t>
      </w:r>
    </w:p>
    <w:p w14:paraId="0BC373C5">
      <w:pPr>
        <w:pStyle w:val="5"/>
        <w:spacing w:after="0" w:line="240" w:lineRule="auto"/>
        <w:ind w:firstLine="0" w:firstLineChars="0"/>
        <w:rPr>
          <w:rFonts w:hint="default"/>
          <w:lang w:val="en-US" w:eastAsia="zh-CN"/>
        </w:rPr>
      </w:pPr>
    </w:p>
    <w:p w14:paraId="79340C28">
      <w:pPr>
        <w:pStyle w:val="5"/>
        <w:rPr>
          <w:rFonts w:hint="default"/>
          <w:lang w:val="en-US" w:eastAsia="zh-CN"/>
        </w:rPr>
      </w:pPr>
    </w:p>
    <w:p w14:paraId="3939A4EE">
      <w:pPr>
        <w:rPr>
          <w:rFonts w:hint="eastAsia"/>
          <w:lang w:val="en-US" w:eastAsia="zh-CN"/>
        </w:rPr>
      </w:pPr>
      <w:r>
        <w:rPr>
          <w:rFonts w:hint="eastAsia"/>
          <w:lang w:val="en-US" w:eastAsia="zh-CN"/>
        </w:rPr>
        <w:br w:type="page"/>
      </w:r>
    </w:p>
    <w:p w14:paraId="76334ACA">
      <w:pPr>
        <w:pStyle w:val="2"/>
        <w:bidi w:val="0"/>
        <w:rPr>
          <w:rFonts w:hint="default"/>
          <w:lang w:val="en-US" w:eastAsia="zh-CN"/>
        </w:rPr>
      </w:pPr>
      <w:bookmarkStart w:id="158" w:name="_Toc23202"/>
      <w:r>
        <w:rPr>
          <w:rFonts w:hint="eastAsia"/>
          <w:lang w:val="en-US" w:eastAsia="zh-CN"/>
        </w:rPr>
        <w:tab/>
      </w:r>
      <w:bookmarkEnd w:id="158"/>
      <w:bookmarkStart w:id="159" w:name="_Toc21451"/>
      <w:bookmarkStart w:id="160" w:name="_Toc7327"/>
      <w:bookmarkStart w:id="161" w:name="_Toc5002"/>
      <w:bookmarkStart w:id="162" w:name="_Toc12604"/>
      <w:r>
        <w:rPr>
          <w:rFonts w:hint="eastAsia"/>
          <w:lang w:val="en-US" w:eastAsia="zh-CN"/>
        </w:rPr>
        <w:t>第七章 规划附件</w:t>
      </w:r>
      <w:bookmarkEnd w:id="159"/>
      <w:bookmarkEnd w:id="160"/>
      <w:bookmarkEnd w:id="161"/>
      <w:bookmarkEnd w:id="162"/>
    </w:p>
    <w:p w14:paraId="0D14023F">
      <w:pPr>
        <w:bidi w:val="0"/>
        <w:rPr>
          <w:rFonts w:hint="eastAsia"/>
          <w:lang w:val="en-US" w:eastAsia="zh-CN"/>
        </w:rPr>
      </w:pPr>
      <w:r>
        <w:rPr>
          <w:rFonts w:hint="eastAsia"/>
          <w:lang w:val="en-US" w:eastAsia="zh-CN"/>
        </w:rPr>
        <w:t>附则包括附表与附图。</w:t>
      </w:r>
    </w:p>
    <w:p w14:paraId="1FE5A27B">
      <w:pPr>
        <w:pStyle w:val="15"/>
        <w:rPr>
          <w:rFonts w:hint="default"/>
          <w:lang w:val="en-US" w:eastAsia="zh-CN"/>
        </w:rPr>
      </w:pPr>
    </w:p>
    <w:p w14:paraId="0DAA7074">
      <w:pPr>
        <w:pStyle w:val="15"/>
        <w:rPr>
          <w:rFonts w:hint="eastAsia"/>
          <w:lang w:val="en-US" w:eastAsia="zh-CN"/>
        </w:rPr>
        <w:sectPr>
          <w:footerReference r:id="rId8" w:type="default"/>
          <w:pgSz w:w="11906" w:h="16838"/>
          <w:pgMar w:top="2098" w:right="1587" w:bottom="2098" w:left="1587" w:header="1417" w:footer="1020" w:gutter="0"/>
          <w:pgNumType w:fmt="decimal"/>
          <w:cols w:space="425" w:num="1"/>
          <w:docGrid w:type="lines" w:linePitch="312" w:charSpace="0"/>
        </w:sectPr>
      </w:pPr>
    </w:p>
    <w:p w14:paraId="6F91044C">
      <w:pPr>
        <w:bidi w:val="0"/>
        <w:ind w:left="0" w:leftChars="0" w:firstLine="0" w:firstLineChars="0"/>
        <w:rPr>
          <w:rFonts w:hint="default"/>
          <w:lang w:val="en-US" w:eastAsia="zh-CN"/>
        </w:rPr>
      </w:pPr>
      <w:r>
        <w:rPr>
          <w:rFonts w:hint="eastAsia"/>
          <w:lang w:val="en-US" w:eastAsia="zh-CN"/>
        </w:rPr>
        <w:t>附表1：现状加油站一览表</w:t>
      </w:r>
    </w:p>
    <w:tbl>
      <w:tblPr>
        <w:tblStyle w:val="16"/>
        <w:tblW w:w="491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4"/>
        <w:gridCol w:w="3492"/>
        <w:gridCol w:w="3588"/>
        <w:gridCol w:w="780"/>
      </w:tblGrid>
      <w:tr w14:paraId="2BB6C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blHead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E02E">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序号</w:t>
            </w:r>
          </w:p>
        </w:tc>
        <w:tc>
          <w:tcPr>
            <w:tcW w:w="2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75AEE">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加油站（点）名称</w:t>
            </w:r>
          </w:p>
        </w:tc>
        <w:tc>
          <w:tcPr>
            <w:tcW w:w="21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BBB8F">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地址</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857B">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运营年度</w:t>
            </w:r>
          </w:p>
        </w:tc>
      </w:tr>
      <w:tr w14:paraId="48B6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BC7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C28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新疆兵团石油有限公司第五师分公司城镇加油站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7AF0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新疆博州博乐市团结路</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6A6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3B65A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518A8">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2</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54C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新疆兵团石油有限公司第五师分公司青塔拉加油站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2495">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新疆博州博精公路与达勒特公路交汇处</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2D9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47EB2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99557">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3</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AA9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新疆兵团石油有限公司第五师分公司八十七团加油站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4067">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新疆博州第五师八十七团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DE8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7484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AFC2">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4</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ADA8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新疆兵团石油有限公司第五师分公司八十八团加油站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0F4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新疆博州第五师八十八团机一连</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5170">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7EDD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B7506">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5</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48C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新疆兵团石油有限公司第五师分公司沙山子加油站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ACA2">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新疆博州精河县沙山子</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9C4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1342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1F56E">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6</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4CE5">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新疆兵团石油有限公司第五师分公司85团加油站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5FC6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新疆双河市85团团部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B347">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2003</w:t>
            </w:r>
          </w:p>
        </w:tc>
      </w:tr>
      <w:tr w14:paraId="5ACFE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F3D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7</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113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新疆兵团石油有限公司第五师分公司蘑菇滩加油站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B54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新疆博州农五师82团团部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25D6">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2005</w:t>
            </w:r>
          </w:p>
        </w:tc>
      </w:tr>
      <w:tr w14:paraId="539F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E7CB5">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8</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E3D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新疆兵团石油有限公司第五师分公司托里加油站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B725">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新疆双河市84团团部</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21A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2005</w:t>
            </w:r>
          </w:p>
        </w:tc>
      </w:tr>
      <w:tr w14:paraId="7E452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0AFA">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9</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7C28">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新疆兵团石油有限公司第五师分公司塔斯尔海加油站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FD2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新疆双河市89团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FE2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2005</w:t>
            </w:r>
          </w:p>
        </w:tc>
      </w:tr>
      <w:tr w14:paraId="3D22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D52A">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0</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BD9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新疆兵团石油有限公司第五师分公司塔格特加油站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3B2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新疆双河市90团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8A8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2005</w:t>
            </w:r>
          </w:p>
        </w:tc>
      </w:tr>
      <w:tr w14:paraId="7DF97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C38C">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11</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8F4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新疆兵团石油有限公司第五师分公司八十一团加油站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080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新疆双河市81团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21C5">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2008</w:t>
            </w:r>
          </w:p>
        </w:tc>
      </w:tr>
      <w:tr w14:paraId="78081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E0648">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2</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0EE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新疆兵团石油有限公司第五师分公司沙塔加油站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2D9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第五师八十三团二连</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C2A0">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2008</w:t>
            </w:r>
          </w:p>
        </w:tc>
      </w:tr>
      <w:tr w14:paraId="43F6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1F7D8">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13</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043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新疆兵团石油有限公司第五师分公司环城加油站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B888">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博乐市第五师工业区西侧205省道旁</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2E4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2011</w:t>
            </w:r>
          </w:p>
        </w:tc>
      </w:tr>
      <w:tr w14:paraId="70F0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EA83">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14</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50B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新疆兵团石油有限公司第五师分公司91团加油站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5DF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新疆博州第五师九十一团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F37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2016</w:t>
            </w:r>
          </w:p>
        </w:tc>
      </w:tr>
      <w:tr w14:paraId="4E4E4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982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5</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7DF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新疆生产建设兵团天然气有限公司双河市八十六团加油加气站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E80A">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新疆双河市86团工业区</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725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2019</w:t>
            </w:r>
          </w:p>
        </w:tc>
      </w:tr>
      <w:tr w14:paraId="39CD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AEB1">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16</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979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双河市中恒能源有限公司赛运加油站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DE8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双河市86团33区205省路31号</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35D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2020</w:t>
            </w:r>
          </w:p>
        </w:tc>
      </w:tr>
      <w:tr w14:paraId="2810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10E9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7</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1305">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新疆兵团石油有限公司第五师分公司双乐加油站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7670">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新疆双河市90团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D6E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2021</w:t>
            </w:r>
          </w:p>
        </w:tc>
      </w:tr>
      <w:tr w14:paraId="591C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356E0">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8</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1A2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新疆兵团石油有限公司第五师分公司金沙加油站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95C2">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新疆双河市83团3连1区52号</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204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2023</w:t>
            </w:r>
          </w:p>
        </w:tc>
      </w:tr>
      <w:tr w14:paraId="40DAC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EB0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r>
              <w:rPr>
                <w:rFonts w:hint="eastAsia" w:cs="Times New Roman"/>
                <w:b w:val="0"/>
                <w:bCs w:val="0"/>
                <w:lang w:val="en-US" w:eastAsia="zh-CN"/>
              </w:rPr>
              <w:t>9</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B6B8">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双河双桥加能站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229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新疆双河市81团居绿格小区3区101号</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50AA">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2024</w:t>
            </w:r>
          </w:p>
        </w:tc>
      </w:tr>
      <w:tr w14:paraId="791A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EDAE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w:t>
            </w:r>
            <w:r>
              <w:rPr>
                <w:rFonts w:hint="eastAsia" w:cs="Times New Roman"/>
                <w:b w:val="0"/>
                <w:bCs w:val="0"/>
                <w:lang w:val="en-US" w:eastAsia="zh-CN"/>
              </w:rPr>
              <w:t>0</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458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新疆双河古道石油销售有限公司古道加油站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0E19">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新疆双河市89团古道温泉2号办公室（长安路与精河路交叉口东南200米）</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DBB1">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2024</w:t>
            </w:r>
          </w:p>
        </w:tc>
      </w:tr>
      <w:tr w14:paraId="76DCA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B0FB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w:t>
            </w:r>
            <w:r>
              <w:rPr>
                <w:rFonts w:hint="eastAsia" w:cs="Times New Roman"/>
                <w:b w:val="0"/>
                <w:bCs w:val="0"/>
                <w:lang w:val="en-US" w:eastAsia="zh-CN"/>
              </w:rPr>
              <w:t>1</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69DC">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中石油新疆销售有限公司博州分公司精阿高速服务区东加油加气站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1357">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新疆双河市83团20连精阿高速G3018线83团服务区东侧</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55F3">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2024</w:t>
            </w:r>
          </w:p>
        </w:tc>
      </w:tr>
      <w:tr w14:paraId="3883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7FE32">
            <w:pPr>
              <w:pStyle w:val="29"/>
              <w:wordWrap/>
              <w:overflowPunct/>
              <w:bidi w:val="0"/>
              <w:spacing w:line="360" w:lineRule="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2</w:t>
            </w:r>
            <w:r>
              <w:rPr>
                <w:rFonts w:hint="eastAsia" w:cs="Times New Roman"/>
                <w:b w:val="0"/>
                <w:bCs w:val="0"/>
                <w:lang w:val="en-US" w:eastAsia="zh-CN"/>
              </w:rPr>
              <w:t>2</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906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中石油新疆销售有限公司博州分公司精阿高速服务区西加油加气站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FA3F">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新疆双河市83团20连精阿高速G3018线83团服务区西侧</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400E">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2024</w:t>
            </w:r>
          </w:p>
        </w:tc>
      </w:tr>
      <w:tr w14:paraId="72209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659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23</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0C090">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双河市安捷能源有限公司</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DD3B">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新疆双河市83团6连</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E564">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2025</w:t>
            </w:r>
          </w:p>
        </w:tc>
      </w:tr>
      <w:tr w14:paraId="05CC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4"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D902">
            <w:pPr>
              <w:pStyle w:val="29"/>
              <w:wordWrap/>
              <w:overflowPunct/>
              <w:bidi w:val="0"/>
              <w:spacing w:line="360" w:lineRule="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24</w:t>
            </w:r>
          </w:p>
        </w:tc>
        <w:tc>
          <w:tcPr>
            <w:tcW w:w="2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1308">
            <w:pPr>
              <w:pStyle w:val="29"/>
              <w:wordWrap/>
              <w:overflowPunct/>
              <w:bidi w:val="0"/>
              <w:spacing w:line="360" w:lineRule="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艾比湖双河市加油站</w:t>
            </w:r>
          </w:p>
        </w:tc>
        <w:tc>
          <w:tcPr>
            <w:tcW w:w="2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F5EC">
            <w:pPr>
              <w:pStyle w:val="29"/>
              <w:wordWrap/>
              <w:overflowPunct/>
              <w:bidi w:val="0"/>
              <w:spacing w:line="360" w:lineRule="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90团</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F0A">
            <w:pPr>
              <w:pStyle w:val="29"/>
              <w:wordWrap/>
              <w:overflowPunct/>
              <w:bidi w:val="0"/>
              <w:spacing w:line="360" w:lineRule="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2025</w:t>
            </w:r>
          </w:p>
        </w:tc>
      </w:tr>
    </w:tbl>
    <w:p w14:paraId="22F30D5C">
      <w:pPr>
        <w:pStyle w:val="15"/>
        <w:rPr>
          <w:rFonts w:hint="default"/>
          <w:lang w:val="en-US" w:eastAsia="zh-CN"/>
        </w:rPr>
        <w:sectPr>
          <w:pgSz w:w="11906" w:h="16838"/>
          <w:pgMar w:top="1440" w:right="1800" w:bottom="1440" w:left="1800" w:header="851" w:footer="992" w:gutter="0"/>
          <w:pgNumType w:fmt="decimal"/>
          <w:cols w:space="425" w:num="1"/>
          <w:docGrid w:type="lines" w:linePitch="312" w:charSpace="0"/>
        </w:sectPr>
      </w:pPr>
    </w:p>
    <w:p w14:paraId="53440A4D">
      <w:pPr>
        <w:bidi w:val="0"/>
        <w:ind w:left="0" w:leftChars="0" w:firstLine="0" w:firstLineChars="0"/>
        <w:rPr>
          <w:rFonts w:hint="eastAsia"/>
          <w:lang w:val="en-US" w:eastAsia="zh-CN"/>
        </w:rPr>
      </w:pPr>
      <w:r>
        <w:rPr>
          <w:rFonts w:hint="eastAsia"/>
          <w:lang w:val="en-US" w:eastAsia="zh-CN"/>
        </w:rPr>
        <w:t>附表2：第五师双河市成品油零售体系“十五五”发展规划（2026—2030年）站点明细表</w:t>
      </w:r>
    </w:p>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2401"/>
        <w:gridCol w:w="4479"/>
        <w:gridCol w:w="976"/>
      </w:tblGrid>
      <w:tr w14:paraId="22C1C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blHeader/>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DFFA4">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序号</w:t>
            </w:r>
          </w:p>
        </w:tc>
        <w:tc>
          <w:tcPr>
            <w:tcW w:w="1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D227">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加油站（点）名称</w:t>
            </w:r>
          </w:p>
        </w:tc>
        <w:tc>
          <w:tcPr>
            <w:tcW w:w="2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5347">
            <w:pPr>
              <w:pStyle w:val="29"/>
              <w:wordWrap/>
              <w:overflowPunct/>
              <w:bidi w:val="0"/>
              <w:spacing w:line="360" w:lineRule="auto"/>
              <w:rPr>
                <w:rFonts w:hint="eastAsia" w:ascii="Times New Roman" w:hAnsi="Times New Roman" w:cs="Times New Roman"/>
                <w:b/>
                <w:bCs/>
                <w:lang w:val="en-US" w:eastAsia="zh-CN"/>
              </w:rPr>
            </w:pPr>
            <w:r>
              <w:rPr>
                <w:rFonts w:hint="eastAsia" w:ascii="Times New Roman" w:hAnsi="Times New Roman" w:cs="Times New Roman"/>
                <w:b/>
                <w:bCs/>
                <w:lang w:val="en-US" w:eastAsia="zh-CN"/>
              </w:rPr>
              <w:t>地址</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9607">
            <w:pPr>
              <w:pStyle w:val="29"/>
              <w:wordWrap/>
              <w:overflowPunct/>
              <w:bidi w:val="0"/>
              <w:spacing w:line="360" w:lineRule="auto"/>
              <w:ind w:firstLine="0" w:firstLineChars="0"/>
              <w:rPr>
                <w:rFonts w:hint="eastAsia" w:ascii="Times New Roman" w:hAnsi="Times New Roman" w:eastAsia="仿宋_GB2312" w:cs="Times New Roman"/>
                <w:b/>
                <w:bCs/>
                <w:kern w:val="2"/>
                <w:sz w:val="24"/>
                <w:szCs w:val="24"/>
                <w:lang w:val="en-US" w:eastAsia="zh-CN" w:bidi="ar-SA"/>
              </w:rPr>
            </w:pPr>
            <w:r>
              <w:rPr>
                <w:rFonts w:hint="eastAsia" w:ascii="Times New Roman" w:hAnsi="Times New Roman" w:cs="Times New Roman"/>
                <w:b/>
                <w:bCs/>
                <w:lang w:val="en-US" w:eastAsia="zh-CN"/>
              </w:rPr>
              <w:t>备注</w:t>
            </w:r>
          </w:p>
        </w:tc>
      </w:tr>
      <w:tr w14:paraId="6852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1F3D">
            <w:pPr>
              <w:pStyle w:val="29"/>
              <w:wordWrap/>
              <w:overflowPunct/>
              <w:bidi w:val="0"/>
              <w:spacing w:line="360" w:lineRule="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FD54">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kern w:val="2"/>
                <w:sz w:val="24"/>
                <w:szCs w:val="24"/>
                <w:shd w:val="clear"/>
                <w:lang w:val="en-US" w:eastAsia="zh-CN" w:bidi="ar-SA"/>
              </w:rPr>
              <w:t>81团12连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C090">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spacing w:val="0"/>
                <w:kern w:val="2"/>
                <w:sz w:val="24"/>
                <w:szCs w:val="24"/>
                <w:shd w:val="clear"/>
                <w:vertAlign w:val="baseline"/>
                <w:lang w:val="en-US" w:eastAsia="zh-CN" w:bidi="ar-SA"/>
              </w:rPr>
              <w:t>81团12连办公室南侧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8FB4">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03908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4037">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2</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09BF">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81团6连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8D81">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b w:val="0"/>
                <w:bCs w:val="0"/>
                <w:lang w:val="en-US" w:eastAsia="zh-CN"/>
              </w:rPr>
              <w:t>6连</w:t>
            </w:r>
            <w:r>
              <w:rPr>
                <w:rFonts w:hint="eastAsia" w:cs="Times New Roman"/>
                <w:b w:val="0"/>
                <w:bCs w:val="0"/>
                <w:lang w:val="en-US" w:eastAsia="zh-CN"/>
              </w:rPr>
              <w:t>连</w:t>
            </w:r>
            <w:r>
              <w:rPr>
                <w:rFonts w:hint="eastAsia" w:ascii="Times New Roman" w:hAnsi="Times New Roman" w:cs="Times New Roman"/>
                <w:b w:val="0"/>
                <w:bCs w:val="0"/>
                <w:lang w:val="en-US" w:eastAsia="zh-CN"/>
              </w:rPr>
              <w:t>接G577交叉口</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DB21">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7FE57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73A4">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3</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7D71">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84团2连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5CC3">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84团2连农机大院内，紧邻路边</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2596">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4C721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65A93">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4</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40D6">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84团8连怪石峪景区</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0A4D">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怪石峪检查站边，出入车辆均需过检查站后进入拟建站点</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C8C3">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48B2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1AA18">
            <w:pPr>
              <w:pStyle w:val="29"/>
              <w:wordWrap/>
              <w:overflowPunct/>
              <w:bidi w:val="0"/>
              <w:spacing w:line="360" w:lineRule="auto"/>
              <w:rPr>
                <w:rFonts w:hint="eastAsia" w:ascii="Times New Roman" w:hAnsi="Times New Roman" w:cs="Times New Roman"/>
                <w:b w:val="0"/>
                <w:bCs w:val="0"/>
                <w:lang w:val="en-US" w:eastAsia="zh-CN"/>
              </w:rPr>
            </w:pPr>
            <w:r>
              <w:rPr>
                <w:rFonts w:hint="eastAsia" w:cs="Times New Roman"/>
                <w:b w:val="0"/>
                <w:bCs w:val="0"/>
                <w:lang w:val="en-US" w:eastAsia="zh-CN"/>
              </w:rPr>
              <w:t>5</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FCA3">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kern w:val="2"/>
                <w:sz w:val="24"/>
                <w:szCs w:val="24"/>
                <w:shd w:val="clear"/>
                <w:lang w:val="en-US" w:eastAsia="zh-CN" w:bidi="ar-SA"/>
              </w:rPr>
              <w:t>86团中</w:t>
            </w:r>
            <w:r>
              <w:rPr>
                <w:rFonts w:hint="eastAsia" w:ascii="Times New Roman" w:hAnsi="Times New Roman" w:cs="Times New Roman"/>
                <w:b w:val="0"/>
                <w:bCs w:val="0"/>
                <w:spacing w:val="0"/>
                <w:kern w:val="2"/>
                <w:sz w:val="24"/>
                <w:szCs w:val="24"/>
                <w:shd w:val="clear"/>
                <w:lang w:val="en-US" w:eastAsia="zh-CN" w:bidi="ar-SA"/>
              </w:rPr>
              <w:t>闽能源</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DF64">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博乐市友谊街与G219线交汇处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5E55">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续建</w:t>
            </w:r>
          </w:p>
        </w:tc>
      </w:tr>
      <w:tr w14:paraId="5F1D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37333">
            <w:pPr>
              <w:pStyle w:val="29"/>
              <w:wordWrap/>
              <w:overflowPunct/>
              <w:bidi w:val="0"/>
              <w:spacing w:line="360" w:lineRule="auto"/>
              <w:rPr>
                <w:rFonts w:hint="default" w:ascii="Times New Roman" w:hAnsi="Times New Roman" w:cs="Times New Roman"/>
                <w:b w:val="0"/>
                <w:bCs w:val="0"/>
                <w:lang w:val="en-US" w:eastAsia="zh-CN"/>
              </w:rPr>
            </w:pPr>
            <w:r>
              <w:rPr>
                <w:rFonts w:hint="eastAsia" w:cs="Times New Roman"/>
                <w:b w:val="0"/>
                <w:bCs w:val="0"/>
                <w:lang w:val="en-US" w:eastAsia="zh-CN"/>
              </w:rPr>
              <w:t>6</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DE90">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86团邻工业园区</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2509">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博乐市赛里木湖路东延，S205东侧三角地块（租赁站旁）</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1F08">
            <w:pPr>
              <w:pStyle w:val="29"/>
              <w:keepNext w:val="0"/>
              <w:keepLines w:val="0"/>
              <w:pageBreakBefore w:val="0"/>
              <w:widowControl/>
              <w:kinsoku/>
              <w:wordWrap/>
              <w:overflowPunct/>
              <w:topLinePunct w:val="0"/>
              <w:autoSpaceDE/>
              <w:autoSpaceDN/>
              <w:bidi w:val="0"/>
              <w:adjustRightInd/>
              <w:snapToGrid/>
              <w:spacing w:line="360" w:lineRule="auto"/>
              <w:ind w:firstLineChars="0"/>
              <w:contextualSpacing w:val="0"/>
              <w:jc w:val="center"/>
              <w:textAlignment w:val="auto"/>
              <w:rPr>
                <w:rFonts w:hint="default"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6DBB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312F4">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kern w:val="2"/>
                <w:sz w:val="24"/>
                <w:szCs w:val="24"/>
                <w:lang w:val="en-US" w:eastAsia="zh-CN" w:bidi="ar-SA"/>
              </w:rPr>
              <w:t>7</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99EC">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87团2连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D1F1">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S304线右侧（巨树林景区入口）处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4DA0">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07697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F134">
            <w:pPr>
              <w:pStyle w:val="29"/>
              <w:wordWrap/>
              <w:overflowPunct/>
              <w:bidi w:val="0"/>
              <w:spacing w:line="360" w:lineRule="auto"/>
              <w:ind w:firstLine="0" w:firstLineChars="0"/>
              <w:jc w:val="center"/>
              <w:rPr>
                <w:rFonts w:hint="eastAsia"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8</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8DB8">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89团14连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AC2C">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89团阿塔线与浩阿线东北侧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35B5">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4169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9A150">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kern w:val="2"/>
                <w:sz w:val="24"/>
                <w:szCs w:val="24"/>
                <w:lang w:val="en-US" w:eastAsia="zh-CN" w:bidi="ar-SA"/>
              </w:rPr>
              <w:t>9</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9C71">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90团4连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528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eastAsia="仿宋_GB2312" w:cs="Times New Roman"/>
                <w:b w:val="0"/>
                <w:bCs w:val="0"/>
                <w:kern w:val="2"/>
                <w:sz w:val="24"/>
                <w:szCs w:val="24"/>
                <w:lang w:val="en-US" w:eastAsia="zh-CN" w:bidi="ar-SA"/>
              </w:rPr>
              <w:t>90团4连S611路支路</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461C2">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3B65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EEA70">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10</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DE74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91团2连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1E17">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91团建工路北侧2连</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939B">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3307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6CC5C">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11</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B7A2">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91团7连</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5523">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G312线辅道，91团7连东侧</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5EBA">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拟建</w:t>
            </w:r>
          </w:p>
        </w:tc>
      </w:tr>
      <w:tr w14:paraId="5C2F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4B7D">
            <w:pPr>
              <w:pStyle w:val="29"/>
              <w:wordWrap/>
              <w:overflowPunct/>
              <w:bidi w:val="0"/>
              <w:spacing w:line="360" w:lineRule="auto"/>
              <w:ind w:firstLine="0" w:firstLineChars="0"/>
              <w:jc w:val="center"/>
              <w:rPr>
                <w:rFonts w:hint="default" w:ascii="Times New Roman" w:hAnsi="Times New Roman" w:eastAsia="仿宋_GB2312" w:cs="Times New Roman"/>
                <w:b w:val="0"/>
                <w:bCs w:val="0"/>
                <w:kern w:val="2"/>
                <w:sz w:val="24"/>
                <w:szCs w:val="24"/>
                <w:lang w:val="en-US" w:eastAsia="zh-CN" w:bidi="ar-SA"/>
              </w:rPr>
            </w:pPr>
            <w:r>
              <w:rPr>
                <w:rFonts w:hint="eastAsia" w:cs="Times New Roman"/>
                <w:b w:val="0"/>
                <w:bCs w:val="0"/>
                <w:lang w:val="en-US" w:eastAsia="zh-CN"/>
              </w:rPr>
              <w:t>12</w:t>
            </w:r>
          </w:p>
        </w:tc>
        <w:tc>
          <w:tcPr>
            <w:tcW w:w="1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4159">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lang w:val="en-US" w:eastAsia="zh-CN" w:bidi="ar-SA"/>
              </w:rPr>
              <w:t>双河市综合加油站</w:t>
            </w:r>
          </w:p>
        </w:tc>
        <w:tc>
          <w:tcPr>
            <w:tcW w:w="26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2F0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both"/>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双河市金山路与上海路交汇处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D69E4">
            <w:pPr>
              <w:pStyle w:val="29"/>
              <w:keepNext w:val="0"/>
              <w:keepLines w:val="0"/>
              <w:pageBreakBefore w:val="0"/>
              <w:widowControl/>
              <w:kinsoku/>
              <w:wordWrap/>
              <w:overflowPunct/>
              <w:topLinePunct w:val="0"/>
              <w:autoSpaceDE/>
              <w:autoSpaceDN/>
              <w:bidi w:val="0"/>
              <w:adjustRightInd/>
              <w:snapToGrid/>
              <w:spacing w:line="360" w:lineRule="auto"/>
              <w:ind w:firstLine="0" w:firstLineChars="0"/>
              <w:contextualSpacing w:val="0"/>
              <w:jc w:val="center"/>
              <w:textAlignment w:val="auto"/>
              <w:rPr>
                <w:rFonts w:hint="eastAsia" w:ascii="Times New Roman" w:hAnsi="Times New Roman" w:eastAsia="仿宋_GB2312" w:cs="Times New Roman"/>
                <w:b w:val="0"/>
                <w:bCs w:val="0"/>
                <w:kern w:val="2"/>
                <w:sz w:val="24"/>
                <w:szCs w:val="24"/>
                <w:lang w:val="en-US" w:eastAsia="zh-CN" w:bidi="ar-SA"/>
              </w:rPr>
            </w:pPr>
            <w:r>
              <w:rPr>
                <w:rFonts w:hint="eastAsia" w:ascii="Times New Roman" w:hAnsi="Times New Roman" w:cs="Times New Roman"/>
                <w:b w:val="0"/>
                <w:bCs w:val="0"/>
                <w:spacing w:val="0"/>
                <w:kern w:val="2"/>
                <w:sz w:val="24"/>
                <w:szCs w:val="24"/>
                <w:shd w:val="clear"/>
                <w:vertAlign w:val="baseline"/>
                <w:lang w:val="en-US" w:eastAsia="zh-CN" w:bidi="ar-SA"/>
              </w:rPr>
              <w:t>续建</w:t>
            </w:r>
          </w:p>
        </w:tc>
      </w:tr>
    </w:tbl>
    <w:p w14:paraId="1FB84B06">
      <w:pPr>
        <w:ind w:firstLine="0" w:firstLineChars="0"/>
        <w:rPr>
          <w:rFonts w:hint="eastAsia" w:eastAsia="仿宋_GB231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p>
  </w:endnote>
  <w:endnote w:type="continuationSeparator" w:id="1">
    <w:p>
      <w:pPr>
        <w:spacing w:line="240" w:lineRule="auto"/>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443653-FB8B-4592-8337-010081A90E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DB9372B-2751-49D9-8C21-5058CC3C956A}"/>
  </w:font>
  <w:font w:name="仿宋_GB2312">
    <w:panose1 w:val="02010609030101010101"/>
    <w:charset w:val="86"/>
    <w:family w:val="auto"/>
    <w:pitch w:val="default"/>
    <w:sig w:usb0="00000001" w:usb1="080E0000" w:usb2="00000000" w:usb3="00000000" w:csb0="00040000" w:csb1="00000000"/>
    <w:embedRegular r:id="rId3" w:fontKey="{5C06ECF6-9062-46F7-B5C5-93478B0E2D53}"/>
  </w:font>
  <w:font w:name="方正小标宋_GBK">
    <w:panose1 w:val="03000509000000000000"/>
    <w:charset w:val="86"/>
    <w:family w:val="auto"/>
    <w:pitch w:val="default"/>
    <w:sig w:usb0="00000001" w:usb1="080E0000" w:usb2="00000000" w:usb3="00000000" w:csb0="00040000" w:csb1="00000000"/>
    <w:embedRegular r:id="rId4" w:fontKey="{60E316F4-6A68-49E3-8B88-9B58ECABE978}"/>
  </w:font>
  <w:font w:name="方正楷体_GB2312">
    <w:panose1 w:val="02000000000000000000"/>
    <w:charset w:val="86"/>
    <w:family w:val="auto"/>
    <w:pitch w:val="default"/>
    <w:sig w:usb0="A00002BF" w:usb1="184F6CFA" w:usb2="00000012" w:usb3="00000000" w:csb0="00040001" w:csb1="00000000"/>
    <w:embedRegular r:id="rId5" w:fontKey="{B477936F-5855-41D8-A2E5-0D543BBAC113}"/>
  </w:font>
  <w:font w:name="Tahoma">
    <w:panose1 w:val="020B0604030504040204"/>
    <w:charset w:val="00"/>
    <w:family w:val="auto"/>
    <w:pitch w:val="default"/>
    <w:sig w:usb0="E1002EFF" w:usb1="C000605B" w:usb2="00000029" w:usb3="00000000" w:csb0="200101FF" w:csb1="20280000"/>
  </w:font>
  <w:font w:name="Times New Roman Bold">
    <w:panose1 w:val="02020503050405090304"/>
    <w:charset w:val="00"/>
    <w:family w:val="auto"/>
    <w:pitch w:val="default"/>
    <w:sig w:usb0="00000000" w:usb1="00000000" w:usb2="00000001" w:usb3="00000000" w:csb0="400001BF" w:csb1="DFF70000"/>
    <w:embedRegular r:id="rId6" w:fontKey="{9E13D50F-F343-4272-BCBC-124E15971D0C}"/>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A205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7B42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7072AC">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7072AC">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01561">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EB8E5">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88EB8E5">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p>
  </w:footnote>
  <w:footnote w:type="continuationSeparator" w:id="1">
    <w:p>
      <w:pPr>
        <w:spacing w:line="240" w:lineRule="auto"/>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4168">
    <w:pPr>
      <w:pStyle w:val="10"/>
      <w:pBdr>
        <w:bottom w:val="single" w:color="auto" w:sz="4" w:space="1"/>
      </w:pBdr>
      <w:jc w:val="center"/>
    </w:pPr>
    <w:r>
      <w:rPr>
        <w:rFonts w:hint="eastAsia"/>
      </w:rPr>
      <w:t>第五师双河市成品油零售体系“十五五”发展规划（2026—2030年）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069B1"/>
    <w:rsid w:val="00807E4B"/>
    <w:rsid w:val="00AE2E8D"/>
    <w:rsid w:val="00BC3A1F"/>
    <w:rsid w:val="01407DFE"/>
    <w:rsid w:val="01426E1C"/>
    <w:rsid w:val="01B27C21"/>
    <w:rsid w:val="01FB7659"/>
    <w:rsid w:val="02206E01"/>
    <w:rsid w:val="024C36E4"/>
    <w:rsid w:val="02693733"/>
    <w:rsid w:val="031E276F"/>
    <w:rsid w:val="03A53CD4"/>
    <w:rsid w:val="03C34DA2"/>
    <w:rsid w:val="03F96CD5"/>
    <w:rsid w:val="040B2204"/>
    <w:rsid w:val="04246BC3"/>
    <w:rsid w:val="04707CE8"/>
    <w:rsid w:val="052B5A86"/>
    <w:rsid w:val="054D761C"/>
    <w:rsid w:val="056E4A9C"/>
    <w:rsid w:val="05E2339C"/>
    <w:rsid w:val="05FC4BF8"/>
    <w:rsid w:val="06671899"/>
    <w:rsid w:val="06671F51"/>
    <w:rsid w:val="067C1866"/>
    <w:rsid w:val="067F79E1"/>
    <w:rsid w:val="06BA7130"/>
    <w:rsid w:val="06C47634"/>
    <w:rsid w:val="06C673A5"/>
    <w:rsid w:val="070E420C"/>
    <w:rsid w:val="07A2707C"/>
    <w:rsid w:val="07B832B0"/>
    <w:rsid w:val="07FC4F9A"/>
    <w:rsid w:val="080223B8"/>
    <w:rsid w:val="08607925"/>
    <w:rsid w:val="08EE04EE"/>
    <w:rsid w:val="09233F35"/>
    <w:rsid w:val="092E1232"/>
    <w:rsid w:val="0A385572"/>
    <w:rsid w:val="0A415F3F"/>
    <w:rsid w:val="0A632651"/>
    <w:rsid w:val="0A693642"/>
    <w:rsid w:val="0AFC15E8"/>
    <w:rsid w:val="0B5379F5"/>
    <w:rsid w:val="0B7F7B23"/>
    <w:rsid w:val="0BAA1243"/>
    <w:rsid w:val="0BC1638D"/>
    <w:rsid w:val="0BCB1BA4"/>
    <w:rsid w:val="0BD26DFA"/>
    <w:rsid w:val="0C04410A"/>
    <w:rsid w:val="0C647F7C"/>
    <w:rsid w:val="0C9D4705"/>
    <w:rsid w:val="0CCF4ADA"/>
    <w:rsid w:val="0CEE4F60"/>
    <w:rsid w:val="0CEF5748"/>
    <w:rsid w:val="0CFC6417"/>
    <w:rsid w:val="0D0A7883"/>
    <w:rsid w:val="0DC30C84"/>
    <w:rsid w:val="0DC44D14"/>
    <w:rsid w:val="0DE22CAF"/>
    <w:rsid w:val="0E6D0F77"/>
    <w:rsid w:val="0F2F360E"/>
    <w:rsid w:val="0F582B65"/>
    <w:rsid w:val="0F6A666F"/>
    <w:rsid w:val="0F850A62"/>
    <w:rsid w:val="0FD24E60"/>
    <w:rsid w:val="0FE8038D"/>
    <w:rsid w:val="107053C2"/>
    <w:rsid w:val="10C506AF"/>
    <w:rsid w:val="10E430B3"/>
    <w:rsid w:val="11162CD7"/>
    <w:rsid w:val="11196324"/>
    <w:rsid w:val="11A007F3"/>
    <w:rsid w:val="11D861DF"/>
    <w:rsid w:val="11DA3D05"/>
    <w:rsid w:val="11DA5358"/>
    <w:rsid w:val="12443874"/>
    <w:rsid w:val="126F4193"/>
    <w:rsid w:val="127C37FA"/>
    <w:rsid w:val="12AE36FC"/>
    <w:rsid w:val="1341008D"/>
    <w:rsid w:val="1360023A"/>
    <w:rsid w:val="13806B2E"/>
    <w:rsid w:val="13E42C19"/>
    <w:rsid w:val="142610B7"/>
    <w:rsid w:val="14A2756A"/>
    <w:rsid w:val="153C5DD8"/>
    <w:rsid w:val="158E72E0"/>
    <w:rsid w:val="159E0D50"/>
    <w:rsid w:val="15E51689"/>
    <w:rsid w:val="160A3CB0"/>
    <w:rsid w:val="16730284"/>
    <w:rsid w:val="16751B77"/>
    <w:rsid w:val="16D83825"/>
    <w:rsid w:val="17192449"/>
    <w:rsid w:val="1728466C"/>
    <w:rsid w:val="178B1B39"/>
    <w:rsid w:val="18023FB5"/>
    <w:rsid w:val="182F341E"/>
    <w:rsid w:val="1858755B"/>
    <w:rsid w:val="18E70654"/>
    <w:rsid w:val="19DA104C"/>
    <w:rsid w:val="1A405513"/>
    <w:rsid w:val="1AB1581F"/>
    <w:rsid w:val="1AF95CFB"/>
    <w:rsid w:val="1B820BA7"/>
    <w:rsid w:val="1BBA1986"/>
    <w:rsid w:val="1C0D00E4"/>
    <w:rsid w:val="1C2A0AF4"/>
    <w:rsid w:val="1C686D38"/>
    <w:rsid w:val="1CE127D3"/>
    <w:rsid w:val="1D2C5CF3"/>
    <w:rsid w:val="1D5726AE"/>
    <w:rsid w:val="1DE9622F"/>
    <w:rsid w:val="1DF03317"/>
    <w:rsid w:val="1DFC7AA5"/>
    <w:rsid w:val="1E4470D6"/>
    <w:rsid w:val="1E77557D"/>
    <w:rsid w:val="1E8F7C25"/>
    <w:rsid w:val="1EC44788"/>
    <w:rsid w:val="1F0104E6"/>
    <w:rsid w:val="1F76724D"/>
    <w:rsid w:val="1F880063"/>
    <w:rsid w:val="1FAE45F4"/>
    <w:rsid w:val="1FC57DA2"/>
    <w:rsid w:val="204530E9"/>
    <w:rsid w:val="20516D37"/>
    <w:rsid w:val="20A756FA"/>
    <w:rsid w:val="20A90286"/>
    <w:rsid w:val="20C27349"/>
    <w:rsid w:val="20DD55C0"/>
    <w:rsid w:val="213F1BB9"/>
    <w:rsid w:val="22EE13BE"/>
    <w:rsid w:val="22FA1615"/>
    <w:rsid w:val="236C49D9"/>
    <w:rsid w:val="23852EB1"/>
    <w:rsid w:val="23D26F32"/>
    <w:rsid w:val="23E57650"/>
    <w:rsid w:val="24466FD8"/>
    <w:rsid w:val="248F351A"/>
    <w:rsid w:val="248F5B8B"/>
    <w:rsid w:val="24DB3BC4"/>
    <w:rsid w:val="24E54A43"/>
    <w:rsid w:val="265E682A"/>
    <w:rsid w:val="26C07516"/>
    <w:rsid w:val="26D11723"/>
    <w:rsid w:val="270D0281"/>
    <w:rsid w:val="274D0351"/>
    <w:rsid w:val="279050AE"/>
    <w:rsid w:val="27FD1E0D"/>
    <w:rsid w:val="28A54C15"/>
    <w:rsid w:val="28A864B3"/>
    <w:rsid w:val="296F723F"/>
    <w:rsid w:val="299B74BB"/>
    <w:rsid w:val="299B7DC6"/>
    <w:rsid w:val="29C16051"/>
    <w:rsid w:val="29CD085C"/>
    <w:rsid w:val="29EC23D0"/>
    <w:rsid w:val="2AE74269"/>
    <w:rsid w:val="2B2335A9"/>
    <w:rsid w:val="2B3D0D75"/>
    <w:rsid w:val="2B6967A4"/>
    <w:rsid w:val="2B801021"/>
    <w:rsid w:val="2BBD3179"/>
    <w:rsid w:val="2BD634CA"/>
    <w:rsid w:val="2C360264"/>
    <w:rsid w:val="2D5363FD"/>
    <w:rsid w:val="2D625096"/>
    <w:rsid w:val="2DD66363"/>
    <w:rsid w:val="2DF55F3A"/>
    <w:rsid w:val="2E5827B2"/>
    <w:rsid w:val="2E7D7A9A"/>
    <w:rsid w:val="2F01691D"/>
    <w:rsid w:val="2F041474"/>
    <w:rsid w:val="2F0D285F"/>
    <w:rsid w:val="2F13515E"/>
    <w:rsid w:val="2F2D2A65"/>
    <w:rsid w:val="30073ABF"/>
    <w:rsid w:val="303A5A65"/>
    <w:rsid w:val="310E5321"/>
    <w:rsid w:val="316250E0"/>
    <w:rsid w:val="319207AD"/>
    <w:rsid w:val="31B712A7"/>
    <w:rsid w:val="31E57E30"/>
    <w:rsid w:val="32311B47"/>
    <w:rsid w:val="32342B66"/>
    <w:rsid w:val="32516F1F"/>
    <w:rsid w:val="326E63CA"/>
    <w:rsid w:val="329209A4"/>
    <w:rsid w:val="32F61CFB"/>
    <w:rsid w:val="330E785B"/>
    <w:rsid w:val="33164C7B"/>
    <w:rsid w:val="333A0151"/>
    <w:rsid w:val="33D23701"/>
    <w:rsid w:val="343143AE"/>
    <w:rsid w:val="348D1669"/>
    <w:rsid w:val="35054D15"/>
    <w:rsid w:val="35246EC1"/>
    <w:rsid w:val="35247FD5"/>
    <w:rsid w:val="356869BA"/>
    <w:rsid w:val="35AE52E7"/>
    <w:rsid w:val="35F44AE6"/>
    <w:rsid w:val="36570DD6"/>
    <w:rsid w:val="37166CDE"/>
    <w:rsid w:val="37170B18"/>
    <w:rsid w:val="373A6E70"/>
    <w:rsid w:val="37400134"/>
    <w:rsid w:val="37597386"/>
    <w:rsid w:val="378E4AC6"/>
    <w:rsid w:val="38871C41"/>
    <w:rsid w:val="39227BBC"/>
    <w:rsid w:val="39B32BB9"/>
    <w:rsid w:val="39F27F9B"/>
    <w:rsid w:val="3A443B62"/>
    <w:rsid w:val="3A4678DA"/>
    <w:rsid w:val="3A4837A7"/>
    <w:rsid w:val="3A934D32"/>
    <w:rsid w:val="3ABF1C3C"/>
    <w:rsid w:val="3B1F5B61"/>
    <w:rsid w:val="3B40257B"/>
    <w:rsid w:val="3B442032"/>
    <w:rsid w:val="3C2974B3"/>
    <w:rsid w:val="3CAE6A6A"/>
    <w:rsid w:val="3CDC4526"/>
    <w:rsid w:val="3D0B5AA3"/>
    <w:rsid w:val="3D22018A"/>
    <w:rsid w:val="3D4E0F7F"/>
    <w:rsid w:val="3D74475E"/>
    <w:rsid w:val="3E0840D2"/>
    <w:rsid w:val="3E1325A3"/>
    <w:rsid w:val="3E1675C3"/>
    <w:rsid w:val="3E614CE2"/>
    <w:rsid w:val="3EAC3D0D"/>
    <w:rsid w:val="3ECA6D2C"/>
    <w:rsid w:val="3F7852B0"/>
    <w:rsid w:val="3FDB17C4"/>
    <w:rsid w:val="3FE1257F"/>
    <w:rsid w:val="40C26E9E"/>
    <w:rsid w:val="41990C37"/>
    <w:rsid w:val="41A7312C"/>
    <w:rsid w:val="41AA68AB"/>
    <w:rsid w:val="41B44FDB"/>
    <w:rsid w:val="42154762"/>
    <w:rsid w:val="42162288"/>
    <w:rsid w:val="422B1B19"/>
    <w:rsid w:val="423341AF"/>
    <w:rsid w:val="428B0580"/>
    <w:rsid w:val="43065E58"/>
    <w:rsid w:val="433E477D"/>
    <w:rsid w:val="43943464"/>
    <w:rsid w:val="444C0466"/>
    <w:rsid w:val="444F6318"/>
    <w:rsid w:val="44A506F8"/>
    <w:rsid w:val="44AD0C81"/>
    <w:rsid w:val="44C00DE5"/>
    <w:rsid w:val="44C84166"/>
    <w:rsid w:val="44CE6E4A"/>
    <w:rsid w:val="45252F0E"/>
    <w:rsid w:val="45372C41"/>
    <w:rsid w:val="45DA677C"/>
    <w:rsid w:val="45DE130F"/>
    <w:rsid w:val="45F97EF6"/>
    <w:rsid w:val="46A41372"/>
    <w:rsid w:val="46E924CA"/>
    <w:rsid w:val="4709153B"/>
    <w:rsid w:val="474858E3"/>
    <w:rsid w:val="476A2E5A"/>
    <w:rsid w:val="478372D8"/>
    <w:rsid w:val="47B41C46"/>
    <w:rsid w:val="47D360DC"/>
    <w:rsid w:val="481E59F2"/>
    <w:rsid w:val="4834284E"/>
    <w:rsid w:val="4849647D"/>
    <w:rsid w:val="48B325DE"/>
    <w:rsid w:val="48F0738F"/>
    <w:rsid w:val="48FF6D09"/>
    <w:rsid w:val="491A2881"/>
    <w:rsid w:val="49CF3448"/>
    <w:rsid w:val="49EF3AEA"/>
    <w:rsid w:val="4A0B2510"/>
    <w:rsid w:val="4A5E2D91"/>
    <w:rsid w:val="4A807FF9"/>
    <w:rsid w:val="4ADD239E"/>
    <w:rsid w:val="4B1D32E8"/>
    <w:rsid w:val="4B234902"/>
    <w:rsid w:val="4B494FD1"/>
    <w:rsid w:val="4BF841D3"/>
    <w:rsid w:val="4C183B62"/>
    <w:rsid w:val="4C55054E"/>
    <w:rsid w:val="4C8C5C66"/>
    <w:rsid w:val="4CCF2277"/>
    <w:rsid w:val="4CE54D31"/>
    <w:rsid w:val="4CEC79C8"/>
    <w:rsid w:val="4D2260CB"/>
    <w:rsid w:val="4E2E44B5"/>
    <w:rsid w:val="4E2F78C6"/>
    <w:rsid w:val="4E3915C7"/>
    <w:rsid w:val="4EE47996"/>
    <w:rsid w:val="4F733B68"/>
    <w:rsid w:val="4F7876BA"/>
    <w:rsid w:val="4F986053"/>
    <w:rsid w:val="50111B7F"/>
    <w:rsid w:val="50591CBD"/>
    <w:rsid w:val="514C2EEA"/>
    <w:rsid w:val="52B14033"/>
    <w:rsid w:val="5331340C"/>
    <w:rsid w:val="53473446"/>
    <w:rsid w:val="53690469"/>
    <w:rsid w:val="53E45D42"/>
    <w:rsid w:val="53FD6E04"/>
    <w:rsid w:val="544E765F"/>
    <w:rsid w:val="54E57FC4"/>
    <w:rsid w:val="54F42E96"/>
    <w:rsid w:val="55227960"/>
    <w:rsid w:val="559B7ADD"/>
    <w:rsid w:val="55AF05D2"/>
    <w:rsid w:val="55EE249E"/>
    <w:rsid w:val="564C5E20"/>
    <w:rsid w:val="56B96CFA"/>
    <w:rsid w:val="57511940"/>
    <w:rsid w:val="57AD4DFB"/>
    <w:rsid w:val="58046C58"/>
    <w:rsid w:val="5830007F"/>
    <w:rsid w:val="583A0626"/>
    <w:rsid w:val="585C1916"/>
    <w:rsid w:val="588C69A8"/>
    <w:rsid w:val="58B11233"/>
    <w:rsid w:val="58B8779D"/>
    <w:rsid w:val="58DE1F0D"/>
    <w:rsid w:val="58E47231"/>
    <w:rsid w:val="58F76517"/>
    <w:rsid w:val="59793D78"/>
    <w:rsid w:val="598812D5"/>
    <w:rsid w:val="59B70343"/>
    <w:rsid w:val="59C31DCD"/>
    <w:rsid w:val="59C363FA"/>
    <w:rsid w:val="5A2C6D21"/>
    <w:rsid w:val="5AA03BDF"/>
    <w:rsid w:val="5AA77AC9"/>
    <w:rsid w:val="5AB107D2"/>
    <w:rsid w:val="5AE97CBB"/>
    <w:rsid w:val="5B326DA9"/>
    <w:rsid w:val="5B3535D1"/>
    <w:rsid w:val="5BAB5397"/>
    <w:rsid w:val="5BC8203F"/>
    <w:rsid w:val="5C2C3949"/>
    <w:rsid w:val="5C686689"/>
    <w:rsid w:val="5C864334"/>
    <w:rsid w:val="5DE80104"/>
    <w:rsid w:val="5E524CDE"/>
    <w:rsid w:val="5E5524C6"/>
    <w:rsid w:val="5EAB28E5"/>
    <w:rsid w:val="5EC36341"/>
    <w:rsid w:val="5EE64C3F"/>
    <w:rsid w:val="5F8F2B4E"/>
    <w:rsid w:val="5F9E0F56"/>
    <w:rsid w:val="600F05EB"/>
    <w:rsid w:val="60421EB6"/>
    <w:rsid w:val="60904F92"/>
    <w:rsid w:val="60AB3901"/>
    <w:rsid w:val="60B6509C"/>
    <w:rsid w:val="60BE791B"/>
    <w:rsid w:val="613F44DC"/>
    <w:rsid w:val="61500EBB"/>
    <w:rsid w:val="61A15272"/>
    <w:rsid w:val="61F0502E"/>
    <w:rsid w:val="6232236E"/>
    <w:rsid w:val="62764A6F"/>
    <w:rsid w:val="62840BD8"/>
    <w:rsid w:val="62B2525D"/>
    <w:rsid w:val="62BA5B89"/>
    <w:rsid w:val="630C0471"/>
    <w:rsid w:val="63224191"/>
    <w:rsid w:val="638A2FFF"/>
    <w:rsid w:val="63EB3254"/>
    <w:rsid w:val="641E704E"/>
    <w:rsid w:val="64872EB6"/>
    <w:rsid w:val="64F24DEB"/>
    <w:rsid w:val="65091AAC"/>
    <w:rsid w:val="656E29F6"/>
    <w:rsid w:val="6578453C"/>
    <w:rsid w:val="65A332E2"/>
    <w:rsid w:val="65D1387D"/>
    <w:rsid w:val="65E62006"/>
    <w:rsid w:val="65FE4864"/>
    <w:rsid w:val="65FF0202"/>
    <w:rsid w:val="662F72F1"/>
    <w:rsid w:val="6631740F"/>
    <w:rsid w:val="66320B8F"/>
    <w:rsid w:val="66377F53"/>
    <w:rsid w:val="66A17AC3"/>
    <w:rsid w:val="670909ED"/>
    <w:rsid w:val="677E5574"/>
    <w:rsid w:val="679D028A"/>
    <w:rsid w:val="67F53013"/>
    <w:rsid w:val="68203EB9"/>
    <w:rsid w:val="68336E40"/>
    <w:rsid w:val="68342DAC"/>
    <w:rsid w:val="68513602"/>
    <w:rsid w:val="696563C0"/>
    <w:rsid w:val="69FF5119"/>
    <w:rsid w:val="6A002D52"/>
    <w:rsid w:val="6A561240"/>
    <w:rsid w:val="6A6D03E7"/>
    <w:rsid w:val="6A774EE1"/>
    <w:rsid w:val="6A7971A0"/>
    <w:rsid w:val="6A863C67"/>
    <w:rsid w:val="6A876FCF"/>
    <w:rsid w:val="6A8E7CFC"/>
    <w:rsid w:val="6A9C26DF"/>
    <w:rsid w:val="6AC92144"/>
    <w:rsid w:val="6AD27153"/>
    <w:rsid w:val="6AD77F57"/>
    <w:rsid w:val="6B2F1B41"/>
    <w:rsid w:val="6B324493"/>
    <w:rsid w:val="6BEA55F0"/>
    <w:rsid w:val="6BFB1A23"/>
    <w:rsid w:val="6C8F7420"/>
    <w:rsid w:val="6CAB1016"/>
    <w:rsid w:val="6D0156CE"/>
    <w:rsid w:val="6DBA4B2D"/>
    <w:rsid w:val="6DD67154"/>
    <w:rsid w:val="6E8126B3"/>
    <w:rsid w:val="6F0A0D8E"/>
    <w:rsid w:val="700668DD"/>
    <w:rsid w:val="704B50AE"/>
    <w:rsid w:val="707F6B74"/>
    <w:rsid w:val="70991167"/>
    <w:rsid w:val="70EA1CED"/>
    <w:rsid w:val="71197447"/>
    <w:rsid w:val="715B76B8"/>
    <w:rsid w:val="71900E5F"/>
    <w:rsid w:val="71D77955"/>
    <w:rsid w:val="721E46BD"/>
    <w:rsid w:val="724D3B6A"/>
    <w:rsid w:val="726E0F8C"/>
    <w:rsid w:val="727A5D97"/>
    <w:rsid w:val="729F5173"/>
    <w:rsid w:val="72E1515F"/>
    <w:rsid w:val="733F35F9"/>
    <w:rsid w:val="734207AF"/>
    <w:rsid w:val="73724CC1"/>
    <w:rsid w:val="73CB5ADB"/>
    <w:rsid w:val="74203564"/>
    <w:rsid w:val="746D555B"/>
    <w:rsid w:val="748E5B2A"/>
    <w:rsid w:val="7516167C"/>
    <w:rsid w:val="75A12253"/>
    <w:rsid w:val="75A4565C"/>
    <w:rsid w:val="75DC4D0C"/>
    <w:rsid w:val="75E50BAD"/>
    <w:rsid w:val="7603061D"/>
    <w:rsid w:val="764410EB"/>
    <w:rsid w:val="76CE66B2"/>
    <w:rsid w:val="77C37587"/>
    <w:rsid w:val="7881167C"/>
    <w:rsid w:val="78C21BF4"/>
    <w:rsid w:val="792F4A01"/>
    <w:rsid w:val="797A48CF"/>
    <w:rsid w:val="799A1262"/>
    <w:rsid w:val="7A2455EA"/>
    <w:rsid w:val="7A3F45D2"/>
    <w:rsid w:val="7A975FCF"/>
    <w:rsid w:val="7B0650EF"/>
    <w:rsid w:val="7B497ED6"/>
    <w:rsid w:val="7B5C597E"/>
    <w:rsid w:val="7B5E685D"/>
    <w:rsid w:val="7B661AC5"/>
    <w:rsid w:val="7B6E2211"/>
    <w:rsid w:val="7C0B7A60"/>
    <w:rsid w:val="7C173EAA"/>
    <w:rsid w:val="7C5E05B6"/>
    <w:rsid w:val="7C7B236C"/>
    <w:rsid w:val="7CA430D0"/>
    <w:rsid w:val="7CF20C20"/>
    <w:rsid w:val="7D1172F8"/>
    <w:rsid w:val="7D1A752D"/>
    <w:rsid w:val="7D1F12A4"/>
    <w:rsid w:val="7D5E256A"/>
    <w:rsid w:val="7DCA4A34"/>
    <w:rsid w:val="7E290672"/>
    <w:rsid w:val="7E2A06AD"/>
    <w:rsid w:val="7EB50157"/>
    <w:rsid w:val="7EE057AB"/>
    <w:rsid w:val="7EEE0609"/>
    <w:rsid w:val="7F22275B"/>
    <w:rsid w:val="7F4A6AF1"/>
    <w:rsid w:val="7F765B38"/>
    <w:rsid w:val="7F7A1B59"/>
    <w:rsid w:val="7FE61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overflowPunct w:val="0"/>
      <w:spacing w:line="560" w:lineRule="exact"/>
      <w:ind w:firstLine="20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21"/>
    <w:qFormat/>
    <w:uiPriority w:val="0"/>
    <w:pPr>
      <w:keepNext/>
      <w:keepLines/>
      <w:spacing w:before="50" w:beforeLines="50" w:beforeAutospacing="0" w:after="50" w:afterLines="50" w:afterAutospacing="0" w:line="640" w:lineRule="exact"/>
      <w:ind w:firstLine="0" w:firstLineChars="0"/>
      <w:jc w:val="center"/>
      <w:outlineLvl w:val="0"/>
    </w:pPr>
    <w:rPr>
      <w:rFonts w:ascii="Times New Roman" w:hAnsi="Times New Roman" w:eastAsia="方正小标宋_GBK"/>
      <w:kern w:val="44"/>
      <w:sz w:val="44"/>
    </w:rPr>
  </w:style>
  <w:style w:type="paragraph" w:styleId="3">
    <w:name w:val="heading 2"/>
    <w:basedOn w:val="1"/>
    <w:next w:val="1"/>
    <w:unhideWhenUsed/>
    <w:qFormat/>
    <w:uiPriority w:val="0"/>
    <w:pPr>
      <w:keepNext/>
      <w:keepLines/>
      <w:spacing w:before="50" w:beforeLines="50" w:beforeAutospacing="0" w:after="50" w:afterLines="50" w:afterAutospacing="0" w:line="560" w:lineRule="exact"/>
      <w:ind w:firstLine="880" w:firstLineChars="200"/>
      <w:outlineLvl w:val="1"/>
    </w:pPr>
    <w:rPr>
      <w:rFonts w:ascii="Arial" w:hAnsi="Arial" w:eastAsia="黑体"/>
      <w:b/>
    </w:rPr>
  </w:style>
  <w:style w:type="paragraph" w:styleId="4">
    <w:name w:val="heading 3"/>
    <w:basedOn w:val="1"/>
    <w:next w:val="1"/>
    <w:link w:val="33"/>
    <w:unhideWhenUsed/>
    <w:qFormat/>
    <w:uiPriority w:val="0"/>
    <w:pPr>
      <w:keepNext/>
      <w:keepLines/>
      <w:spacing w:before="50" w:beforeLines="50" w:beforeAutospacing="0" w:after="50" w:afterLines="50" w:afterAutospacing="0" w:line="560" w:lineRule="exact"/>
      <w:outlineLvl w:val="2"/>
    </w:pPr>
    <w:rPr>
      <w:rFonts w:ascii="Times New Roman" w:hAnsi="Times New Roman" w:eastAsia="方正楷体_GB2312"/>
      <w:b/>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paragraph" w:styleId="6">
    <w:name w:val="Body Text Indent"/>
    <w:basedOn w:val="1"/>
    <w:qFormat/>
    <w:uiPriority w:val="0"/>
    <w:pPr>
      <w:spacing w:after="120"/>
      <w:ind w:left="420" w:leftChars="200"/>
    </w:pPr>
  </w:style>
  <w:style w:type="paragraph" w:styleId="7">
    <w:name w:val="Body Text Indent 2"/>
    <w:basedOn w:val="1"/>
    <w:qFormat/>
    <w:uiPriority w:val="0"/>
    <w:pPr>
      <w:spacing w:after="120" w:afterLines="0" w:line="480" w:lineRule="auto"/>
      <w:ind w:left="420" w:leftChars="200"/>
    </w:pPr>
  </w:style>
  <w:style w:type="paragraph" w:styleId="8">
    <w:name w:val="endnote text"/>
    <w:basedOn w:val="1"/>
    <w:qFormat/>
    <w:uiPriority w:val="0"/>
    <w:pPr>
      <w:snapToGrid w:val="0"/>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Subtitle"/>
    <w:basedOn w:val="1"/>
    <w:next w:val="1"/>
    <w:qFormat/>
    <w:uiPriority w:val="0"/>
    <w:pPr>
      <w:wordWrap w:val="0"/>
      <w:spacing w:after="60"/>
      <w:ind w:left="1024"/>
      <w:jc w:val="center"/>
    </w:pPr>
    <w:rPr>
      <w:rFonts w:ascii="Times New Roman" w:hAnsi="Times New Roman" w:eastAsia="宋体" w:cs="Times New Roman"/>
      <w:lang w:val="en-US" w:eastAsia="zh-CN" w:bidi="ar-SA"/>
    </w:rPr>
  </w:style>
  <w:style w:type="paragraph" w:styleId="13">
    <w:name w:val="footnote text"/>
    <w:basedOn w:val="1"/>
    <w:qFormat/>
    <w:uiPriority w:val="0"/>
    <w:pPr>
      <w:snapToGrid w:val="0"/>
      <w:jc w:val="left"/>
    </w:pPr>
    <w:rPr>
      <w:sz w:val="18"/>
    </w:rPr>
  </w:style>
  <w:style w:type="paragraph" w:styleId="14">
    <w:name w:val="toc 2"/>
    <w:basedOn w:val="1"/>
    <w:next w:val="1"/>
    <w:qFormat/>
    <w:uiPriority w:val="0"/>
    <w:pPr>
      <w:ind w:left="420" w:leftChars="200"/>
    </w:pPr>
  </w:style>
  <w:style w:type="paragraph" w:styleId="15">
    <w:name w:val="Body Text First Indent 2"/>
    <w:basedOn w:val="6"/>
    <w:qFormat/>
    <w:uiPriority w:val="0"/>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ndnote reference"/>
    <w:basedOn w:val="18"/>
    <w:qFormat/>
    <w:uiPriority w:val="0"/>
    <w:rPr>
      <w:vertAlign w:val="superscript"/>
    </w:rPr>
  </w:style>
  <w:style w:type="character" w:styleId="20">
    <w:name w:val="footnote reference"/>
    <w:basedOn w:val="18"/>
    <w:qFormat/>
    <w:uiPriority w:val="0"/>
    <w:rPr>
      <w:vertAlign w:val="superscript"/>
    </w:rPr>
  </w:style>
  <w:style w:type="character" w:customStyle="1" w:styleId="21">
    <w:name w:val="标题 1 Char"/>
    <w:link w:val="2"/>
    <w:qFormat/>
    <w:uiPriority w:val="0"/>
    <w:rPr>
      <w:rFonts w:ascii="Times New Roman" w:hAnsi="Times New Roman" w:eastAsia="方正小标宋_GBK"/>
      <w:kern w:val="44"/>
      <w:sz w:val="44"/>
    </w:rPr>
  </w:style>
  <w:style w:type="paragraph" w:customStyle="1" w:styleId="22">
    <w:name w:val="首行缩进"/>
    <w:basedOn w:val="1"/>
    <w:qFormat/>
    <w:uiPriority w:val="0"/>
    <w:pPr>
      <w:spacing w:line="360" w:lineRule="auto"/>
      <w:ind w:firstLine="480" w:firstLineChars="200"/>
    </w:pPr>
    <w:rPr>
      <w:rFonts w:cs="宋体"/>
      <w:kern w:val="0"/>
    </w:rPr>
  </w:style>
  <w:style w:type="paragraph" w:customStyle="1" w:styleId="23">
    <w:name w:val="BodyText1I2"/>
    <w:basedOn w:val="24"/>
    <w:next w:val="12"/>
    <w:qFormat/>
    <w:uiPriority w:val="0"/>
    <w:pPr>
      <w:spacing w:after="120"/>
      <w:ind w:left="420" w:leftChars="200" w:firstLine="420" w:firstLineChars="262"/>
      <w:jc w:val="both"/>
      <w:textAlignment w:val="baseline"/>
    </w:pPr>
    <w:rPr>
      <w:rFonts w:ascii="Times New Roman" w:hAnsi="Times New Roman" w:eastAsia="宋体" w:cs="Times New Roman"/>
      <w:b/>
      <w:bCs/>
      <w:kern w:val="2"/>
      <w:sz w:val="32"/>
      <w:szCs w:val="21"/>
      <w:lang w:val="en-US" w:eastAsia="zh-CN" w:bidi="ar-SA"/>
    </w:rPr>
  </w:style>
  <w:style w:type="paragraph" w:customStyle="1" w:styleId="24">
    <w:name w:val="BodyTextIndent"/>
    <w:basedOn w:val="1"/>
    <w:next w:val="23"/>
    <w:qFormat/>
    <w:uiPriority w:val="0"/>
    <w:pPr>
      <w:spacing w:after="120"/>
      <w:ind w:left="420" w:leftChars="200"/>
      <w:jc w:val="both"/>
      <w:textAlignment w:val="baseline"/>
    </w:pPr>
    <w:rPr>
      <w:rFonts w:ascii="Times New Roman" w:hAnsi="Times New Roman" w:eastAsia="宋体"/>
      <w:kern w:val="2"/>
      <w:sz w:val="21"/>
      <w:szCs w:val="24"/>
      <w:lang w:val="en-US" w:eastAsia="zh-CN" w:bidi="ar-SA"/>
    </w:rPr>
  </w:style>
  <w:style w:type="paragraph" w:customStyle="1" w:styleId="25">
    <w:name w:val="表头"/>
    <w:basedOn w:val="1"/>
    <w:qFormat/>
    <w:uiPriority w:val="0"/>
    <w:pPr>
      <w:keepNext/>
      <w:spacing w:line="240" w:lineRule="auto"/>
      <w:ind w:firstLine="0" w:firstLineChars="0"/>
      <w:jc w:val="center"/>
    </w:pPr>
    <w:rPr>
      <w:rFonts w:ascii="Times New Roman" w:hAnsi="Times New Roman" w:eastAsia="黑体" w:cs="黑体"/>
      <w:bCs/>
      <w:sz w:val="28"/>
      <w:szCs w:val="28"/>
    </w:rPr>
  </w:style>
  <w:style w:type="paragraph" w:customStyle="1" w:styleId="26">
    <w:name w:val="表格"/>
    <w:basedOn w:val="1"/>
    <w:qFormat/>
    <w:uiPriority w:val="0"/>
    <w:pPr>
      <w:widowControl/>
      <w:spacing w:line="540" w:lineRule="exact"/>
      <w:ind w:firstLine="0" w:firstLineChars="0"/>
      <w:jc w:val="center"/>
      <w:textAlignment w:val="center"/>
    </w:pPr>
    <w:rPr>
      <w:rFonts w:hint="eastAsia" w:ascii="Times New Roman" w:hAnsi="Times New Roman" w:cs="仿宋_GB2312"/>
      <w:bCs/>
      <w:color w:val="000000"/>
      <w:kern w:val="0"/>
      <w:sz w:val="24"/>
      <w:szCs w:val="24"/>
      <w:u w:val="none"/>
      <w:lang w:bidi="ar"/>
    </w:rPr>
  </w:style>
  <w:style w:type="paragraph" w:customStyle="1" w:styleId="27">
    <w:name w:val="Table Paragraph"/>
    <w:basedOn w:val="1"/>
    <w:unhideWhenUsed/>
    <w:qFormat/>
    <w:uiPriority w:val="1"/>
    <w:pPr>
      <w:spacing w:beforeLines="0" w:afterLines="0"/>
    </w:pPr>
    <w:rPr>
      <w:rFonts w:hint="eastAsia"/>
      <w:sz w:val="22"/>
    </w:rPr>
  </w:style>
  <w:style w:type="table" w:customStyle="1" w:styleId="28">
    <w:name w:val="网格型1"/>
    <w:basedOn w:val="16"/>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表格1"/>
    <w:basedOn w:val="1"/>
    <w:qFormat/>
    <w:uiPriority w:val="0"/>
    <w:pPr>
      <w:ind w:firstLine="0" w:firstLineChars="0"/>
      <w:jc w:val="center"/>
    </w:pPr>
    <w:rPr>
      <w:sz w:val="24"/>
      <w:szCs w:val="24"/>
    </w:rPr>
  </w:style>
  <w:style w:type="paragraph" w:customStyle="1" w:styleId="30">
    <w:name w:val="Char"/>
    <w:basedOn w:val="1"/>
    <w:qFormat/>
    <w:uiPriority w:val="0"/>
    <w:pPr>
      <w:spacing w:before="100" w:beforeAutospacing="1" w:after="100" w:afterAutospacing="1"/>
      <w:ind w:left="-12" w:firstLine="200" w:firstLineChars="200"/>
      <w:contextualSpacing/>
    </w:pPr>
    <w:rPr>
      <w:rFonts w:ascii="Tahoma" w:hAnsi="Tahoma"/>
      <w:szCs w:val="20"/>
    </w:rPr>
  </w:style>
  <w:style w:type="paragraph" w:customStyle="1" w:styleId="31">
    <w:name w:val="图表名"/>
    <w:basedOn w:val="1"/>
    <w:qFormat/>
    <w:uiPriority w:val="0"/>
    <w:pPr>
      <w:adjustRightInd/>
      <w:snapToGrid/>
      <w:ind w:firstLine="0" w:firstLineChars="0"/>
      <w:jc w:val="center"/>
    </w:pPr>
    <w:rPr>
      <w:rFonts w:hint="eastAsia" w:eastAsia="黑体"/>
      <w:sz w:val="28"/>
      <w:szCs w:val="28"/>
      <w:shd w:val="clear" w:fill="FFFFFF"/>
    </w:rPr>
  </w:style>
  <w:style w:type="paragraph" w:customStyle="1" w:styleId="32">
    <w:name w:val="表内文字"/>
    <w:basedOn w:val="1"/>
    <w:qFormat/>
    <w:uiPriority w:val="0"/>
    <w:pPr>
      <w:adjustRightInd/>
      <w:snapToGrid/>
      <w:spacing w:line="360" w:lineRule="auto"/>
      <w:ind w:firstLine="0" w:firstLineChars="0"/>
      <w:jc w:val="center"/>
    </w:pPr>
    <w:rPr>
      <w:rFonts w:hint="eastAsia" w:ascii="Times New Roman" w:hAnsi="Times New Roman"/>
      <w:sz w:val="24"/>
      <w:szCs w:val="24"/>
      <w:shd w:val="clear" w:fill="FFFFFF"/>
    </w:rPr>
  </w:style>
  <w:style w:type="character" w:customStyle="1" w:styleId="33">
    <w:name w:val="标题 3 Char"/>
    <w:link w:val="4"/>
    <w:qFormat/>
    <w:uiPriority w:val="0"/>
    <w:rPr>
      <w:rFonts w:ascii="Times New Roman" w:hAnsi="Times New Roman" w:eastAsia="方正楷体_GB2312"/>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3d9b0c63-43da-49cf-b33b-2d082956f1e8</errorID>
      <errorWord>比失衡</errorWord>
      <group>L1_Word</group>
      <groupName>字词问题</groupName>
      <ability>L2_Typo</ability>
      <abilityName>字词错误</abilityName>
      <candidateList>
        <item>比例失衡</item>
      </candidateList>
      <explain/>
      <paraID>508A7116</paraID>
      <start>56</start>
      <end>59</end>
      <status>ignored</status>
      <modifiedWord/>
      <trackRevisions>false</trackRevisions>
    </reviewItem>
    <reviewItem>
      <errorID>14094cbb-0b0a-4d30-949d-f4b7ba8b0bef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6DDA8C16</paraID>
      <start>151</start>
      <end>153</end>
      <status>ignored</status>
      <modifiedWord/>
      <trackRevisions>false</trackRevisions>
    </reviewItem>
    <reviewItem>
      <errorID>5d59f754-120b-4373-88a0-03e952a905ca</errorID>
      <errorWord>（</errorWord>
      <group>L1_Punc</group>
      <groupName>标点问题</groupName>
      <ability>L2_Punc</ability>
      <abilityName>标点符号检查</abilityName>
      <candidateList/>
      <explain>同一形式括号套用。</explain>
      <paraID>  B3DA5F</paraID>
      <start>121</start>
      <end>122</end>
      <status>ignored</status>
      <modifiedWord/>
      <trackRevisions>false</trackRevisions>
    </reviewItem>
    <reviewItem>
      <errorID>27a0bfeb-d5f5-4cb8-baa9-a21a0582720b</errorID>
      <errorWord>）</errorWord>
      <group>L1_Punc</group>
      <groupName>标点问题</groupName>
      <ability>L2_Punc</ability>
      <abilityName>标点符号检查</abilityName>
      <candidateList/>
      <explain>同一形式括号套用。</explain>
      <paraID>  B3DA5F</paraID>
      <start>134</start>
      <end>135</end>
      <status>ignored</status>
      <modifiedWord/>
      <trackRevisions>false</trackRevisions>
    </reviewItem>
    <reviewItem>
      <errorID>6dc6889d-f539-43f3-91d7-9f16dfd2a2ed</errorID>
      <errorWord>成为</errorWord>
      <group>L1_Word</group>
      <groupName>字词问题</groupName>
      <ability>L2_Typo</ability>
      <abilityName>字词错误</abilityName>
      <candidateList>
        <item>成</item>
      </candidateList>
      <explain>（～儿）〈量〉十分之一叫一成：九～金｜村里今年收的庄稼比去年增加两～。</explain>
      <paraID>344C2078</paraID>
      <start>112</start>
      <end>114</end>
      <status>ignored</status>
      <modifiedWord/>
      <trackRevisions>false</trackRevisions>
    </reviewItem>
    <reviewItem>
      <errorID>c1807b85-e2bc-4e5a-ba76-2c9338c5bc0a</errorID>
      <errorWord>天燃气</errorWord>
      <group>L1_Word</group>
      <groupName>字词问题</groupName>
      <ability>L2_Typo</ability>
      <abilityName>字词错误</abilityName>
      <candidateList>
        <item>天然气</item>
      </candidateList>
      <explain>〈名〉通常指产生于油田、煤田和沼泽地带的天然气体，主要成分是甲烷等，是埋藏在地下的古代生物经高温、高压等作用形成的。主要用作燃料和化工原料。</explain>
      <paraID>26BC7DFC</paraID>
      <start>8</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a78a3-a78d-498a-ab2f-c2154d7ac88d}">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4004</Words>
  <Characters>4256</Characters>
  <Lines>0</Lines>
  <Paragraphs>0</Paragraphs>
  <TotalTime>29</TotalTime>
  <ScaleCrop>false</ScaleCrop>
  <LinksUpToDate>false</LinksUpToDate>
  <CharactersWithSpaces>4302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2021-07-24T17:44:00Z</dcterms:created>
  <dc:creator>HP</dc:creator>
  <cp:lastModifiedBy>admin</cp:lastModifiedBy>
  <dcterms:modified xsi:type="dcterms:W3CDTF">2026-06-10T10:13:02Z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eyJoZGlkIjoiNDY1NWZlMjFiYzZjMzExYTJkYWM1NzY4ZjFkMDBlNGEifQ==</vt:lpwstr>
  </property>
  <property fmtid="{D5CDD505-2E9C-101B-9397-08002B2CF9AE}" pid="4" name="ICV">
    <vt:lpwstr>0933A93D3A624DF893E083C2B254A1AA_13</vt:lpwstr>
  </property>
</Properties>
</file>